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C6F3EB">
      <w:pPr>
        <w:jc w:val="right"/>
        <w:rPr>
          <w:color w:val="000000" w:themeColor="text1"/>
          <w:sz w:val="36"/>
          <w:szCs w:val="36"/>
          <w:highlight w:val="none"/>
          <w14:textFill>
            <w14:solidFill>
              <w14:schemeClr w14:val="tx1"/>
            </w14:solidFill>
          </w14:textFill>
        </w:rPr>
      </w:pPr>
      <w:r>
        <w:rPr>
          <w:color w:val="000000" w:themeColor="text1"/>
          <w:sz w:val="24"/>
          <w:highlight w:val="none"/>
          <w14:textFill>
            <w14:solidFill>
              <w14:schemeClr w14:val="tx1"/>
            </w14:solidFill>
          </w14:textFill>
        </w:rPr>
        <w:drawing>
          <wp:anchor distT="0" distB="0" distL="114935" distR="114935" simplePos="0" relativeHeight="251661312" behindDoc="0" locked="0" layoutInCell="1" allowOverlap="1">
            <wp:simplePos x="0" y="0"/>
            <wp:positionH relativeFrom="column">
              <wp:posOffset>-185420</wp:posOffset>
            </wp:positionH>
            <wp:positionV relativeFrom="paragraph">
              <wp:posOffset>10795</wp:posOffset>
            </wp:positionV>
            <wp:extent cx="1569720" cy="576580"/>
            <wp:effectExtent l="0" t="0" r="11430" b="13970"/>
            <wp:wrapSquare wrapText="bothSides"/>
            <wp:docPr id="5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
                    <pic:cNvPicPr>
                      <a:picLocks noChangeAspect="1"/>
                    </pic:cNvPicPr>
                  </pic:nvPicPr>
                  <pic:blipFill>
                    <a:blip r:embed="rId11"/>
                    <a:stretch>
                      <a:fillRect/>
                    </a:stretch>
                  </pic:blipFill>
                  <pic:spPr>
                    <a:xfrm>
                      <a:off x="0" y="0"/>
                      <a:ext cx="1569720" cy="576580"/>
                    </a:xfrm>
                    <a:prstGeom prst="rect">
                      <a:avLst/>
                    </a:prstGeom>
                    <a:noFill/>
                    <a:ln>
                      <a:noFill/>
                    </a:ln>
                  </pic:spPr>
                </pic:pic>
              </a:graphicData>
            </a:graphic>
          </wp:anchor>
        </w:drawing>
      </w:r>
    </w:p>
    <w:p w14:paraId="5F37BCA6">
      <w:pPr>
        <w:rPr>
          <w:color w:val="000000" w:themeColor="text1"/>
          <w:sz w:val="36"/>
          <w:szCs w:val="36"/>
          <w:highlight w:val="none"/>
          <w14:textFill>
            <w14:solidFill>
              <w14:schemeClr w14:val="tx1"/>
            </w14:solidFill>
          </w14:textFill>
        </w:rPr>
      </w:pPr>
    </w:p>
    <w:p w14:paraId="12AFDC91">
      <w:pPr>
        <w:rPr>
          <w:color w:val="000000" w:themeColor="text1"/>
          <w:sz w:val="36"/>
          <w:szCs w:val="36"/>
          <w:highlight w:val="none"/>
          <w14:textFill>
            <w14:solidFill>
              <w14:schemeClr w14:val="tx1"/>
            </w14:solidFill>
          </w14:textFill>
        </w:rPr>
      </w:pPr>
    </w:p>
    <w:p w14:paraId="07519A9D">
      <w:pPr>
        <w:rPr>
          <w:color w:val="000000" w:themeColor="text1"/>
          <w:sz w:val="36"/>
          <w:szCs w:val="36"/>
          <w:highlight w:val="none"/>
          <w14:textFill>
            <w14:solidFill>
              <w14:schemeClr w14:val="tx1"/>
            </w14:solidFill>
          </w14:textFill>
        </w:rPr>
      </w:pPr>
    </w:p>
    <w:p w14:paraId="60A6E7C3">
      <w:pPr>
        <w:rPr>
          <w:color w:val="000000" w:themeColor="text1"/>
          <w:sz w:val="36"/>
          <w:szCs w:val="36"/>
          <w:highlight w:val="none"/>
          <w14:textFill>
            <w14:solidFill>
              <w14:schemeClr w14:val="tx1"/>
            </w14:solidFill>
          </w14:textFill>
        </w:rPr>
      </w:pPr>
    </w:p>
    <w:p w14:paraId="4541A50C">
      <w:pPr>
        <w:rPr>
          <w:color w:val="000000" w:themeColor="text1"/>
          <w:sz w:val="36"/>
          <w:szCs w:val="36"/>
          <w:highlight w:val="none"/>
          <w14:textFill>
            <w14:solidFill>
              <w14:schemeClr w14:val="tx1"/>
            </w14:solidFill>
          </w14:textFill>
        </w:rPr>
      </w:pPr>
    </w:p>
    <w:p w14:paraId="44731CCC">
      <w:pPr>
        <w:adjustRightInd w:val="0"/>
        <w:snapToGrid w:val="0"/>
        <w:spacing w:line="1000" w:lineRule="exact"/>
        <w:jc w:val="center"/>
        <w:outlineLvl w:val="0"/>
        <w:rPr>
          <w:b/>
          <w:color w:val="000000" w:themeColor="text1"/>
          <w:sz w:val="72"/>
          <w:szCs w:val="72"/>
          <w:highlight w:val="none"/>
          <w14:textFill>
            <w14:solidFill>
              <w14:schemeClr w14:val="tx1"/>
            </w14:solidFill>
          </w14:textFill>
        </w:rPr>
      </w:pPr>
      <w:r>
        <w:rPr>
          <w:rFonts w:hint="eastAsia"/>
          <w:b/>
          <w:color w:val="000000" w:themeColor="text1"/>
          <w:sz w:val="72"/>
          <w:szCs w:val="72"/>
          <w:highlight w:val="none"/>
          <w:lang w:val="en-US" w:eastAsia="zh-CN"/>
          <w14:textFill>
            <w14:solidFill>
              <w14:schemeClr w14:val="tx1"/>
            </w14:solidFill>
          </w14:textFill>
        </w:rPr>
        <w:t>生态</w:t>
      </w:r>
      <w:r>
        <w:rPr>
          <w:b/>
          <w:color w:val="000000" w:themeColor="text1"/>
          <w:sz w:val="72"/>
          <w:szCs w:val="72"/>
          <w:highlight w:val="none"/>
          <w14:textFill>
            <w14:solidFill>
              <w14:schemeClr w14:val="tx1"/>
            </w14:solidFill>
          </w14:textFill>
        </w:rPr>
        <w:t>环境影响报告表</w:t>
      </w:r>
    </w:p>
    <w:p w14:paraId="39E3B2EA">
      <w:pPr>
        <w:adjustRightInd w:val="0"/>
        <w:snapToGrid w:val="0"/>
        <w:spacing w:before="192" w:beforeLines="80" w:line="800" w:lineRule="exact"/>
        <w:jc w:val="center"/>
        <w:rPr>
          <w:bCs/>
          <w:color w:val="000000" w:themeColor="text1"/>
          <w:sz w:val="48"/>
          <w:szCs w:val="48"/>
          <w:highlight w:val="none"/>
          <w14:textFill>
            <w14:solidFill>
              <w14:schemeClr w14:val="tx1"/>
            </w14:solidFill>
          </w14:textFill>
        </w:rPr>
      </w:pPr>
      <w:r>
        <w:rPr>
          <w:bCs/>
          <w:color w:val="000000" w:themeColor="text1"/>
          <w:sz w:val="48"/>
          <w:szCs w:val="48"/>
          <w:highlight w:val="none"/>
          <w14:textFill>
            <w14:solidFill>
              <w14:schemeClr w14:val="tx1"/>
            </w14:solidFill>
          </w14:textFill>
        </w:rPr>
        <w:t>（污染影响类）</w:t>
      </w:r>
    </w:p>
    <w:p w14:paraId="22877DE5">
      <w:pPr>
        <w:pStyle w:val="21"/>
        <w:spacing w:line="800" w:lineRule="exact"/>
        <w:jc w:val="center"/>
        <w:rPr>
          <w:rFonts w:ascii="Times New Roman" w:hAnsi="Times New Roman"/>
          <w:color w:val="000000" w:themeColor="text1"/>
          <w:highlight w:val="none"/>
          <w14:textFill>
            <w14:solidFill>
              <w14:schemeClr w14:val="tx1"/>
            </w14:solidFill>
          </w14:textFill>
        </w:rPr>
      </w:pPr>
    </w:p>
    <w:p w14:paraId="4DE2A02C">
      <w:pPr>
        <w:pStyle w:val="21"/>
        <w:spacing w:line="800" w:lineRule="exact"/>
        <w:jc w:val="center"/>
        <w:rPr>
          <w:rFonts w:ascii="Times New Roman" w:hAnsi="Times New Roman"/>
          <w:color w:val="000000" w:themeColor="text1"/>
          <w:highlight w:val="none"/>
          <w14:textFill>
            <w14:solidFill>
              <w14:schemeClr w14:val="tx1"/>
            </w14:solidFill>
          </w14:textFill>
        </w:rPr>
      </w:pPr>
    </w:p>
    <w:p w14:paraId="565021CA">
      <w:pPr>
        <w:adjustRightInd w:val="0"/>
        <w:snapToGrid w:val="0"/>
        <w:spacing w:line="288" w:lineRule="auto"/>
        <w:jc w:val="center"/>
        <w:rPr>
          <w:color w:val="000000" w:themeColor="text1"/>
          <w:kern w:val="44"/>
          <w:sz w:val="44"/>
          <w:szCs w:val="44"/>
          <w:highlight w:val="none"/>
          <w14:textFill>
            <w14:solidFill>
              <w14:schemeClr w14:val="tx1"/>
            </w14:solidFill>
          </w14:textFill>
        </w:rPr>
      </w:pPr>
    </w:p>
    <w:p w14:paraId="0009110C">
      <w:pPr>
        <w:ind w:firstLine="1040"/>
        <w:rPr>
          <w:color w:val="000000" w:themeColor="text1"/>
          <w:sz w:val="44"/>
          <w:szCs w:val="44"/>
          <w:highlight w:val="none"/>
          <w14:textFill>
            <w14:solidFill>
              <w14:schemeClr w14:val="tx1"/>
            </w14:solidFill>
          </w14:textFill>
        </w:rPr>
      </w:pPr>
    </w:p>
    <w:p w14:paraId="747FD89F">
      <w:pPr>
        <w:adjustRightInd w:val="0"/>
        <w:snapToGrid w:val="0"/>
        <w:spacing w:line="600" w:lineRule="exact"/>
        <w:ind w:left="1800" w:hanging="1800" w:hangingChars="500"/>
        <w:rPr>
          <w:rFonts w:hint="eastAsia" w:eastAsia="宋体"/>
          <w:color w:val="000000" w:themeColor="text1"/>
          <w:sz w:val="36"/>
          <w:szCs w:val="36"/>
          <w:highlight w:val="none"/>
          <w:u w:val="single"/>
          <w:lang w:eastAsia="zh-CN"/>
          <w14:textFill>
            <w14:solidFill>
              <w14:schemeClr w14:val="tx1"/>
            </w14:solidFill>
          </w14:textFill>
        </w:rPr>
      </w:pPr>
      <w:r>
        <w:rPr>
          <w:color w:val="000000" w:themeColor="text1"/>
          <w:sz w:val="36"/>
          <w:szCs w:val="36"/>
          <w:highlight w:val="none"/>
          <w14:textFill>
            <w14:solidFill>
              <w14:schemeClr w14:val="tx1"/>
            </w14:solidFill>
          </w14:textFill>
        </w:rPr>
        <w:t>项目名称：</w:t>
      </w:r>
      <w:r>
        <w:rPr>
          <w:rFonts w:hint="eastAsia"/>
          <w:color w:val="000000" w:themeColor="text1"/>
          <w:sz w:val="36"/>
          <w:szCs w:val="36"/>
          <w:highlight w:val="none"/>
          <w:u w:val="single"/>
          <w14:textFill>
            <w14:solidFill>
              <w14:schemeClr w14:val="tx1"/>
            </w14:solidFill>
          </w14:textFill>
        </w:rPr>
        <w:t xml:space="preserve">           </w:t>
      </w:r>
      <w:r>
        <w:rPr>
          <w:rFonts w:hint="eastAsia"/>
          <w:color w:val="000000" w:themeColor="text1"/>
          <w:sz w:val="36"/>
          <w:szCs w:val="36"/>
          <w:highlight w:val="none"/>
          <w:u w:val="single"/>
          <w:lang w:eastAsia="zh-CN"/>
          <w14:textFill>
            <w14:solidFill>
              <w14:schemeClr w14:val="tx1"/>
            </w14:solidFill>
          </w14:textFill>
        </w:rPr>
        <w:t>汽车连接件生产项目</w:t>
      </w:r>
      <w:r>
        <w:rPr>
          <w:rFonts w:hint="eastAsia"/>
          <w:color w:val="000000" w:themeColor="text1"/>
          <w:sz w:val="36"/>
          <w:szCs w:val="36"/>
          <w:highlight w:val="none"/>
          <w:u w:val="single"/>
          <w:lang w:val="en-US" w:eastAsia="zh-CN"/>
          <w14:textFill>
            <w14:solidFill>
              <w14:schemeClr w14:val="tx1"/>
            </w14:solidFill>
          </w14:textFill>
        </w:rPr>
        <w:t xml:space="preserve">            </w:t>
      </w:r>
      <w:r>
        <w:rPr>
          <w:rFonts w:hint="eastAsia"/>
          <w:color w:val="000000" w:themeColor="text1"/>
          <w:sz w:val="36"/>
          <w:szCs w:val="36"/>
          <w:highlight w:val="none"/>
          <w:u w:val="single"/>
          <w14:textFill>
            <w14:solidFill>
              <w14:schemeClr w14:val="tx1"/>
            </w14:solidFill>
          </w14:textFill>
        </w:rPr>
        <w:t xml:space="preserve">   </w:t>
      </w:r>
    </w:p>
    <w:p w14:paraId="3485E175">
      <w:pPr>
        <w:adjustRightInd w:val="0"/>
        <w:snapToGrid w:val="0"/>
        <w:spacing w:line="600" w:lineRule="exact"/>
        <w:jc w:val="left"/>
        <w:rPr>
          <w:color w:val="000000" w:themeColor="text1"/>
          <w:sz w:val="36"/>
          <w:szCs w:val="36"/>
          <w:highlight w:val="none"/>
          <w:u w:val="single"/>
          <w14:textFill>
            <w14:solidFill>
              <w14:schemeClr w14:val="tx1"/>
            </w14:solidFill>
          </w14:textFill>
        </w:rPr>
      </w:pPr>
      <w:r>
        <w:rPr>
          <w:color w:val="000000" w:themeColor="text1"/>
          <w:sz w:val="36"/>
          <w:szCs w:val="36"/>
          <w:highlight w:val="none"/>
          <w14:textFill>
            <w14:solidFill>
              <w14:schemeClr w14:val="tx1"/>
            </w14:solidFill>
          </w14:textFill>
        </w:rPr>
        <w:t>建设单位：</w:t>
      </w:r>
      <w:r>
        <w:rPr>
          <w:rFonts w:hint="eastAsia"/>
          <w:color w:val="000000" w:themeColor="text1"/>
          <w:sz w:val="36"/>
          <w:szCs w:val="36"/>
          <w:highlight w:val="none"/>
          <w:u w:val="single"/>
          <w14:textFill>
            <w14:solidFill>
              <w14:schemeClr w14:val="tx1"/>
            </w14:solidFill>
          </w14:textFill>
        </w:rPr>
        <w:t xml:space="preserve">  </w:t>
      </w:r>
      <w:r>
        <w:rPr>
          <w:rFonts w:hint="eastAsia"/>
          <w:color w:val="000000" w:themeColor="text1"/>
          <w:sz w:val="36"/>
          <w:szCs w:val="36"/>
          <w:highlight w:val="none"/>
          <w:u w:val="single"/>
          <w:lang w:val="en-US" w:eastAsia="zh-CN"/>
          <w14:textFill>
            <w14:solidFill>
              <w14:schemeClr w14:val="tx1"/>
            </w14:solidFill>
          </w14:textFill>
        </w:rPr>
        <w:t xml:space="preserve">    </w:t>
      </w:r>
      <w:bookmarkStart w:id="22" w:name="_GoBack"/>
      <w:r>
        <w:rPr>
          <w:rFonts w:hint="eastAsia"/>
          <w:color w:val="000000" w:themeColor="text1"/>
          <w:sz w:val="36"/>
          <w:szCs w:val="36"/>
          <w:highlight w:val="none"/>
          <w:u w:val="single"/>
          <w:lang w:eastAsia="zh-CN"/>
          <w14:textFill>
            <w14:solidFill>
              <w14:schemeClr w14:val="tx1"/>
            </w14:solidFill>
          </w14:textFill>
        </w:rPr>
        <w:t>南京富长盛自动化设备有限公司</w:t>
      </w:r>
      <w:bookmarkEnd w:id="22"/>
      <w:r>
        <w:rPr>
          <w:rFonts w:hint="eastAsia"/>
          <w:color w:val="000000" w:themeColor="text1"/>
          <w:sz w:val="36"/>
          <w:szCs w:val="36"/>
          <w:highlight w:val="none"/>
          <w:u w:val="single"/>
          <w14:textFill>
            <w14:solidFill>
              <w14:schemeClr w14:val="tx1"/>
            </w14:solidFill>
          </w14:textFill>
        </w:rPr>
        <w:t xml:space="preserve">          </w:t>
      </w:r>
    </w:p>
    <w:p w14:paraId="26B093C9">
      <w:pPr>
        <w:adjustRightInd w:val="0"/>
        <w:snapToGrid w:val="0"/>
        <w:spacing w:line="600" w:lineRule="exact"/>
        <w:jc w:val="left"/>
        <w:rPr>
          <w:color w:val="000000" w:themeColor="text1"/>
          <w:sz w:val="36"/>
          <w:szCs w:val="36"/>
          <w:highlight w:val="none"/>
          <w:u w:val="single"/>
          <w14:textFill>
            <w14:solidFill>
              <w14:schemeClr w14:val="tx1"/>
            </w14:solidFill>
          </w14:textFill>
        </w:rPr>
      </w:pPr>
      <w:r>
        <w:rPr>
          <w:color w:val="000000" w:themeColor="text1"/>
          <w:sz w:val="36"/>
          <w:szCs w:val="36"/>
          <w:highlight w:val="none"/>
          <w14:textFill>
            <w14:solidFill>
              <w14:schemeClr w14:val="tx1"/>
            </w14:solidFill>
          </w14:textFill>
        </w:rPr>
        <w:t>编制日期：</w:t>
      </w:r>
      <w:r>
        <w:rPr>
          <w:color w:val="000000" w:themeColor="text1"/>
          <w:sz w:val="36"/>
          <w:szCs w:val="36"/>
          <w:highlight w:val="none"/>
          <w:u w:val="single"/>
          <w14:textFill>
            <w14:solidFill>
              <w14:schemeClr w14:val="tx1"/>
            </w14:solidFill>
          </w14:textFill>
        </w:rPr>
        <w:t xml:space="preserve">    </w:t>
      </w:r>
      <w:r>
        <w:rPr>
          <w:rFonts w:hint="eastAsia"/>
          <w:color w:val="000000" w:themeColor="text1"/>
          <w:sz w:val="36"/>
          <w:szCs w:val="36"/>
          <w:highlight w:val="none"/>
          <w:u w:val="single"/>
          <w14:textFill>
            <w14:solidFill>
              <w14:schemeClr w14:val="tx1"/>
            </w14:solidFill>
          </w14:textFill>
        </w:rPr>
        <w:t xml:space="preserve">           </w:t>
      </w:r>
      <w:r>
        <w:rPr>
          <w:color w:val="000000" w:themeColor="text1"/>
          <w:sz w:val="36"/>
          <w:szCs w:val="36"/>
          <w:highlight w:val="none"/>
          <w:u w:val="single"/>
          <w14:textFill>
            <w14:solidFill>
              <w14:schemeClr w14:val="tx1"/>
            </w14:solidFill>
          </w14:textFill>
        </w:rPr>
        <w:t>202</w:t>
      </w:r>
      <w:r>
        <w:rPr>
          <w:rFonts w:hint="eastAsia"/>
          <w:color w:val="000000" w:themeColor="text1"/>
          <w:sz w:val="36"/>
          <w:szCs w:val="36"/>
          <w:highlight w:val="none"/>
          <w:u w:val="single"/>
          <w:lang w:val="en-US" w:eastAsia="zh-CN"/>
          <w14:textFill>
            <w14:solidFill>
              <w14:schemeClr w14:val="tx1"/>
            </w14:solidFill>
          </w14:textFill>
        </w:rPr>
        <w:t>6</w:t>
      </w:r>
      <w:r>
        <w:rPr>
          <w:color w:val="000000" w:themeColor="text1"/>
          <w:sz w:val="36"/>
          <w:szCs w:val="36"/>
          <w:highlight w:val="none"/>
          <w:u w:val="single"/>
          <w14:textFill>
            <w14:solidFill>
              <w14:schemeClr w14:val="tx1"/>
            </w14:solidFill>
          </w14:textFill>
        </w:rPr>
        <w:t>年</w:t>
      </w:r>
      <w:r>
        <w:rPr>
          <w:rFonts w:hint="eastAsia"/>
          <w:color w:val="000000" w:themeColor="text1"/>
          <w:sz w:val="36"/>
          <w:szCs w:val="36"/>
          <w:highlight w:val="none"/>
          <w:u w:val="single"/>
          <w:lang w:val="en-US" w:eastAsia="zh-CN"/>
          <w14:textFill>
            <w14:solidFill>
              <w14:schemeClr w14:val="tx1"/>
            </w14:solidFill>
          </w14:textFill>
        </w:rPr>
        <w:t>8</w:t>
      </w:r>
      <w:r>
        <w:rPr>
          <w:color w:val="000000" w:themeColor="text1"/>
          <w:sz w:val="36"/>
          <w:szCs w:val="36"/>
          <w:highlight w:val="none"/>
          <w:u w:val="single"/>
          <w14:textFill>
            <w14:solidFill>
              <w14:schemeClr w14:val="tx1"/>
            </w14:solidFill>
          </w14:textFill>
        </w:rPr>
        <w:t xml:space="preserve">月    </w:t>
      </w:r>
      <w:r>
        <w:rPr>
          <w:rFonts w:hint="eastAsia"/>
          <w:color w:val="000000" w:themeColor="text1"/>
          <w:sz w:val="36"/>
          <w:szCs w:val="36"/>
          <w:highlight w:val="none"/>
          <w:u w:val="single"/>
          <w14:textFill>
            <w14:solidFill>
              <w14:schemeClr w14:val="tx1"/>
            </w14:solidFill>
          </w14:textFill>
        </w:rPr>
        <w:t xml:space="preserve">   </w:t>
      </w:r>
      <w:r>
        <w:rPr>
          <w:color w:val="000000" w:themeColor="text1"/>
          <w:sz w:val="36"/>
          <w:szCs w:val="36"/>
          <w:highlight w:val="none"/>
          <w:u w:val="single"/>
          <w14:textFill>
            <w14:solidFill>
              <w14:schemeClr w14:val="tx1"/>
            </w14:solidFill>
          </w14:textFill>
        </w:rPr>
        <w:t xml:space="preserve">       </w:t>
      </w:r>
    </w:p>
    <w:p w14:paraId="6449CACC">
      <w:pPr>
        <w:adjustRightInd w:val="0"/>
        <w:snapToGrid w:val="0"/>
        <w:spacing w:line="288" w:lineRule="auto"/>
        <w:ind w:firstLine="1040"/>
        <w:rPr>
          <w:color w:val="000000" w:themeColor="text1"/>
          <w:sz w:val="32"/>
          <w:szCs w:val="32"/>
          <w:highlight w:val="none"/>
          <w:u w:val="single"/>
          <w14:textFill>
            <w14:solidFill>
              <w14:schemeClr w14:val="tx1"/>
            </w14:solidFill>
          </w14:textFill>
        </w:rPr>
      </w:pPr>
    </w:p>
    <w:p w14:paraId="343DA46E">
      <w:pPr>
        <w:adjustRightInd w:val="0"/>
        <w:snapToGrid w:val="0"/>
        <w:spacing w:line="288" w:lineRule="auto"/>
        <w:ind w:firstLine="1040"/>
        <w:rPr>
          <w:color w:val="000000" w:themeColor="text1"/>
          <w:sz w:val="36"/>
          <w:szCs w:val="36"/>
          <w:highlight w:val="none"/>
          <w:u w:val="single"/>
          <w14:textFill>
            <w14:solidFill>
              <w14:schemeClr w14:val="tx1"/>
            </w14:solidFill>
          </w14:textFill>
        </w:rPr>
      </w:pPr>
    </w:p>
    <w:p w14:paraId="28D02C49">
      <w:pPr>
        <w:adjustRightInd w:val="0"/>
        <w:snapToGrid w:val="0"/>
        <w:spacing w:line="288" w:lineRule="auto"/>
        <w:ind w:firstLine="1040"/>
        <w:rPr>
          <w:color w:val="000000" w:themeColor="text1"/>
          <w:sz w:val="36"/>
          <w:szCs w:val="36"/>
          <w:highlight w:val="none"/>
          <w14:textFill>
            <w14:solidFill>
              <w14:schemeClr w14:val="tx1"/>
            </w14:solidFill>
          </w14:textFill>
        </w:rPr>
      </w:pPr>
    </w:p>
    <w:p w14:paraId="158E3F34">
      <w:pPr>
        <w:adjustRightInd w:val="0"/>
        <w:snapToGrid w:val="0"/>
        <w:spacing w:line="288" w:lineRule="auto"/>
        <w:ind w:firstLine="1040"/>
        <w:rPr>
          <w:color w:val="000000" w:themeColor="text1"/>
          <w:sz w:val="36"/>
          <w:szCs w:val="36"/>
          <w:highlight w:val="none"/>
          <w14:textFill>
            <w14:solidFill>
              <w14:schemeClr w14:val="tx1"/>
            </w14:solidFill>
          </w14:textFill>
        </w:rPr>
      </w:pPr>
    </w:p>
    <w:p w14:paraId="369F5227">
      <w:pPr>
        <w:adjustRightInd w:val="0"/>
        <w:snapToGrid w:val="0"/>
        <w:spacing w:line="288" w:lineRule="auto"/>
        <w:ind w:firstLine="1040"/>
        <w:rPr>
          <w:color w:val="000000" w:themeColor="text1"/>
          <w:sz w:val="36"/>
          <w:szCs w:val="36"/>
          <w:highlight w:val="none"/>
          <w14:textFill>
            <w14:solidFill>
              <w14:schemeClr w14:val="tx1"/>
            </w14:solidFill>
          </w14:textFill>
        </w:rPr>
      </w:pPr>
    </w:p>
    <w:p w14:paraId="24E066D4">
      <w:pPr>
        <w:adjustRightInd w:val="0"/>
        <w:snapToGrid w:val="0"/>
        <w:spacing w:line="288" w:lineRule="auto"/>
        <w:ind w:firstLine="1040"/>
        <w:rPr>
          <w:color w:val="000000" w:themeColor="text1"/>
          <w:sz w:val="36"/>
          <w:szCs w:val="36"/>
          <w:highlight w:val="none"/>
          <w14:textFill>
            <w14:solidFill>
              <w14:schemeClr w14:val="tx1"/>
            </w14:solidFill>
          </w14:textFill>
        </w:rPr>
      </w:pPr>
    </w:p>
    <w:p w14:paraId="3B38AA61">
      <w:pPr>
        <w:adjustRightInd w:val="0"/>
        <w:snapToGrid w:val="0"/>
        <w:spacing w:line="288" w:lineRule="auto"/>
        <w:jc w:val="center"/>
        <w:rPr>
          <w:color w:val="000000" w:themeColor="text1"/>
          <w:sz w:val="36"/>
          <w:szCs w:val="36"/>
          <w:highlight w:val="none"/>
          <w14:textFill>
            <w14:solidFill>
              <w14:schemeClr w14:val="tx1"/>
            </w14:solidFill>
          </w14:textFill>
        </w:rPr>
      </w:pPr>
      <w:r>
        <w:rPr>
          <w:color w:val="000000" w:themeColor="text1"/>
          <w:sz w:val="36"/>
          <w:szCs w:val="36"/>
          <w:highlight w:val="none"/>
          <w14:textFill>
            <w14:solidFill>
              <w14:schemeClr w14:val="tx1"/>
            </w14:solidFill>
          </w14:textFill>
        </w:rPr>
        <w:t>中华人民共和国生态环境部制</w:t>
      </w:r>
    </w:p>
    <w:p w14:paraId="163A531D">
      <w:pPr>
        <w:adjustRightInd w:val="0"/>
        <w:snapToGrid w:val="0"/>
        <w:spacing w:line="288" w:lineRule="auto"/>
        <w:ind w:firstLine="1040"/>
        <w:rPr>
          <w:color w:val="000000" w:themeColor="text1"/>
          <w:sz w:val="36"/>
          <w:szCs w:val="36"/>
          <w:highlight w:val="none"/>
          <w14:textFill>
            <w14:solidFill>
              <w14:schemeClr w14:val="tx1"/>
            </w14:solidFill>
          </w14:textFill>
        </w:rPr>
        <w:sectPr>
          <w:footerReference r:id="rId3" w:type="default"/>
          <w:footerReference r:id="rId4" w:type="even"/>
          <w:pgSz w:w="11906" w:h="16838"/>
          <w:pgMar w:top="1701" w:right="1304" w:bottom="1701" w:left="1361" w:header="851" w:footer="1077" w:gutter="0"/>
          <w:pgBorders>
            <w:top w:val="none" w:sz="0" w:space="0"/>
            <w:left w:val="none" w:sz="0" w:space="0"/>
            <w:bottom w:val="none" w:sz="0" w:space="0"/>
            <w:right w:val="none" w:sz="0" w:space="0"/>
          </w:pgBorders>
          <w:pgNumType w:start="3"/>
          <w:cols w:space="720" w:num="1"/>
          <w:docGrid w:linePitch="312" w:charSpace="0"/>
        </w:sectPr>
      </w:pPr>
    </w:p>
    <w:p w14:paraId="6554A445">
      <w:pPr>
        <w:pStyle w:val="34"/>
        <w:jc w:val="center"/>
        <w:outlineLvl w:val="0"/>
        <w:rPr>
          <w:rFonts w:ascii="黑体" w:hAnsi="黑体" w:eastAsia="黑体" w:cs="黑体"/>
          <w:snapToGrid w:val="0"/>
          <w:color w:val="000000" w:themeColor="text1"/>
          <w:sz w:val="30"/>
          <w:szCs w:val="30"/>
          <w:highlight w:val="none"/>
          <w14:textFill>
            <w14:solidFill>
              <w14:schemeClr w14:val="tx1"/>
            </w14:solidFill>
          </w14:textFill>
        </w:rPr>
      </w:pPr>
      <w:r>
        <w:rPr>
          <w:rFonts w:hint="eastAsia" w:ascii="黑体" w:hAnsi="黑体" w:eastAsia="黑体" w:cs="黑体"/>
          <w:snapToGrid w:val="0"/>
          <w:color w:val="000000" w:themeColor="text1"/>
          <w:sz w:val="30"/>
          <w:szCs w:val="30"/>
          <w:highlight w:val="none"/>
          <w14:textFill>
            <w14:solidFill>
              <w14:schemeClr w14:val="tx1"/>
            </w14:solidFill>
          </w14:textFill>
        </w:rPr>
        <w:t>一、建设项目基本情况</w:t>
      </w:r>
    </w:p>
    <w:tbl>
      <w:tblPr>
        <w:tblStyle w:val="3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159"/>
        <w:gridCol w:w="1619"/>
        <w:gridCol w:w="2166"/>
        <w:gridCol w:w="3926"/>
      </w:tblGrid>
      <w:tr w14:paraId="7180DE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159" w:type="dxa"/>
            <w:tcMar>
              <w:top w:w="16" w:type="dxa"/>
              <w:left w:w="16" w:type="dxa"/>
              <w:right w:w="16" w:type="dxa"/>
            </w:tcMar>
            <w:vAlign w:val="center"/>
          </w:tcPr>
          <w:p w14:paraId="57E62890">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建设项目名称</w:t>
            </w:r>
          </w:p>
        </w:tc>
        <w:tc>
          <w:tcPr>
            <w:tcW w:w="7711" w:type="dxa"/>
            <w:gridSpan w:val="3"/>
            <w:vAlign w:val="center"/>
          </w:tcPr>
          <w:p w14:paraId="2CBBE617">
            <w:pPr>
              <w:adjustRightInd w:val="0"/>
              <w:snapToGrid w:val="0"/>
              <w:jc w:val="center"/>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汽车连接件生产项目</w:t>
            </w:r>
          </w:p>
        </w:tc>
      </w:tr>
      <w:tr w14:paraId="74B934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1" w:hRule="atLeast"/>
          <w:jc w:val="center"/>
        </w:trPr>
        <w:tc>
          <w:tcPr>
            <w:tcW w:w="1159" w:type="dxa"/>
            <w:tcMar>
              <w:top w:w="16" w:type="dxa"/>
              <w:left w:w="16" w:type="dxa"/>
              <w:right w:w="16" w:type="dxa"/>
            </w:tcMar>
            <w:vAlign w:val="center"/>
          </w:tcPr>
          <w:p w14:paraId="24BA97D4">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项目代码</w:t>
            </w:r>
          </w:p>
        </w:tc>
        <w:tc>
          <w:tcPr>
            <w:tcW w:w="7711" w:type="dxa"/>
            <w:gridSpan w:val="3"/>
            <w:vAlign w:val="center"/>
          </w:tcPr>
          <w:p w14:paraId="4A455A48">
            <w:pPr>
              <w:adjustRightInd w:val="0"/>
              <w:snapToGrid w:val="0"/>
              <w:jc w:val="center"/>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2607-320156-89-01-613954</w:t>
            </w:r>
          </w:p>
        </w:tc>
      </w:tr>
      <w:tr w14:paraId="787A51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159" w:type="dxa"/>
            <w:tcMar>
              <w:top w:w="16" w:type="dxa"/>
              <w:left w:w="16" w:type="dxa"/>
              <w:right w:w="16" w:type="dxa"/>
            </w:tcMar>
            <w:vAlign w:val="center"/>
          </w:tcPr>
          <w:p w14:paraId="383B1BDC">
            <w:pPr>
              <w:adjustRightInd w:val="0"/>
              <w:snapToGrid w:val="0"/>
              <w:jc w:val="center"/>
              <w:rPr>
                <w:rFonts w:hint="eastAsia" w:ascii="Times New Roman" w:hAnsi="Times New Roman" w:eastAsia="宋体" w:cs="Times New Roman"/>
                <w:color w:val="000000" w:themeColor="text1"/>
                <w:sz w:val="24"/>
                <w:highlight w:val="none"/>
                <w:lang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eastAsia="zh-CN"/>
                <w14:textFill>
                  <w14:solidFill>
                    <w14:schemeClr w14:val="tx1"/>
                  </w14:solidFill>
                </w14:textFill>
              </w:rPr>
              <w:t>建设单位联系人</w:t>
            </w:r>
          </w:p>
        </w:tc>
        <w:tc>
          <w:tcPr>
            <w:tcW w:w="1619" w:type="dxa"/>
            <w:vAlign w:val="center"/>
          </w:tcPr>
          <w:p w14:paraId="3C70BAB6">
            <w:pPr>
              <w:adjustRightInd w:val="0"/>
              <w:snapToGrid w:val="0"/>
              <w:jc w:val="center"/>
              <w:rPr>
                <w:rFonts w:hint="eastAsia" w:ascii="Times New Roman" w:hAnsi="Times New Roman" w:eastAsia="宋体" w:cs="Times New Roman"/>
                <w:color w:val="000000" w:themeColor="text1"/>
                <w:sz w:val="24"/>
                <w:highlight w:val="none"/>
                <w:lang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何特</w:t>
            </w:r>
          </w:p>
        </w:tc>
        <w:tc>
          <w:tcPr>
            <w:tcW w:w="2166" w:type="dxa"/>
            <w:vAlign w:val="center"/>
          </w:tcPr>
          <w:p w14:paraId="46CF6476">
            <w:pPr>
              <w:adjustRightInd w:val="0"/>
              <w:snapToGrid w:val="0"/>
              <w:jc w:val="center"/>
              <w:rPr>
                <w:rFonts w:hint="eastAsia" w:ascii="Times New Roman" w:hAnsi="Times New Roman" w:eastAsia="宋体" w:cs="Times New Roman"/>
                <w:color w:val="000000" w:themeColor="text1"/>
                <w:sz w:val="24"/>
                <w:highlight w:val="none"/>
                <w:lang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eastAsia="zh-CN"/>
                <w14:textFill>
                  <w14:solidFill>
                    <w14:schemeClr w14:val="tx1"/>
                  </w14:solidFill>
                </w14:textFill>
              </w:rPr>
              <w:t>联系方式</w:t>
            </w:r>
          </w:p>
        </w:tc>
        <w:tc>
          <w:tcPr>
            <w:tcW w:w="3926" w:type="dxa"/>
            <w:vAlign w:val="center"/>
          </w:tcPr>
          <w:p w14:paraId="771C6648">
            <w:pPr>
              <w:adjustRightInd w:val="0"/>
              <w:snapToGrid w:val="0"/>
              <w:jc w:val="center"/>
              <w:rPr>
                <w:rFonts w:hint="eastAsia" w:ascii="Times New Roman" w:hAnsi="Times New Roman" w:eastAsia="宋体" w:cs="Times New Roman"/>
                <w:color w:val="000000" w:themeColor="text1"/>
                <w:sz w:val="24"/>
                <w:highlight w:val="none"/>
                <w:lang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15050599327</w:t>
            </w:r>
          </w:p>
        </w:tc>
      </w:tr>
      <w:tr w14:paraId="312724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159" w:type="dxa"/>
            <w:tcMar>
              <w:top w:w="16" w:type="dxa"/>
              <w:left w:w="16" w:type="dxa"/>
              <w:right w:w="16" w:type="dxa"/>
            </w:tcMar>
            <w:vAlign w:val="center"/>
          </w:tcPr>
          <w:p w14:paraId="70B1FC5F">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建设地点</w:t>
            </w:r>
          </w:p>
        </w:tc>
        <w:tc>
          <w:tcPr>
            <w:tcW w:w="7711" w:type="dxa"/>
            <w:gridSpan w:val="3"/>
            <w:vAlign w:val="center"/>
          </w:tcPr>
          <w:p w14:paraId="414A5E29">
            <w:pPr>
              <w:adjustRightInd w:val="0"/>
              <w:snapToGrid w:val="0"/>
              <w:jc w:val="center"/>
              <w:rPr>
                <w:rFonts w:hint="eastAsia" w:eastAsia="宋体"/>
                <w:color w:val="000000" w:themeColor="text1"/>
                <w:sz w:val="24"/>
                <w:highlight w:val="none"/>
                <w:lang w:eastAsia="zh-CN"/>
                <w14:textFill>
                  <w14:solidFill>
                    <w14:schemeClr w14:val="tx1"/>
                  </w14:solidFill>
                </w14:textFill>
              </w:rPr>
            </w:pPr>
            <w:bookmarkStart w:id="0" w:name="OLE_LINK9"/>
            <w:r>
              <w:rPr>
                <w:color w:val="000000" w:themeColor="text1"/>
                <w:sz w:val="24"/>
                <w:highlight w:val="none"/>
                <w:u w:val="single"/>
                <w14:textFill>
                  <w14:solidFill>
                    <w14:schemeClr w14:val="tx1"/>
                  </w14:solidFill>
                </w14:textFill>
              </w:rPr>
              <w:t>江苏</w:t>
            </w:r>
            <w:r>
              <w:rPr>
                <w:color w:val="000000" w:themeColor="text1"/>
                <w:sz w:val="24"/>
                <w:highlight w:val="none"/>
                <w14:textFill>
                  <w14:solidFill>
                    <w14:schemeClr w14:val="tx1"/>
                  </w14:solidFill>
                </w14:textFill>
              </w:rPr>
              <w:t>省</w:t>
            </w:r>
            <w:bookmarkEnd w:id="0"/>
            <w:r>
              <w:rPr>
                <w:rFonts w:hint="eastAsia"/>
                <w:color w:val="000000" w:themeColor="text1"/>
                <w:sz w:val="24"/>
                <w:highlight w:val="none"/>
                <w:u w:val="single"/>
                <w:lang w:eastAsia="zh-CN"/>
                <w14:textFill>
                  <w14:solidFill>
                    <w14:schemeClr w14:val="tx1"/>
                  </w14:solidFill>
                </w14:textFill>
              </w:rPr>
              <w:t>南京市江宁区禄口街道蓝天路218号</w:t>
            </w:r>
          </w:p>
        </w:tc>
      </w:tr>
      <w:tr w14:paraId="0117BD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159" w:type="dxa"/>
            <w:tcMar>
              <w:top w:w="16" w:type="dxa"/>
              <w:left w:w="16" w:type="dxa"/>
              <w:right w:w="16" w:type="dxa"/>
            </w:tcMar>
            <w:vAlign w:val="center"/>
          </w:tcPr>
          <w:p w14:paraId="6FF7BEFA">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地理坐标</w:t>
            </w:r>
          </w:p>
        </w:tc>
        <w:tc>
          <w:tcPr>
            <w:tcW w:w="7711" w:type="dxa"/>
            <w:gridSpan w:val="3"/>
            <w:vAlign w:val="center"/>
          </w:tcPr>
          <w:p w14:paraId="4F721C7F">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r>
              <w:rPr>
                <w:color w:val="000000" w:themeColor="text1"/>
                <w:sz w:val="24"/>
                <w:highlight w:val="none"/>
                <w:u w:val="single"/>
                <w14:textFill>
                  <w14:solidFill>
                    <w14:schemeClr w14:val="tx1"/>
                  </w14:solidFill>
                </w14:textFill>
              </w:rPr>
              <w:t>118</w:t>
            </w:r>
            <w:r>
              <w:rPr>
                <w:color w:val="000000" w:themeColor="text1"/>
                <w:sz w:val="24"/>
                <w:highlight w:val="none"/>
                <w14:textFill>
                  <w14:solidFill>
                    <w14:schemeClr w14:val="tx1"/>
                  </w14:solidFill>
                </w14:textFill>
              </w:rPr>
              <w:t>度</w:t>
            </w:r>
            <w:r>
              <w:rPr>
                <w:rFonts w:hint="eastAsia"/>
                <w:color w:val="000000" w:themeColor="text1"/>
                <w:sz w:val="24"/>
                <w:highlight w:val="none"/>
                <w:u w:val="single"/>
                <w:lang w:val="en-US" w:eastAsia="zh-CN"/>
                <w14:textFill>
                  <w14:solidFill>
                    <w14:schemeClr w14:val="tx1"/>
                  </w14:solidFill>
                </w14:textFill>
              </w:rPr>
              <w:t>50</w:t>
            </w:r>
            <w:r>
              <w:rPr>
                <w:color w:val="000000" w:themeColor="text1"/>
                <w:sz w:val="24"/>
                <w:highlight w:val="none"/>
                <w14:textFill>
                  <w14:solidFill>
                    <w14:schemeClr w14:val="tx1"/>
                  </w14:solidFill>
                </w14:textFill>
              </w:rPr>
              <w:t>分</w:t>
            </w:r>
            <w:r>
              <w:rPr>
                <w:rFonts w:hint="eastAsia"/>
                <w:color w:val="000000" w:themeColor="text1"/>
                <w:sz w:val="24"/>
                <w:highlight w:val="none"/>
                <w:u w:val="single"/>
                <w:lang w:val="en-US" w:eastAsia="zh-CN"/>
                <w14:textFill>
                  <w14:solidFill>
                    <w14:schemeClr w14:val="tx1"/>
                  </w14:solidFill>
                </w14:textFill>
              </w:rPr>
              <w:t>23.842</w:t>
            </w:r>
            <w:r>
              <w:rPr>
                <w:color w:val="000000" w:themeColor="text1"/>
                <w:sz w:val="24"/>
                <w:highlight w:val="none"/>
                <w14:textFill>
                  <w14:solidFill>
                    <w14:schemeClr w14:val="tx1"/>
                  </w14:solidFill>
                </w14:textFill>
              </w:rPr>
              <w:t>秒，</w:t>
            </w:r>
            <w:r>
              <w:rPr>
                <w:color w:val="000000" w:themeColor="text1"/>
                <w:sz w:val="24"/>
                <w:highlight w:val="none"/>
                <w:u w:val="single"/>
                <w14:textFill>
                  <w14:solidFill>
                    <w14:schemeClr w14:val="tx1"/>
                  </w14:solidFill>
                </w14:textFill>
              </w:rPr>
              <w:t>31</w:t>
            </w:r>
            <w:r>
              <w:rPr>
                <w:color w:val="000000" w:themeColor="text1"/>
                <w:sz w:val="24"/>
                <w:highlight w:val="none"/>
                <w14:textFill>
                  <w14:solidFill>
                    <w14:schemeClr w14:val="tx1"/>
                  </w14:solidFill>
                </w14:textFill>
              </w:rPr>
              <w:t>度</w:t>
            </w:r>
            <w:r>
              <w:rPr>
                <w:rFonts w:hint="eastAsia"/>
                <w:color w:val="000000" w:themeColor="text1"/>
                <w:sz w:val="24"/>
                <w:highlight w:val="none"/>
                <w:u w:val="single"/>
                <w:lang w:val="en-US" w:eastAsia="zh-CN"/>
                <w14:textFill>
                  <w14:solidFill>
                    <w14:schemeClr w14:val="tx1"/>
                  </w14:solidFill>
                </w14:textFill>
              </w:rPr>
              <w:t>46</w:t>
            </w:r>
            <w:r>
              <w:rPr>
                <w:color w:val="000000" w:themeColor="text1"/>
                <w:sz w:val="24"/>
                <w:highlight w:val="none"/>
                <w14:textFill>
                  <w14:solidFill>
                    <w14:schemeClr w14:val="tx1"/>
                  </w14:solidFill>
                </w14:textFill>
              </w:rPr>
              <w:t>分</w:t>
            </w:r>
            <w:r>
              <w:rPr>
                <w:rFonts w:hint="eastAsia"/>
                <w:color w:val="000000" w:themeColor="text1"/>
                <w:sz w:val="24"/>
                <w:highlight w:val="none"/>
                <w:u w:val="single"/>
                <w:lang w:val="en-US" w:eastAsia="zh-CN"/>
                <w14:textFill>
                  <w14:solidFill>
                    <w14:schemeClr w14:val="tx1"/>
                  </w14:solidFill>
                </w14:textFill>
              </w:rPr>
              <w:t>27.151</w:t>
            </w:r>
            <w:r>
              <w:rPr>
                <w:color w:val="000000" w:themeColor="text1"/>
                <w:sz w:val="24"/>
                <w:highlight w:val="none"/>
                <w14:textFill>
                  <w14:solidFill>
                    <w14:schemeClr w14:val="tx1"/>
                  </w14:solidFill>
                </w14:textFill>
              </w:rPr>
              <w:t>秒）</w:t>
            </w:r>
          </w:p>
        </w:tc>
      </w:tr>
      <w:tr w14:paraId="2DD8F9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48" w:hRule="atLeast"/>
          <w:jc w:val="center"/>
        </w:trPr>
        <w:tc>
          <w:tcPr>
            <w:tcW w:w="1159" w:type="dxa"/>
            <w:tcMar>
              <w:top w:w="16" w:type="dxa"/>
              <w:left w:w="16" w:type="dxa"/>
              <w:right w:w="16" w:type="dxa"/>
            </w:tcMar>
            <w:vAlign w:val="center"/>
          </w:tcPr>
          <w:p w14:paraId="06F3E7CD">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国民经济行业类别</w:t>
            </w:r>
          </w:p>
        </w:tc>
        <w:tc>
          <w:tcPr>
            <w:tcW w:w="1619" w:type="dxa"/>
            <w:vAlign w:val="center"/>
          </w:tcPr>
          <w:p w14:paraId="7FFF1E23">
            <w:pPr>
              <w:jc w:val="center"/>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C2913橡胶零件制造、C2929塑料零件及其他塑料制品制造、</w:t>
            </w:r>
            <w:r>
              <w:rPr>
                <w:rFonts w:hint="eastAsia"/>
                <w:color w:val="000000" w:themeColor="text1"/>
                <w:sz w:val="24"/>
                <w:highlight w:val="none"/>
                <w14:textFill>
                  <w14:solidFill>
                    <w14:schemeClr w14:val="tx1"/>
                  </w14:solidFill>
                </w14:textFill>
              </w:rPr>
              <w:t>C3670汽车零部件及配件制造</w:t>
            </w:r>
          </w:p>
        </w:tc>
        <w:tc>
          <w:tcPr>
            <w:tcW w:w="2166" w:type="dxa"/>
            <w:vAlign w:val="center"/>
          </w:tcPr>
          <w:p w14:paraId="6D2A765F">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建设项目</w:t>
            </w:r>
          </w:p>
          <w:p w14:paraId="52252C06">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行业类别</w:t>
            </w:r>
          </w:p>
        </w:tc>
        <w:tc>
          <w:tcPr>
            <w:tcW w:w="3926" w:type="dxa"/>
            <w:vAlign w:val="center"/>
          </w:tcPr>
          <w:p w14:paraId="7A91E8EB">
            <w:pPr>
              <w:adjustRightInd w:val="0"/>
              <w:snapToGrid w:val="0"/>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二十六、橡胶和塑料制品业29</w:t>
            </w:r>
          </w:p>
          <w:p w14:paraId="7C62E9EB">
            <w:pPr>
              <w:adjustRightInd w:val="0"/>
              <w:snapToGrid w:val="0"/>
              <w:jc w:val="center"/>
              <w:rPr>
                <w:rFonts w:hint="eastAsia" w:cs="Times New Roman"/>
                <w:b w:val="0"/>
                <w:bCs/>
                <w:color w:val="000000" w:themeColor="text1"/>
                <w:sz w:val="24"/>
                <w:highlight w:val="none"/>
                <w:lang w:val="en-US" w:eastAsia="zh-CN"/>
                <w14:textFill>
                  <w14:solidFill>
                    <w14:schemeClr w14:val="tx1"/>
                  </w14:solidFill>
                </w14:textFill>
              </w:rPr>
            </w:pPr>
            <w:r>
              <w:rPr>
                <w:rFonts w:hint="eastAsia" w:cs="Times New Roman"/>
                <w:b w:val="0"/>
                <w:bCs/>
                <w:color w:val="000000" w:themeColor="text1"/>
                <w:sz w:val="24"/>
                <w:highlight w:val="none"/>
                <w:lang w:val="en-US" w:eastAsia="zh-CN"/>
                <w14:textFill>
                  <w14:solidFill>
                    <w14:schemeClr w14:val="tx1"/>
                  </w14:solidFill>
                </w14:textFill>
              </w:rPr>
              <w:t>橡胶制品业291、塑料制品业292</w:t>
            </w:r>
          </w:p>
          <w:p w14:paraId="77B6C9CF">
            <w:pPr>
              <w:jc w:val="center"/>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三十三、汽车制造业，汽车零</w:t>
            </w:r>
          </w:p>
          <w:p w14:paraId="7ED56675">
            <w:pPr>
              <w:adjustRightInd w:val="0"/>
              <w:snapToGrid w:val="0"/>
              <w:jc w:val="center"/>
              <w:rPr>
                <w:rFonts w:hint="default"/>
                <w:color w:val="000000" w:themeColor="text1"/>
                <w:sz w:val="24"/>
                <w:highlight w:val="none"/>
                <w:lang w:val="en-US"/>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部件及配件制造367中的其他（年用非溶剂型低VOCs含量涂料10吨以下的除外）</w:t>
            </w:r>
          </w:p>
        </w:tc>
      </w:tr>
      <w:tr w14:paraId="06BC26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159" w:type="dxa"/>
            <w:tcMar>
              <w:top w:w="16" w:type="dxa"/>
              <w:left w:w="16" w:type="dxa"/>
              <w:right w:w="16" w:type="dxa"/>
            </w:tcMar>
            <w:vAlign w:val="center"/>
          </w:tcPr>
          <w:p w14:paraId="71E49440">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建设性质</w:t>
            </w:r>
          </w:p>
        </w:tc>
        <w:tc>
          <w:tcPr>
            <w:tcW w:w="1619" w:type="dxa"/>
            <w:vAlign w:val="center"/>
          </w:tcPr>
          <w:p w14:paraId="149D31DF">
            <w:pPr>
              <w:adjustRightInd w:val="0"/>
              <w:snapToGrid w:val="0"/>
              <w:jc w:val="left"/>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新建</w:t>
            </w:r>
          </w:p>
          <w:p w14:paraId="224D944E">
            <w:pPr>
              <w:adjustRightInd w:val="0"/>
              <w:snapToGrid w:val="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□改建</w:t>
            </w:r>
          </w:p>
          <w:p w14:paraId="37AE5B74">
            <w:pPr>
              <w:adjustRightInd w:val="0"/>
              <w:snapToGrid w:val="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□扩建</w:t>
            </w:r>
          </w:p>
          <w:p w14:paraId="311762A4">
            <w:pPr>
              <w:adjustRightInd w:val="0"/>
              <w:snapToGrid w:val="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□技术改造</w:t>
            </w:r>
          </w:p>
        </w:tc>
        <w:tc>
          <w:tcPr>
            <w:tcW w:w="2166" w:type="dxa"/>
            <w:vAlign w:val="center"/>
          </w:tcPr>
          <w:p w14:paraId="1AE56F8D">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建设项目</w:t>
            </w:r>
          </w:p>
          <w:p w14:paraId="7C526EC6">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申报情形</w:t>
            </w:r>
          </w:p>
        </w:tc>
        <w:tc>
          <w:tcPr>
            <w:tcW w:w="3926" w:type="dxa"/>
            <w:vAlign w:val="center"/>
          </w:tcPr>
          <w:p w14:paraId="59F86A3B">
            <w:pPr>
              <w:adjustRightInd w:val="0"/>
              <w:snapToGrid w:val="0"/>
              <w:jc w:val="left"/>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首次申报项目</w:t>
            </w:r>
          </w:p>
          <w:p w14:paraId="76633A24">
            <w:pPr>
              <w:adjustRightInd w:val="0"/>
              <w:snapToGrid w:val="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□不予批准后再次申报项目</w:t>
            </w:r>
          </w:p>
          <w:p w14:paraId="5A0E4509">
            <w:pPr>
              <w:adjustRightInd w:val="0"/>
              <w:snapToGrid w:val="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□超五年重新审核项目</w:t>
            </w:r>
          </w:p>
          <w:p w14:paraId="0BAF4313">
            <w:pPr>
              <w:adjustRightInd w:val="0"/>
              <w:snapToGrid w:val="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□重大变动重新报批项目</w:t>
            </w:r>
          </w:p>
        </w:tc>
      </w:tr>
      <w:tr w14:paraId="614C95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159" w:type="dxa"/>
            <w:tcMar>
              <w:top w:w="16" w:type="dxa"/>
              <w:left w:w="16" w:type="dxa"/>
              <w:right w:w="16" w:type="dxa"/>
            </w:tcMar>
            <w:vAlign w:val="center"/>
          </w:tcPr>
          <w:p w14:paraId="7EFEC0B7">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项目审批（核准/备案）部门（选填）</w:t>
            </w:r>
          </w:p>
        </w:tc>
        <w:tc>
          <w:tcPr>
            <w:tcW w:w="1619" w:type="dxa"/>
            <w:vAlign w:val="center"/>
          </w:tcPr>
          <w:p w14:paraId="2895616E">
            <w:pPr>
              <w:adjustRightInd w:val="0"/>
              <w:snapToGrid w:val="0"/>
              <w:jc w:val="center"/>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南京江宁经济技术开发区管理委员会政务服务中心</w:t>
            </w:r>
          </w:p>
        </w:tc>
        <w:tc>
          <w:tcPr>
            <w:tcW w:w="2166" w:type="dxa"/>
            <w:vAlign w:val="center"/>
          </w:tcPr>
          <w:p w14:paraId="0E6D6CAC">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项目审批（核准/备案）文号</w:t>
            </w:r>
          </w:p>
        </w:tc>
        <w:tc>
          <w:tcPr>
            <w:tcW w:w="3926" w:type="dxa"/>
            <w:vAlign w:val="center"/>
          </w:tcPr>
          <w:p w14:paraId="45960B5D">
            <w:pPr>
              <w:adjustRightInd w:val="0"/>
              <w:snapToGrid w:val="0"/>
              <w:jc w:val="center"/>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宁经政服备〔2026〕395号</w:t>
            </w:r>
          </w:p>
        </w:tc>
      </w:tr>
      <w:tr w14:paraId="028323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159" w:type="dxa"/>
            <w:tcMar>
              <w:top w:w="16" w:type="dxa"/>
              <w:left w:w="16" w:type="dxa"/>
              <w:right w:w="16" w:type="dxa"/>
            </w:tcMar>
            <w:vAlign w:val="center"/>
          </w:tcPr>
          <w:p w14:paraId="1F17F4C4">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总投资（万元）</w:t>
            </w:r>
          </w:p>
        </w:tc>
        <w:tc>
          <w:tcPr>
            <w:tcW w:w="1619" w:type="dxa"/>
            <w:vAlign w:val="center"/>
          </w:tcPr>
          <w:p w14:paraId="181026E5">
            <w:pPr>
              <w:adjustRightInd w:val="0"/>
              <w:snapToGrid w:val="0"/>
              <w:jc w:val="center"/>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300</w:t>
            </w:r>
          </w:p>
        </w:tc>
        <w:tc>
          <w:tcPr>
            <w:tcW w:w="2166" w:type="dxa"/>
            <w:tcMar>
              <w:top w:w="16" w:type="dxa"/>
              <w:left w:w="16" w:type="dxa"/>
              <w:right w:w="16" w:type="dxa"/>
            </w:tcMar>
            <w:vAlign w:val="center"/>
          </w:tcPr>
          <w:p w14:paraId="581504C3">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环保投资（万元）</w:t>
            </w:r>
          </w:p>
        </w:tc>
        <w:tc>
          <w:tcPr>
            <w:tcW w:w="3926" w:type="dxa"/>
            <w:vAlign w:val="center"/>
          </w:tcPr>
          <w:p w14:paraId="2EEE3273">
            <w:pPr>
              <w:adjustRightInd w:val="0"/>
              <w:snapToGrid w:val="0"/>
              <w:jc w:val="center"/>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15</w:t>
            </w:r>
          </w:p>
        </w:tc>
      </w:tr>
      <w:tr w14:paraId="1E3BB0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159" w:type="dxa"/>
            <w:tcMar>
              <w:top w:w="16" w:type="dxa"/>
              <w:left w:w="16" w:type="dxa"/>
              <w:right w:w="16" w:type="dxa"/>
            </w:tcMar>
            <w:vAlign w:val="center"/>
          </w:tcPr>
          <w:p w14:paraId="7A7D07CB">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环保投资占比（%）</w:t>
            </w:r>
          </w:p>
        </w:tc>
        <w:tc>
          <w:tcPr>
            <w:tcW w:w="1619" w:type="dxa"/>
            <w:vAlign w:val="center"/>
          </w:tcPr>
          <w:p w14:paraId="616AEADD">
            <w:pPr>
              <w:adjustRightInd w:val="0"/>
              <w:snapToGrid w:val="0"/>
              <w:jc w:val="center"/>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5</w:t>
            </w:r>
          </w:p>
        </w:tc>
        <w:tc>
          <w:tcPr>
            <w:tcW w:w="2166" w:type="dxa"/>
            <w:tcMar>
              <w:top w:w="16" w:type="dxa"/>
              <w:left w:w="16" w:type="dxa"/>
              <w:right w:w="16" w:type="dxa"/>
            </w:tcMar>
            <w:vAlign w:val="center"/>
          </w:tcPr>
          <w:p w14:paraId="49164B2C">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施工工期</w:t>
            </w:r>
          </w:p>
        </w:tc>
        <w:tc>
          <w:tcPr>
            <w:tcW w:w="3926" w:type="dxa"/>
            <w:vAlign w:val="center"/>
          </w:tcPr>
          <w:p w14:paraId="07A5B931">
            <w:pPr>
              <w:adjustRightInd w:val="0"/>
              <w:snapToGrid w:val="0"/>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3</w:t>
            </w:r>
            <w:r>
              <w:rPr>
                <w:rFonts w:hint="eastAsia"/>
                <w:color w:val="000000" w:themeColor="text1"/>
                <w:sz w:val="24"/>
                <w:highlight w:val="none"/>
                <w14:textFill>
                  <w14:solidFill>
                    <w14:schemeClr w14:val="tx1"/>
                  </w14:solidFill>
                </w14:textFill>
              </w:rPr>
              <w:t>个月</w:t>
            </w:r>
          </w:p>
        </w:tc>
      </w:tr>
      <w:tr w14:paraId="41F9AB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159" w:type="dxa"/>
            <w:tcMar>
              <w:top w:w="16" w:type="dxa"/>
              <w:left w:w="16" w:type="dxa"/>
              <w:right w:w="16" w:type="dxa"/>
            </w:tcMar>
            <w:vAlign w:val="center"/>
          </w:tcPr>
          <w:p w14:paraId="421F781C">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是否开工建设</w:t>
            </w:r>
          </w:p>
        </w:tc>
        <w:tc>
          <w:tcPr>
            <w:tcW w:w="1619" w:type="dxa"/>
            <w:vAlign w:val="center"/>
          </w:tcPr>
          <w:p w14:paraId="2DFE7E28">
            <w:pPr>
              <w:adjustRightInd w:val="0"/>
              <w:snapToGrid w:val="0"/>
              <w:jc w:val="left"/>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否</w:t>
            </w:r>
          </w:p>
          <w:p w14:paraId="0B8F05EA">
            <w:pPr>
              <w:adjustRightInd w:val="0"/>
              <w:snapToGrid w:val="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w:t>
            </w:r>
          </w:p>
        </w:tc>
        <w:tc>
          <w:tcPr>
            <w:tcW w:w="2166" w:type="dxa"/>
            <w:tcMar>
              <w:top w:w="16" w:type="dxa"/>
              <w:left w:w="16" w:type="dxa"/>
              <w:right w:w="16" w:type="dxa"/>
            </w:tcMar>
            <w:vAlign w:val="center"/>
          </w:tcPr>
          <w:p w14:paraId="5590F364">
            <w:pPr>
              <w:adjustRightInd w:val="0"/>
              <w:snapToGrid w:val="0"/>
              <w:spacing w:line="460" w:lineRule="exact"/>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用地（用海）</w:t>
            </w:r>
          </w:p>
          <w:p w14:paraId="06DB2E1D">
            <w:pPr>
              <w:adjustRightInd w:val="0"/>
              <w:snapToGrid w:val="0"/>
              <w:spacing w:line="460" w:lineRule="exact"/>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面积（m</w:t>
            </w:r>
            <w:r>
              <w:rPr>
                <w:rFonts w:hint="eastAsia"/>
                <w:color w:val="000000" w:themeColor="text1"/>
                <w:sz w:val="24"/>
                <w:highlight w:val="none"/>
                <w:vertAlign w:val="superscript"/>
                <w14:textFill>
                  <w14:solidFill>
                    <w14:schemeClr w14:val="tx1"/>
                  </w14:solidFill>
                </w14:textFill>
              </w:rPr>
              <w:t>2</w:t>
            </w:r>
            <w:r>
              <w:rPr>
                <w:rFonts w:hint="eastAsia"/>
                <w:color w:val="000000" w:themeColor="text1"/>
                <w:sz w:val="24"/>
                <w:highlight w:val="none"/>
                <w14:textFill>
                  <w14:solidFill>
                    <w14:schemeClr w14:val="tx1"/>
                  </w14:solidFill>
                </w14:textFill>
              </w:rPr>
              <w:t>）</w:t>
            </w:r>
          </w:p>
        </w:tc>
        <w:tc>
          <w:tcPr>
            <w:tcW w:w="3926" w:type="dxa"/>
            <w:vAlign w:val="center"/>
          </w:tcPr>
          <w:p w14:paraId="49656367">
            <w:pPr>
              <w:adjustRightInd w:val="0"/>
              <w:snapToGrid w:val="0"/>
              <w:spacing w:line="460" w:lineRule="exact"/>
              <w:jc w:val="center"/>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825</w:t>
            </w:r>
          </w:p>
        </w:tc>
      </w:tr>
      <w:tr w14:paraId="33CBF0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8" w:hRule="atLeast"/>
          <w:jc w:val="center"/>
        </w:trPr>
        <w:tc>
          <w:tcPr>
            <w:tcW w:w="1159" w:type="dxa"/>
            <w:vAlign w:val="center"/>
          </w:tcPr>
          <w:p w14:paraId="4713F7C2">
            <w:pPr>
              <w:autoSpaceDE w:val="0"/>
              <w:autoSpaceDN w:val="0"/>
              <w:adjustRightInd w:val="0"/>
              <w:snapToGrid w:val="0"/>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专项评价设置情况</w:t>
            </w:r>
          </w:p>
        </w:tc>
        <w:tc>
          <w:tcPr>
            <w:tcW w:w="7711" w:type="dxa"/>
            <w:gridSpan w:val="3"/>
            <w:vAlign w:val="center"/>
          </w:tcPr>
          <w:p w14:paraId="7A62BCB0">
            <w:pPr>
              <w:adjustRightInd w:val="0"/>
              <w:snapToGrid w:val="0"/>
              <w:spacing w:line="440" w:lineRule="exact"/>
              <w:ind w:firstLine="480" w:firstLineChars="200"/>
              <w:rPr>
                <w:bCs/>
                <w:color w:val="000000" w:themeColor="text1"/>
                <w:sz w:val="24"/>
                <w:szCs w:val="22"/>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无</w:t>
            </w:r>
          </w:p>
        </w:tc>
      </w:tr>
      <w:tr w14:paraId="31C17D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8" w:hRule="atLeast"/>
          <w:jc w:val="center"/>
        </w:trPr>
        <w:tc>
          <w:tcPr>
            <w:tcW w:w="1159" w:type="dxa"/>
            <w:vAlign w:val="center"/>
          </w:tcPr>
          <w:p w14:paraId="7124E159">
            <w:pPr>
              <w:autoSpaceDE w:val="0"/>
              <w:autoSpaceDN w:val="0"/>
              <w:adjustRightInd w:val="0"/>
              <w:snapToGrid w:val="0"/>
              <w:spacing w:line="440" w:lineRule="exact"/>
              <w:jc w:val="center"/>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规划情况</w:t>
            </w:r>
          </w:p>
        </w:tc>
        <w:tc>
          <w:tcPr>
            <w:tcW w:w="7711" w:type="dxa"/>
            <w:gridSpan w:val="3"/>
            <w:vAlign w:val="center"/>
          </w:tcPr>
          <w:p w14:paraId="453518E4">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规划名称：《南京市江宁区国土空间总体规划（2021-2035年）》</w:t>
            </w:r>
          </w:p>
          <w:p w14:paraId="463F2B26">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规划审批机关及文号：江苏省人民政府、苏政复〔2025〕3号</w:t>
            </w:r>
          </w:p>
          <w:p w14:paraId="5F3B244C">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规划名称：《江宁经济技术开发区总体发展规划（2020-2035）》</w:t>
            </w:r>
          </w:p>
          <w:p w14:paraId="2A9F103F">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审批机关：/</w:t>
            </w:r>
          </w:p>
          <w:p w14:paraId="2E17C064">
            <w:pPr>
              <w:adjustRightInd w:val="0"/>
              <w:snapToGrid w:val="0"/>
              <w:spacing w:line="440" w:lineRule="exact"/>
              <w:ind w:firstLine="480" w:firstLineChars="200"/>
              <w:rPr>
                <w:bCs/>
                <w:color w:val="000000" w:themeColor="text1"/>
                <w:sz w:val="24"/>
                <w:szCs w:val="22"/>
                <w:highlight w:val="none"/>
                <w14:textFill>
                  <w14:solidFill>
                    <w14:schemeClr w14:val="tx1"/>
                  </w14:solidFill>
                </w14:textFill>
              </w:rPr>
            </w:pPr>
            <w:r>
              <w:rPr>
                <w:color w:val="000000" w:themeColor="text1"/>
                <w:sz w:val="24"/>
                <w:highlight w:val="none"/>
                <w14:textFill>
                  <w14:solidFill>
                    <w14:schemeClr w14:val="tx1"/>
                  </w14:solidFill>
                </w14:textFill>
              </w:rPr>
              <w:t>审批文号：/</w:t>
            </w:r>
          </w:p>
        </w:tc>
      </w:tr>
      <w:tr w14:paraId="77D9CF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9" w:type="dxa"/>
            <w:vAlign w:val="center"/>
          </w:tcPr>
          <w:p w14:paraId="2641B9F8">
            <w:pPr>
              <w:adjustRightInd w:val="0"/>
              <w:snapToGrid w:val="0"/>
              <w:spacing w:line="440" w:lineRule="exact"/>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规划环境影响</w:t>
            </w:r>
          </w:p>
          <w:p w14:paraId="12B5B3F7">
            <w:pPr>
              <w:adjustRightInd w:val="0"/>
              <w:snapToGrid w:val="0"/>
              <w:spacing w:line="440" w:lineRule="exact"/>
              <w:jc w:val="center"/>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评价情况</w:t>
            </w:r>
          </w:p>
        </w:tc>
        <w:tc>
          <w:tcPr>
            <w:tcW w:w="7711" w:type="dxa"/>
            <w:gridSpan w:val="3"/>
            <w:vAlign w:val="center"/>
          </w:tcPr>
          <w:p w14:paraId="70A7FBF4">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规划环境影响评价文件：《江宁经济技术开发区总体发展规划（2020-2035）环境影响报告书》</w:t>
            </w:r>
          </w:p>
          <w:p w14:paraId="0BA5E364">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召集审查机关：中华人民共和国生态环境部</w:t>
            </w:r>
          </w:p>
          <w:p w14:paraId="38307A04">
            <w:pPr>
              <w:adjustRightInd w:val="0"/>
              <w:snapToGrid w:val="0"/>
              <w:spacing w:line="440" w:lineRule="exact"/>
              <w:ind w:firstLine="480" w:firstLineChars="200"/>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审查文件名称及文号：《关于江宁经济技术开发区总体发展规划（2020-2035）环境影响报告书》的审查意见，环审〔2022〕46号</w:t>
            </w:r>
          </w:p>
        </w:tc>
      </w:tr>
      <w:tr w14:paraId="6FC7A2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9" w:type="dxa"/>
            <w:vAlign w:val="center"/>
          </w:tcPr>
          <w:p w14:paraId="5E92ED60">
            <w:pPr>
              <w:autoSpaceDE w:val="0"/>
              <w:autoSpaceDN w:val="0"/>
              <w:adjustRightInd w:val="0"/>
              <w:snapToGrid w:val="0"/>
              <w:spacing w:line="440" w:lineRule="exact"/>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规划及规划环境</w:t>
            </w:r>
          </w:p>
          <w:p w14:paraId="2329B525">
            <w:pPr>
              <w:autoSpaceDE w:val="0"/>
              <w:autoSpaceDN w:val="0"/>
              <w:adjustRightInd w:val="0"/>
              <w:snapToGrid w:val="0"/>
              <w:spacing w:line="440" w:lineRule="exact"/>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影响评价符合性分析</w:t>
            </w:r>
          </w:p>
        </w:tc>
        <w:tc>
          <w:tcPr>
            <w:tcW w:w="7711" w:type="dxa"/>
            <w:gridSpan w:val="3"/>
            <w:vAlign w:val="center"/>
          </w:tcPr>
          <w:p w14:paraId="3D337C98">
            <w:pPr>
              <w:adjustRightInd w:val="0"/>
              <w:snapToGrid w:val="0"/>
              <w:spacing w:line="440" w:lineRule="exact"/>
              <w:ind w:firstLine="482" w:firstLineChars="200"/>
              <w:rPr>
                <w:b/>
                <w:bCs/>
                <w:color w:val="000000" w:themeColor="text1"/>
                <w:sz w:val="24"/>
                <w:highlight w:val="none"/>
                <w14:textFill>
                  <w14:solidFill>
                    <w14:schemeClr w14:val="tx1"/>
                  </w14:solidFill>
                </w14:textFill>
              </w:rPr>
            </w:pPr>
            <w:bookmarkStart w:id="1" w:name="_Hlk61892052"/>
            <w:r>
              <w:rPr>
                <w:b/>
                <w:bCs/>
                <w:color w:val="000000" w:themeColor="text1"/>
                <w:sz w:val="24"/>
                <w:highlight w:val="none"/>
                <w14:textFill>
                  <w14:solidFill>
                    <w14:schemeClr w14:val="tx1"/>
                  </w14:solidFill>
                </w14:textFill>
              </w:rPr>
              <w:t>1、与用地规划相符性分析</w:t>
            </w:r>
          </w:p>
          <w:p w14:paraId="5F289B60">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本项目位于</w:t>
            </w:r>
            <w:r>
              <w:rPr>
                <w:rFonts w:hint="eastAsia"/>
                <w:color w:val="000000" w:themeColor="text1"/>
                <w:sz w:val="24"/>
                <w:highlight w:val="none"/>
                <w:lang w:val="zh-CN"/>
                <w14:textFill>
                  <w14:solidFill>
                    <w14:schemeClr w14:val="tx1"/>
                  </w14:solidFill>
                </w14:textFill>
              </w:rPr>
              <w:t>南京市江宁区禄口街道蓝天路218号</w:t>
            </w:r>
            <w:r>
              <w:rPr>
                <w:color w:val="000000" w:themeColor="text1"/>
                <w:sz w:val="24"/>
                <w:highlight w:val="none"/>
                <w:lang w:val="zh-CN"/>
                <w14:textFill>
                  <w14:solidFill>
                    <w14:schemeClr w14:val="tx1"/>
                  </w14:solidFill>
                </w14:textFill>
              </w:rPr>
              <w:t>，属于江宁经济技术开发区规划范围；</w:t>
            </w:r>
            <w:r>
              <w:rPr>
                <w:rFonts w:hint="eastAsia"/>
                <w:color w:val="000000" w:themeColor="text1"/>
                <w:sz w:val="24"/>
                <w:highlight w:val="none"/>
                <w:lang w:val="en-US" w:eastAsia="zh-CN"/>
                <w14:textFill>
                  <w14:solidFill>
                    <w14:schemeClr w14:val="tx1"/>
                  </w14:solidFill>
                </w14:textFill>
              </w:rPr>
              <w:t>企业租赁南京亚泰汽车部件制造有限公司厂房，</w:t>
            </w:r>
            <w:r>
              <w:rPr>
                <w:color w:val="000000" w:themeColor="text1"/>
                <w:sz w:val="24"/>
                <w:highlight w:val="none"/>
                <w:lang w:val="zh-CN"/>
                <w14:textFill>
                  <w14:solidFill>
                    <w14:schemeClr w14:val="tx1"/>
                  </w14:solidFill>
                </w14:textFill>
              </w:rPr>
              <w:t>根据</w:t>
            </w:r>
            <w:r>
              <w:rPr>
                <w:rFonts w:hint="eastAsia"/>
                <w:color w:val="000000" w:themeColor="text1"/>
                <w:sz w:val="24"/>
                <w:highlight w:val="none"/>
                <w:lang w:val="en-US" w:eastAsia="zh-CN"/>
                <w14:textFill>
                  <w14:solidFill>
                    <w14:schemeClr w14:val="tx1"/>
                  </w14:solidFill>
                </w14:textFill>
              </w:rPr>
              <w:t>南京亚泰汽车部件制造有限公司的</w:t>
            </w:r>
            <w:r>
              <w:rPr>
                <w:rFonts w:hint="eastAsia"/>
                <w:color w:val="000000" w:themeColor="text1"/>
                <w:sz w:val="24"/>
                <w:highlight w:val="none"/>
                <w:lang w:eastAsia="zh-CN"/>
                <w14:textFill>
                  <w14:solidFill>
                    <w14:schemeClr w14:val="tx1"/>
                  </w14:solidFill>
                </w14:textFill>
              </w:rPr>
              <w:t>土地</w:t>
            </w:r>
            <w:r>
              <w:rPr>
                <w:color w:val="000000" w:themeColor="text1"/>
                <w:sz w:val="24"/>
                <w:highlight w:val="none"/>
                <w:lang w:val="zh-CN"/>
                <w14:textFill>
                  <w14:solidFill>
                    <w14:schemeClr w14:val="tx1"/>
                  </w14:solidFill>
                </w14:textFill>
              </w:rPr>
              <w:t>证（附件</w:t>
            </w:r>
            <w:r>
              <w:rPr>
                <w:rFonts w:hint="eastAsia"/>
                <w:color w:val="000000" w:themeColor="text1"/>
                <w:sz w:val="24"/>
                <w:highlight w:val="none"/>
                <w14:textFill>
                  <w14:solidFill>
                    <w14:schemeClr w14:val="tx1"/>
                  </w14:solidFill>
                </w14:textFill>
              </w:rPr>
              <w:t>4</w:t>
            </w:r>
            <w:r>
              <w:rPr>
                <w:color w:val="000000" w:themeColor="text1"/>
                <w:sz w:val="24"/>
                <w:highlight w:val="none"/>
                <w:lang w:val="zh-CN"/>
                <w14:textFill>
                  <w14:solidFill>
                    <w14:schemeClr w14:val="tx1"/>
                  </w14:solidFill>
                </w14:textFill>
              </w:rPr>
              <w:t>），项目所在地用地性质为工业用地。</w:t>
            </w:r>
          </w:p>
          <w:p w14:paraId="4F878ABF">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lang w:val="zh-CN"/>
                <w14:textFill>
                  <w14:solidFill>
                    <w14:schemeClr w14:val="tx1"/>
                  </w14:solidFill>
                </w14:textFill>
              </w:rPr>
              <w:t>根据《江宁经济技术开发区总体发展规划（2020</w:t>
            </w:r>
            <w:r>
              <w:rPr>
                <w:rFonts w:hint="eastAsia"/>
                <w:color w:val="000000" w:themeColor="text1"/>
                <w:sz w:val="24"/>
                <w:highlight w:val="none"/>
                <w14:textFill>
                  <w14:solidFill>
                    <w14:schemeClr w14:val="tx1"/>
                  </w14:solidFill>
                </w14:textFill>
              </w:rPr>
              <w:t>-</w:t>
            </w:r>
            <w:r>
              <w:rPr>
                <w:color w:val="000000" w:themeColor="text1"/>
                <w:sz w:val="24"/>
                <w:highlight w:val="none"/>
                <w:lang w:val="zh-CN"/>
                <w14:textFill>
                  <w14:solidFill>
                    <w14:schemeClr w14:val="tx1"/>
                  </w14:solidFill>
                </w14:textFill>
              </w:rPr>
              <w:t>2035年）环境影响评价报告书》中土地利用规划，项目所在地用地性质为工业用地（见附图8）。因此，用地性质与用地规划相符</w:t>
            </w:r>
            <w:r>
              <w:rPr>
                <w:color w:val="000000" w:themeColor="text1"/>
                <w:sz w:val="24"/>
                <w:highlight w:val="none"/>
                <w14:textFill>
                  <w14:solidFill>
                    <w14:schemeClr w14:val="tx1"/>
                  </w14:solidFill>
                </w14:textFill>
              </w:rPr>
              <w:t>。</w:t>
            </w:r>
          </w:p>
          <w:p w14:paraId="5CC5549C">
            <w:pPr>
              <w:adjustRightInd w:val="0"/>
              <w:snapToGrid w:val="0"/>
              <w:spacing w:line="440" w:lineRule="exact"/>
              <w:ind w:firstLine="482" w:firstLineChars="200"/>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2、与规划相符性分析</w:t>
            </w:r>
          </w:p>
          <w:p w14:paraId="6940CAF8">
            <w:pPr>
              <w:adjustRightInd w:val="0"/>
              <w:snapToGrid w:val="0"/>
              <w:spacing w:line="440" w:lineRule="exact"/>
              <w:ind w:firstLine="480" w:firstLineChars="200"/>
              <w:rPr>
                <w:color w:val="000000" w:themeColor="text1"/>
                <w:sz w:val="24"/>
                <w:highlight w:val="none"/>
                <w14:textFill>
                  <w14:solidFill>
                    <w14:schemeClr w14:val="tx1"/>
                  </w14:solidFill>
                </w14:textFill>
              </w:rPr>
            </w:pPr>
            <w:bookmarkStart w:id="2" w:name="_Hlk66973201"/>
            <w:r>
              <w:rPr>
                <w:color w:val="000000" w:themeColor="text1"/>
                <w:sz w:val="24"/>
                <w:highlight w:val="none"/>
                <w14:textFill>
                  <w14:solidFill>
                    <w14:schemeClr w14:val="tx1"/>
                  </w14:solidFill>
                </w14:textFill>
              </w:rPr>
              <w:t>根据《江宁经</w:t>
            </w:r>
            <w:r>
              <w:rPr>
                <w:rFonts w:ascii="Times New Roman" w:hAnsi="Times New Roman" w:eastAsia="宋体" w:cs="Times New Roman"/>
                <w:color w:val="000000" w:themeColor="text1"/>
                <w:sz w:val="24"/>
                <w:highlight w:val="none"/>
                <w14:textFill>
                  <w14:solidFill>
                    <w14:schemeClr w14:val="tx1"/>
                  </w14:solidFill>
                </w14:textFill>
              </w:rPr>
              <w:t>济技术开发区总体发展规划（2020-2035）环境影响报告书》，本项目位于禄口空港片区，其鼓</w:t>
            </w:r>
            <w:r>
              <w:rPr>
                <w:color w:val="000000" w:themeColor="text1"/>
                <w:sz w:val="24"/>
                <w:highlight w:val="none"/>
                <w14:textFill>
                  <w14:solidFill>
                    <w14:schemeClr w14:val="tx1"/>
                  </w14:solidFill>
                </w14:textFill>
              </w:rPr>
              <w:t>励发展的产业政策和限制、禁止发展的产业清单</w:t>
            </w:r>
            <w:r>
              <w:rPr>
                <w:rFonts w:hint="eastAsia"/>
                <w:color w:val="000000" w:themeColor="text1"/>
                <w:sz w:val="24"/>
                <w:highlight w:val="none"/>
                <w14:textFill>
                  <w14:solidFill>
                    <w14:schemeClr w14:val="tx1"/>
                  </w14:solidFill>
                </w14:textFill>
              </w:rPr>
              <w:t>见下表</w:t>
            </w:r>
            <w:r>
              <w:rPr>
                <w:color w:val="000000" w:themeColor="text1"/>
                <w:sz w:val="24"/>
                <w:highlight w:val="none"/>
                <w14:textFill>
                  <w14:solidFill>
                    <w14:schemeClr w14:val="tx1"/>
                  </w14:solidFill>
                </w14:textFill>
              </w:rPr>
              <w:t>：</w:t>
            </w:r>
          </w:p>
          <w:p w14:paraId="75B77AAF">
            <w:pPr>
              <w:pStyle w:val="126"/>
              <w:numPr>
                <w:ilvl w:val="0"/>
                <w:numId w:val="0"/>
              </w:numPr>
              <w:spacing w:line="440" w:lineRule="exac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表1-1</w:t>
            </w:r>
            <w:r>
              <w:rPr>
                <w:rFonts w:hint="eastAsia"/>
                <w:color w:val="000000" w:themeColor="text1"/>
                <w:sz w:val="24"/>
                <w:highlight w:val="none"/>
                <w14:textFill>
                  <w14:solidFill>
                    <w14:schemeClr w14:val="tx1"/>
                  </w14:solidFill>
                </w14:textFill>
              </w:rPr>
              <w:t xml:space="preserve"> </w:t>
            </w:r>
            <w:r>
              <w:rPr>
                <w:rFonts w:hint="eastAsia"/>
                <w:color w:val="000000" w:themeColor="text1"/>
                <w:sz w:val="24"/>
                <w:highlight w:val="none"/>
                <w:lang w:val="en-US" w:eastAsia="zh-CN"/>
                <w14:textFill>
                  <w14:solidFill>
                    <w14:schemeClr w14:val="tx1"/>
                  </w14:solidFill>
                </w14:textFill>
              </w:rPr>
              <w:t xml:space="preserve"> </w:t>
            </w:r>
            <w:r>
              <w:rPr>
                <w:rFonts w:hint="eastAsia"/>
                <w:color w:val="000000" w:themeColor="text1"/>
                <w:sz w:val="24"/>
                <w:highlight w:val="none"/>
                <w:lang w:eastAsia="zh-CN"/>
                <w14:textFill>
                  <w14:solidFill>
                    <w14:schemeClr w14:val="tx1"/>
                  </w14:solidFill>
                </w14:textFill>
              </w:rPr>
              <w:t>禄口空港片区</w:t>
            </w:r>
            <w:r>
              <w:rPr>
                <w:color w:val="000000" w:themeColor="text1"/>
                <w:sz w:val="24"/>
                <w:highlight w:val="none"/>
                <w14:textFill>
                  <w14:solidFill>
                    <w14:schemeClr w14:val="tx1"/>
                  </w14:solidFill>
                </w14:textFill>
              </w:rPr>
              <w:t>鼓励发展的产业建议和禁止发展的产业清单</w:t>
            </w:r>
          </w:p>
          <w:tbl>
            <w:tblPr>
              <w:tblStyle w:val="38"/>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55"/>
              <w:gridCol w:w="654"/>
              <w:gridCol w:w="3004"/>
              <w:gridCol w:w="1638"/>
              <w:gridCol w:w="1642"/>
            </w:tblGrid>
            <w:tr w14:paraId="4ACDEE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0" w:type="pct"/>
                  <w:tcBorders>
                    <w:top w:val="single" w:color="auto" w:sz="12" w:space="0"/>
                    <w:bottom w:val="single" w:color="auto" w:sz="6" w:space="0"/>
                    <w:right w:val="single" w:color="auto" w:sz="6" w:space="0"/>
                  </w:tcBorders>
                  <w:vAlign w:val="center"/>
                </w:tcPr>
                <w:p w14:paraId="1AEA8FAD">
                  <w:pPr>
                    <w:keepNext w:val="0"/>
                    <w:keepLines w:val="0"/>
                    <w:pageBreakBefore w:val="0"/>
                    <w:widowControl w:val="0"/>
                    <w:kinsoku/>
                    <w:wordWrap/>
                    <w:overflowPunct/>
                    <w:topLinePunct w:val="0"/>
                    <w:autoSpaceDE/>
                    <w:autoSpaceDN/>
                    <w:bidi w:val="0"/>
                    <w:spacing w:line="240" w:lineRule="exact"/>
                    <w:ind w:right="0"/>
                    <w:jc w:val="center"/>
                    <w:textAlignment w:val="auto"/>
                    <w:rPr>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产业片区名称</w:t>
                  </w:r>
                </w:p>
              </w:tc>
              <w:tc>
                <w:tcPr>
                  <w:tcW w:w="436" w:type="pct"/>
                  <w:tcBorders>
                    <w:top w:val="single" w:color="auto" w:sz="12" w:space="0"/>
                    <w:left w:val="single" w:color="auto" w:sz="6" w:space="0"/>
                    <w:bottom w:val="single" w:color="auto" w:sz="6" w:space="0"/>
                    <w:right w:val="single" w:color="auto" w:sz="6" w:space="0"/>
                  </w:tcBorders>
                  <w:vAlign w:val="center"/>
                </w:tcPr>
                <w:p w14:paraId="33969C51">
                  <w:pPr>
                    <w:keepNext w:val="0"/>
                    <w:keepLines w:val="0"/>
                    <w:pageBreakBefore w:val="0"/>
                    <w:widowControl w:val="0"/>
                    <w:kinsoku/>
                    <w:wordWrap/>
                    <w:overflowPunct/>
                    <w:topLinePunct w:val="0"/>
                    <w:autoSpaceDE/>
                    <w:autoSpaceDN/>
                    <w:bidi w:val="0"/>
                    <w:spacing w:line="240" w:lineRule="exact"/>
                    <w:ind w:right="0"/>
                    <w:jc w:val="center"/>
                    <w:textAlignment w:val="auto"/>
                    <w:rPr>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主导产业发展方向</w:t>
                  </w:r>
                </w:p>
              </w:tc>
              <w:tc>
                <w:tcPr>
                  <w:tcW w:w="2004" w:type="pct"/>
                  <w:tcBorders>
                    <w:top w:val="single" w:color="auto" w:sz="12" w:space="0"/>
                    <w:left w:val="single" w:color="auto" w:sz="6" w:space="0"/>
                    <w:bottom w:val="single" w:color="auto" w:sz="6" w:space="0"/>
                    <w:right w:val="single" w:color="auto" w:sz="6" w:space="0"/>
                  </w:tcBorders>
                  <w:vAlign w:val="center"/>
                </w:tcPr>
                <w:p w14:paraId="33F7994E">
                  <w:pPr>
                    <w:keepNext w:val="0"/>
                    <w:keepLines w:val="0"/>
                    <w:pageBreakBefore w:val="0"/>
                    <w:widowControl w:val="0"/>
                    <w:kinsoku/>
                    <w:wordWrap/>
                    <w:overflowPunct/>
                    <w:topLinePunct w:val="0"/>
                    <w:autoSpaceDE/>
                    <w:autoSpaceDN/>
                    <w:bidi w:val="0"/>
                    <w:spacing w:line="240" w:lineRule="exact"/>
                    <w:ind w:right="0"/>
                    <w:jc w:val="center"/>
                    <w:textAlignment w:val="auto"/>
                    <w:rPr>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重点发展</w:t>
                  </w:r>
                </w:p>
              </w:tc>
              <w:tc>
                <w:tcPr>
                  <w:tcW w:w="1092" w:type="pct"/>
                  <w:tcBorders>
                    <w:top w:val="single" w:color="auto" w:sz="12" w:space="0"/>
                    <w:left w:val="single" w:color="auto" w:sz="6" w:space="0"/>
                    <w:bottom w:val="single" w:color="auto" w:sz="6" w:space="0"/>
                  </w:tcBorders>
                  <w:vAlign w:val="center"/>
                </w:tcPr>
                <w:p w14:paraId="3CC122EC">
                  <w:pPr>
                    <w:keepNext w:val="0"/>
                    <w:keepLines w:val="0"/>
                    <w:pageBreakBefore w:val="0"/>
                    <w:widowControl w:val="0"/>
                    <w:kinsoku/>
                    <w:wordWrap/>
                    <w:overflowPunct/>
                    <w:topLinePunct w:val="0"/>
                    <w:autoSpaceDE/>
                    <w:autoSpaceDN/>
                    <w:bidi w:val="0"/>
                    <w:spacing w:line="240" w:lineRule="exact"/>
                    <w:ind w:right="0"/>
                    <w:jc w:val="center"/>
                    <w:textAlignment w:val="auto"/>
                    <w:rPr>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限制、禁止发展产业清单</w:t>
                  </w:r>
                </w:p>
              </w:tc>
              <w:tc>
                <w:tcPr>
                  <w:tcW w:w="1095" w:type="pct"/>
                  <w:tcBorders>
                    <w:top w:val="single" w:color="auto" w:sz="12" w:space="0"/>
                    <w:left w:val="single" w:color="auto" w:sz="6" w:space="0"/>
                    <w:bottom w:val="single" w:color="auto" w:sz="6" w:space="0"/>
                  </w:tcBorders>
                  <w:vAlign w:val="center"/>
                </w:tcPr>
                <w:p w14:paraId="58658C8D">
                  <w:pPr>
                    <w:keepNext w:val="0"/>
                    <w:keepLines w:val="0"/>
                    <w:pageBreakBefore w:val="0"/>
                    <w:widowControl w:val="0"/>
                    <w:kinsoku/>
                    <w:wordWrap/>
                    <w:overflowPunct/>
                    <w:topLinePunct w:val="0"/>
                    <w:autoSpaceDE/>
                    <w:autoSpaceDN/>
                    <w:bidi w:val="0"/>
                    <w:snapToGrid w:val="0"/>
                    <w:spacing w:line="240" w:lineRule="exact"/>
                    <w:ind w:right="0"/>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符合性分析</w:t>
                  </w:r>
                </w:p>
              </w:tc>
            </w:tr>
            <w:tr w14:paraId="0C672E7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55" w:type="dxa"/>
                  <w:tcBorders>
                    <w:top w:val="single" w:color="auto" w:sz="6" w:space="0"/>
                    <w:bottom w:val="single" w:color="auto" w:sz="12" w:space="0"/>
                    <w:right w:val="single" w:color="auto" w:sz="6" w:space="0"/>
                  </w:tcBorders>
                  <w:vAlign w:val="center"/>
                </w:tcPr>
                <w:p w14:paraId="594CA99E">
                  <w:pPr>
                    <w:pStyle w:val="124"/>
                    <w:keepNext w:val="0"/>
                    <w:keepLines w:val="0"/>
                    <w:pageBreakBefore w:val="0"/>
                    <w:widowControl w:val="0"/>
                    <w:kinsoku/>
                    <w:wordWrap/>
                    <w:overflowPunct/>
                    <w:topLinePunct w:val="0"/>
                    <w:autoSpaceDE/>
                    <w:autoSpaceDN/>
                    <w:bidi w:val="0"/>
                    <w:adjustRightInd w:val="0"/>
                    <w:snapToGrid w:val="0"/>
                    <w:spacing w:before="0" w:after="0" w:line="240" w:lineRule="exact"/>
                    <w:ind w:right="0" w:rightChars="0" w:firstLine="0" w:firstLineChars="0"/>
                    <w:jc w:val="center"/>
                    <w:textAlignment w:val="auto"/>
                    <w:rPr>
                      <w:rFonts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t>禄口空港片区</w:t>
                  </w:r>
                </w:p>
              </w:tc>
              <w:tc>
                <w:tcPr>
                  <w:tcW w:w="654" w:type="dxa"/>
                  <w:tcBorders>
                    <w:top w:val="single" w:color="auto" w:sz="6" w:space="0"/>
                    <w:left w:val="single" w:color="auto" w:sz="6" w:space="0"/>
                    <w:bottom w:val="single" w:color="auto" w:sz="12" w:space="0"/>
                    <w:right w:val="single" w:color="auto" w:sz="6" w:space="0"/>
                  </w:tcBorders>
                  <w:vAlign w:val="center"/>
                </w:tcPr>
                <w:p w14:paraId="6D13EDE2">
                  <w:pPr>
                    <w:pStyle w:val="124"/>
                    <w:keepNext w:val="0"/>
                    <w:keepLines w:val="0"/>
                    <w:pageBreakBefore w:val="0"/>
                    <w:widowControl w:val="0"/>
                    <w:kinsoku/>
                    <w:wordWrap/>
                    <w:overflowPunct/>
                    <w:topLinePunct w:val="0"/>
                    <w:autoSpaceDE/>
                    <w:autoSpaceDN/>
                    <w:bidi w:val="0"/>
                    <w:adjustRightInd w:val="0"/>
                    <w:snapToGrid w:val="0"/>
                    <w:spacing w:before="0" w:after="0" w:line="240" w:lineRule="exact"/>
                    <w:ind w:right="0" w:rightChars="0" w:firstLine="0" w:firstLineChars="0"/>
                    <w:jc w:val="center"/>
                    <w:textAlignment w:val="auto"/>
                    <w:rPr>
                      <w:rFonts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t>航空及其配套产业、航空制造业、航空维修、临空高科技产业等</w:t>
                  </w:r>
                </w:p>
              </w:tc>
              <w:tc>
                <w:tcPr>
                  <w:tcW w:w="3004" w:type="dxa"/>
                  <w:tcBorders>
                    <w:top w:val="single" w:color="auto" w:sz="6" w:space="0"/>
                    <w:left w:val="single" w:color="auto" w:sz="6" w:space="0"/>
                    <w:bottom w:val="single" w:color="auto" w:sz="12" w:space="0"/>
                    <w:right w:val="single" w:color="auto" w:sz="6" w:space="0"/>
                  </w:tcBorders>
                  <w:vAlign w:val="center"/>
                </w:tcPr>
                <w:p w14:paraId="23C3A29D">
                  <w:pPr>
                    <w:pStyle w:val="124"/>
                    <w:keepNext w:val="0"/>
                    <w:keepLines w:val="0"/>
                    <w:pageBreakBefore w:val="0"/>
                    <w:widowControl w:val="0"/>
                    <w:kinsoku/>
                    <w:wordWrap/>
                    <w:overflowPunct/>
                    <w:topLinePunct w:val="0"/>
                    <w:autoSpaceDE/>
                    <w:autoSpaceDN/>
                    <w:bidi w:val="0"/>
                    <w:adjustRightInd w:val="0"/>
                    <w:snapToGrid w:val="0"/>
                    <w:spacing w:before="0" w:after="0" w:line="240" w:lineRule="exact"/>
                    <w:ind w:right="0" w:firstLine="0" w:firstLineChars="0"/>
                    <w:jc w:val="left"/>
                    <w:textAlignment w:val="auto"/>
                    <w:rPr>
                      <w:rFonts w:hint="eastAsia"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t>航空制造：围绕航空发动机、机电、飞控、航电系统、飞行器设计、航空材料、MRO及客改货等重点产业环节，促进产业高端化发展，掌握一批关键核心技术，积极争取进入大飞机、航空发动机等国家战略项目。引导拓展附加值高的部件、发动机、复合材料维修和客舱翻新、客改货、公务机改装等业务，建设公共机修平台，发展航空制造、航空维修等，支持发展航空总部基地、航空培训、航空维修、航空金融等领域</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发展</w:t>
                  </w:r>
                  <w:r>
                    <w:rPr>
                      <w:rFonts w:hint="eastAsia"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t>。</w:t>
                  </w:r>
                </w:p>
                <w:p w14:paraId="7CDD74AE">
                  <w:pPr>
                    <w:pStyle w:val="124"/>
                    <w:keepNext w:val="0"/>
                    <w:keepLines w:val="0"/>
                    <w:pageBreakBefore w:val="0"/>
                    <w:widowControl w:val="0"/>
                    <w:kinsoku/>
                    <w:wordWrap/>
                    <w:overflowPunct/>
                    <w:topLinePunct w:val="0"/>
                    <w:autoSpaceDE/>
                    <w:autoSpaceDN/>
                    <w:bidi w:val="0"/>
                    <w:adjustRightInd w:val="0"/>
                    <w:snapToGrid w:val="0"/>
                    <w:spacing w:before="0" w:after="0" w:line="240" w:lineRule="exact"/>
                    <w:ind w:right="0" w:firstLine="0" w:firstLineChars="0"/>
                    <w:jc w:val="left"/>
                    <w:textAlignment w:val="auto"/>
                    <w:rPr>
                      <w:rFonts w:hint="eastAsia"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t>临空高科技产业：加强空港产业资源整合，依托重点龙头项目，发展电子通信、高端医疗器械、生命大健康、智能制造等临空指向性强、高技术密集度、高附加值的高端制造业。</w:t>
                  </w:r>
                </w:p>
                <w:p w14:paraId="37BB1866">
                  <w:pPr>
                    <w:pStyle w:val="124"/>
                    <w:keepNext w:val="0"/>
                    <w:keepLines w:val="0"/>
                    <w:pageBreakBefore w:val="0"/>
                    <w:widowControl w:val="0"/>
                    <w:kinsoku/>
                    <w:wordWrap/>
                    <w:overflowPunct/>
                    <w:topLinePunct w:val="0"/>
                    <w:autoSpaceDE/>
                    <w:autoSpaceDN/>
                    <w:bidi w:val="0"/>
                    <w:adjustRightInd w:val="0"/>
                    <w:snapToGrid w:val="0"/>
                    <w:spacing w:before="0" w:after="0" w:line="240" w:lineRule="exact"/>
                    <w:ind w:right="0" w:rightChars="0" w:firstLine="0" w:firstLineChars="0"/>
                    <w:jc w:val="left"/>
                    <w:textAlignment w:val="auto"/>
                    <w:rPr>
                      <w:rFonts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t>其中生命大健康产业重点发展：先进生物医药产品和影像设备、植介入、影像设备、植介入器械、医疗机器人、体外诊断设备和配套试剂、高值耗材等高端医疗器械。</w:t>
                  </w:r>
                </w:p>
              </w:tc>
              <w:tc>
                <w:tcPr>
                  <w:tcW w:w="1638" w:type="dxa"/>
                  <w:tcBorders>
                    <w:top w:val="single" w:color="auto" w:sz="6" w:space="0"/>
                    <w:left w:val="single" w:color="auto" w:sz="6" w:space="0"/>
                    <w:bottom w:val="single" w:color="auto" w:sz="12" w:space="0"/>
                  </w:tcBorders>
                  <w:vAlign w:val="center"/>
                </w:tcPr>
                <w:p w14:paraId="539B1DBD">
                  <w:pPr>
                    <w:pStyle w:val="124"/>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exact"/>
                    <w:ind w:right="0"/>
                    <w:jc w:val="left"/>
                    <w:textAlignment w:val="auto"/>
                    <w:rPr>
                      <w:rFonts w:hint="eastAsia"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t>（1）航空制造：禁止新（扩）建电镀项目，确属工艺需要、不能剥离电镀工序的项目，需由环保部门会同经济主管部门组织专家技术论证，通过专家论证同意后方可审批建设。</w:t>
                  </w:r>
                </w:p>
                <w:p w14:paraId="75E15F26">
                  <w:pPr>
                    <w:pStyle w:val="124"/>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exact"/>
                    <w:ind w:right="0"/>
                    <w:jc w:val="left"/>
                    <w:textAlignment w:val="auto"/>
                    <w:rPr>
                      <w:rFonts w:hint="eastAsia"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t>（2）临空高科技产业：</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根据</w:t>
                  </w:r>
                  <w:r>
                    <w:rPr>
                      <w:rFonts w:hint="eastAsia"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t>淳化－湖熟片区和江南主城</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东山片区</w:t>
                  </w:r>
                  <w:r>
                    <w:rPr>
                      <w:rFonts w:hint="eastAsia"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t>同类型产业准入要求执行。</w:t>
                  </w:r>
                </w:p>
                <w:p w14:paraId="2CD07D73">
                  <w:pPr>
                    <w:pStyle w:val="124"/>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exact"/>
                    <w:ind w:right="0"/>
                    <w:jc w:val="left"/>
                    <w:textAlignment w:val="auto"/>
                    <w:rPr>
                      <w:rFonts w:hint="eastAsia"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t>（3）禁止新（扩）建酿造、制革等水污染重的项目，禁止新（扩）建工业生产废水排水量大于1000吨/日的项目。</w:t>
                  </w:r>
                </w:p>
                <w:p w14:paraId="6B3092AF">
                  <w:pPr>
                    <w:pStyle w:val="124"/>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exact"/>
                    <w:ind w:right="0"/>
                    <w:jc w:val="left"/>
                    <w:textAlignment w:val="auto"/>
                    <w:rPr>
                      <w:rFonts w:hint="eastAsia"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t>（4）禁止新（扩）建排放含汞、砷、镉、铬、铅等重金属以及持久性有机污染物的工业项目。</w:t>
                  </w:r>
                </w:p>
                <w:p w14:paraId="3064BA58">
                  <w:pPr>
                    <w:pStyle w:val="124"/>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exact"/>
                    <w:ind w:right="0"/>
                    <w:jc w:val="left"/>
                    <w:textAlignment w:val="auto"/>
                    <w:rPr>
                      <w:rFonts w:hint="eastAsia"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t>（5）禁止建设生产和使用高VOCs含量的溶剂型涂料、油墨、胶粘剂等项目。</w:t>
                  </w:r>
                </w:p>
                <w:p w14:paraId="7046EBA7">
                  <w:pPr>
                    <w:pStyle w:val="124"/>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exact"/>
                    <w:ind w:left="0" w:leftChars="0" w:right="0" w:firstLine="0" w:firstLineChars="0"/>
                    <w:jc w:val="left"/>
                    <w:textAlignment w:val="auto"/>
                    <w:rPr>
                      <w:rFonts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t>（6）禁止引入燃用高污染燃料的项目和设施。</w:t>
                  </w:r>
                </w:p>
              </w:tc>
              <w:tc>
                <w:tcPr>
                  <w:tcW w:w="1095" w:type="pct"/>
                  <w:tcBorders>
                    <w:top w:val="single" w:color="auto" w:sz="6" w:space="0"/>
                    <w:left w:val="single" w:color="auto" w:sz="6" w:space="0"/>
                    <w:bottom w:val="single" w:color="auto" w:sz="12" w:space="0"/>
                  </w:tcBorders>
                  <w:vAlign w:val="center"/>
                </w:tcPr>
                <w:p w14:paraId="600A763F">
                  <w:pPr>
                    <w:keepNext w:val="0"/>
                    <w:keepLines w:val="0"/>
                    <w:pageBreakBefore w:val="0"/>
                    <w:widowControl w:val="0"/>
                    <w:kinsoku/>
                    <w:wordWrap/>
                    <w:overflowPunct/>
                    <w:topLinePunct w:val="0"/>
                    <w:autoSpaceDE/>
                    <w:autoSpaceDN/>
                    <w:bidi w:val="0"/>
                    <w:spacing w:line="240" w:lineRule="exact"/>
                    <w:ind w:right="0"/>
                    <w:jc w:val="left"/>
                    <w:textAlignment w:val="auto"/>
                    <w:rPr>
                      <w:color w:val="000000" w:themeColor="text1"/>
                      <w:szCs w:val="21"/>
                      <w:highlight w:val="none"/>
                      <w:lang w:val="zh-CN"/>
                      <w14:textFill>
                        <w14:solidFill>
                          <w14:schemeClr w14:val="tx1"/>
                        </w14:solidFill>
                      </w14:textFill>
                    </w:rPr>
                  </w:pPr>
                  <w:r>
                    <w:rPr>
                      <w:rFonts w:hint="eastAsia"/>
                      <w:color w:val="000000" w:themeColor="text1"/>
                      <w:szCs w:val="21"/>
                      <w:highlight w:val="none"/>
                      <w14:textFill>
                        <w14:solidFill>
                          <w14:schemeClr w14:val="tx1"/>
                        </w14:solidFill>
                      </w14:textFill>
                    </w:rPr>
                    <w:t>本项目行业类别为</w:t>
                  </w:r>
                  <w:r>
                    <w:rPr>
                      <w:rFonts w:hint="eastAsia"/>
                      <w:color w:val="000000" w:themeColor="text1"/>
                      <w:szCs w:val="21"/>
                      <w:highlight w:val="none"/>
                      <w:lang w:eastAsia="zh-CN"/>
                      <w14:textFill>
                        <w14:solidFill>
                          <w14:schemeClr w14:val="tx1"/>
                        </w14:solidFill>
                      </w14:textFill>
                    </w:rPr>
                    <w:t>C2913橡胶零件制造、C2929塑料零件及其他塑料制品制造、C3670汽车零部件及配件制造，</w:t>
                  </w:r>
                  <w:r>
                    <w:rPr>
                      <w:rFonts w:hint="eastAsia"/>
                      <w:color w:val="000000" w:themeColor="text1"/>
                      <w:szCs w:val="21"/>
                      <w:highlight w:val="none"/>
                      <w14:textFill>
                        <w14:solidFill>
                          <w14:schemeClr w14:val="tx1"/>
                        </w14:solidFill>
                      </w14:textFill>
                    </w:rPr>
                    <w:t>不属于</w:t>
                  </w:r>
                  <w:r>
                    <w:rPr>
                      <w:rFonts w:hint="eastAsia"/>
                      <w:color w:val="000000" w:themeColor="text1"/>
                      <w:szCs w:val="21"/>
                      <w:highlight w:val="none"/>
                      <w:lang w:eastAsia="zh-CN"/>
                      <w14:textFill>
                        <w14:solidFill>
                          <w14:schemeClr w14:val="tx1"/>
                        </w14:solidFill>
                      </w14:textFill>
                    </w:rPr>
                    <w:t>禄口空港片区</w:t>
                  </w:r>
                  <w:r>
                    <w:rPr>
                      <w:rFonts w:hint="eastAsia"/>
                      <w:color w:val="000000" w:themeColor="text1"/>
                      <w:szCs w:val="21"/>
                      <w:highlight w:val="none"/>
                      <w14:textFill>
                        <w14:solidFill>
                          <w14:schemeClr w14:val="tx1"/>
                        </w14:solidFill>
                      </w14:textFill>
                    </w:rPr>
                    <w:t>的限制、禁止发展产业清单中的限制和禁止产业，属于允许类；不属于</w:t>
                  </w:r>
                  <w:r>
                    <w:rPr>
                      <w:color w:val="000000" w:themeColor="text1"/>
                      <w:szCs w:val="21"/>
                      <w:highlight w:val="none"/>
                      <w:lang w:val="zh-CN"/>
                      <w14:textFill>
                        <w14:solidFill>
                          <w14:schemeClr w14:val="tx1"/>
                        </w14:solidFill>
                      </w14:textFill>
                    </w:rPr>
                    <w:t>新（扩）建排放含汞、砷、镉、铬、铅等重金属以及持久性有机污染物的工业项目</w:t>
                  </w:r>
                  <w:r>
                    <w:rPr>
                      <w:rFonts w:hint="eastAsia"/>
                      <w:color w:val="000000" w:themeColor="text1"/>
                      <w:szCs w:val="21"/>
                      <w:highlight w:val="none"/>
                      <w14:textFill>
                        <w14:solidFill>
                          <w14:schemeClr w14:val="tx1"/>
                        </w14:solidFill>
                      </w14:textFill>
                    </w:rPr>
                    <w:t>；不属于</w:t>
                  </w:r>
                  <w:r>
                    <w:rPr>
                      <w:color w:val="000000" w:themeColor="text1"/>
                      <w:szCs w:val="21"/>
                      <w:highlight w:val="none"/>
                      <w:lang w:val="zh-CN"/>
                      <w14:textFill>
                        <w14:solidFill>
                          <w14:schemeClr w14:val="tx1"/>
                        </w14:solidFill>
                      </w14:textFill>
                    </w:rPr>
                    <w:t>新（扩）建酿造、制革等水污染重的项目</w:t>
                  </w:r>
                  <w:r>
                    <w:rPr>
                      <w:rFonts w:hint="eastAsia"/>
                      <w:color w:val="000000" w:themeColor="text1"/>
                      <w:szCs w:val="21"/>
                      <w:highlight w:val="none"/>
                      <w14:textFill>
                        <w14:solidFill>
                          <w14:schemeClr w14:val="tx1"/>
                        </w14:solidFill>
                      </w14:textFill>
                    </w:rPr>
                    <w:t>；不属于</w:t>
                  </w:r>
                  <w:r>
                    <w:rPr>
                      <w:color w:val="000000" w:themeColor="text1"/>
                      <w:szCs w:val="21"/>
                      <w:highlight w:val="none"/>
                      <w:lang w:val="zh-CN"/>
                      <w14:textFill>
                        <w14:solidFill>
                          <w14:schemeClr w14:val="tx1"/>
                        </w14:solidFill>
                      </w14:textFill>
                    </w:rPr>
                    <w:t>新（扩）建工业生产废水排水量大于1000吨/日的项目</w:t>
                  </w:r>
                  <w:r>
                    <w:rPr>
                      <w:rFonts w:hint="eastAsia"/>
                      <w:color w:val="000000" w:themeColor="text1"/>
                      <w:szCs w:val="21"/>
                      <w:highlight w:val="none"/>
                      <w14:textFill>
                        <w14:solidFill>
                          <w14:schemeClr w14:val="tx1"/>
                        </w14:solidFill>
                      </w14:textFill>
                    </w:rPr>
                    <w:t>；不属于</w:t>
                  </w:r>
                  <w:r>
                    <w:rPr>
                      <w:rFonts w:hint="eastAsia"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t>建设生产和使用高VOCs含量的溶剂型涂料、油墨、胶粘剂等项目，</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不</w:t>
                  </w:r>
                  <w:r>
                    <w:rPr>
                      <w:rFonts w:hint="eastAsia"/>
                      <w:color w:val="000000" w:themeColor="text1"/>
                      <w:szCs w:val="21"/>
                      <w:highlight w:val="none"/>
                      <w14:textFill>
                        <w14:solidFill>
                          <w14:schemeClr w14:val="tx1"/>
                        </w14:solidFill>
                      </w14:textFill>
                    </w:rPr>
                    <w:t>属于</w:t>
                  </w:r>
                  <w:r>
                    <w:rPr>
                      <w:rFonts w:hint="eastAsia"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t>燃用高污染燃料的项目和设施</w:t>
                  </w:r>
                  <w:r>
                    <w:rPr>
                      <w:color w:val="000000" w:themeColor="text1"/>
                      <w:szCs w:val="21"/>
                      <w:highlight w:val="none"/>
                      <w14:textFill>
                        <w14:solidFill>
                          <w14:schemeClr w14:val="tx1"/>
                        </w14:solidFill>
                      </w14:textFill>
                    </w:rPr>
                    <w:t>。</w:t>
                  </w:r>
                </w:p>
              </w:tc>
            </w:tr>
            <w:bookmarkEnd w:id="2"/>
          </w:tbl>
          <w:p w14:paraId="04D4697A">
            <w:pPr>
              <w:adjustRightInd w:val="0"/>
              <w:snapToGrid w:val="0"/>
              <w:spacing w:line="440" w:lineRule="exact"/>
              <w:ind w:firstLine="482" w:firstLineChars="200"/>
              <w:rPr>
                <w:rFonts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pPr>
            <w:r>
              <w:rPr>
                <w:rFonts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t>表1-2</w:t>
            </w:r>
            <w:r>
              <w:rPr>
                <w:rFonts w:hint="eastAsia" w:cs="Times New Roman"/>
                <w:b/>
                <w:color w:val="000000" w:themeColor="text1"/>
                <w:kern w:val="0"/>
                <w:sz w:val="24"/>
                <w:szCs w:val="24"/>
                <w:highlight w:val="none"/>
                <w:lang w:val="en-US" w:eastAsia="zh-CN" w:bidi="ar-SA"/>
                <w14:textFill>
                  <w14:solidFill>
                    <w14:schemeClr w14:val="tx1"/>
                  </w14:solidFill>
                </w14:textFill>
              </w:rPr>
              <w:t xml:space="preserve">  </w:t>
            </w:r>
            <w:r>
              <w:rPr>
                <w:rFonts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t>与</w:t>
            </w:r>
            <w:r>
              <w:rPr>
                <w:rFonts w:hint="eastAsia"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t>江宁经济技术开发区环评中</w:t>
            </w:r>
            <w:r>
              <w:rPr>
                <w:rFonts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t>生态环境准入清单相符性</w:t>
            </w:r>
          </w:p>
          <w:tbl>
            <w:tblPr>
              <w:tblStyle w:val="38"/>
              <w:tblW w:w="4998" w:type="pct"/>
              <w:tblInd w:w="0" w:type="dxa"/>
              <w:tblBorders>
                <w:top w:val="single" w:color="auto" w:sz="12" w:space="0"/>
                <w:left w:val="none" w:color="auto" w:sz="0" w:space="0"/>
                <w:bottom w:val="single" w:color="auto" w:sz="12" w:space="0"/>
                <w:right w:val="none" w:color="auto" w:sz="0" w:space="0"/>
                <w:insideH w:val="single" w:color="auto" w:sz="8" w:space="0"/>
                <w:insideV w:val="single" w:color="auto" w:sz="6" w:space="0"/>
              </w:tblBorders>
              <w:tblLayout w:type="fixed"/>
              <w:tblCellMar>
                <w:top w:w="0" w:type="dxa"/>
                <w:left w:w="108" w:type="dxa"/>
                <w:bottom w:w="0" w:type="dxa"/>
                <w:right w:w="108" w:type="dxa"/>
              </w:tblCellMar>
            </w:tblPr>
            <w:tblGrid>
              <w:gridCol w:w="652"/>
              <w:gridCol w:w="3416"/>
              <w:gridCol w:w="2775"/>
              <w:gridCol w:w="649"/>
            </w:tblGrid>
            <w:tr w14:paraId="6E4B7C62">
              <w:tblPrEx>
                <w:tblBorders>
                  <w:top w:val="single" w:color="auto" w:sz="12" w:space="0"/>
                  <w:left w:val="none" w:color="auto" w:sz="0" w:space="0"/>
                  <w:bottom w:val="single" w:color="auto" w:sz="12"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769" w:hRule="atLeast"/>
              </w:trPr>
              <w:tc>
                <w:tcPr>
                  <w:tcW w:w="435" w:type="pct"/>
                  <w:vAlign w:val="center"/>
                </w:tcPr>
                <w:p w14:paraId="7F8F3544">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清单类型</w:t>
                  </w:r>
                </w:p>
              </w:tc>
              <w:tc>
                <w:tcPr>
                  <w:tcW w:w="2279" w:type="pct"/>
                  <w:vAlign w:val="center"/>
                </w:tcPr>
                <w:p w14:paraId="7DE689E2">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要求</w:t>
                  </w:r>
                </w:p>
              </w:tc>
              <w:tc>
                <w:tcPr>
                  <w:tcW w:w="1851" w:type="pct"/>
                  <w:vAlign w:val="center"/>
                </w:tcPr>
                <w:p w14:paraId="20946A16">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符合性分析</w:t>
                  </w:r>
                </w:p>
              </w:tc>
              <w:tc>
                <w:tcPr>
                  <w:tcW w:w="433" w:type="pct"/>
                  <w:vAlign w:val="center"/>
                </w:tcPr>
                <w:p w14:paraId="4DCE5C99">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相符性</w:t>
                  </w:r>
                </w:p>
              </w:tc>
            </w:tr>
            <w:tr w14:paraId="086A893D">
              <w:tblPrEx>
                <w:tblBorders>
                  <w:top w:val="single" w:color="auto" w:sz="12" w:space="0"/>
                  <w:left w:val="none" w:color="auto" w:sz="0" w:space="0"/>
                  <w:bottom w:val="single" w:color="auto" w:sz="12" w:space="0"/>
                  <w:right w:val="none" w:color="auto" w:sz="0" w:space="0"/>
                  <w:insideH w:val="single" w:color="auto" w:sz="8" w:space="0"/>
                  <w:insideV w:val="single" w:color="auto" w:sz="6" w:space="0"/>
                </w:tblBorders>
                <w:tblCellMar>
                  <w:top w:w="0" w:type="dxa"/>
                  <w:left w:w="108" w:type="dxa"/>
                  <w:bottom w:w="0" w:type="dxa"/>
                  <w:right w:w="108" w:type="dxa"/>
                </w:tblCellMar>
              </w:tblPrEx>
              <w:tc>
                <w:tcPr>
                  <w:tcW w:w="435" w:type="pct"/>
                  <w:vMerge w:val="restart"/>
                  <w:vAlign w:val="center"/>
                </w:tcPr>
                <w:p w14:paraId="6B891BB6">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空间布局约束</w:t>
                  </w:r>
                </w:p>
              </w:tc>
              <w:tc>
                <w:tcPr>
                  <w:tcW w:w="2279" w:type="pct"/>
                  <w:vAlign w:val="center"/>
                </w:tcPr>
                <w:p w14:paraId="34DD5EEF">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（1）引进的项目需符合国家和地方产业政策，积极引进鼓励类项目，优先引进上下游产业协同发展的项目。</w:t>
                  </w:r>
                </w:p>
                <w:p w14:paraId="2CE100FD">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（2）引进的项目生产工艺、装备技术、清洁生产水平等应达到同行业先进水平，优先引进资源能源消耗小、污染物排放少、产品附加值高的工艺技术、产品或项目。</w:t>
                  </w:r>
                </w:p>
                <w:p w14:paraId="3DBA0CAC">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（3）引进的项目必须具备完善、有效的</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三废</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治理措施，能够实现废水、废气等污染物的稳定达标排放，保障区域环境功能区达标。</w:t>
                  </w:r>
                </w:p>
                <w:p w14:paraId="1614A6D4">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（4）强化污染物排放强度指标约束，引进的项目污染物排放总量必须在基地允许排放总量范围内。</w:t>
                  </w:r>
                </w:p>
              </w:tc>
              <w:tc>
                <w:tcPr>
                  <w:tcW w:w="1851" w:type="pct"/>
                  <w:vAlign w:val="center"/>
                </w:tcPr>
                <w:p w14:paraId="3F94E309">
                  <w:pPr>
                    <w:snapToGrid w:val="0"/>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本项目主要从事橡胶零件和塑料零件制造，不属于禄口空港片区的限制、禁止发展产业清单中的限制和禁止产业，属于允许类，本项目与产业定位相符</w:t>
                  </w:r>
                  <w:r>
                    <w:rPr>
                      <w:rFonts w:hint="eastAsia"/>
                      <w:color w:val="000000" w:themeColor="text1"/>
                      <w:szCs w:val="21"/>
                      <w:highlight w:val="none"/>
                      <w14:textFill>
                        <w14:solidFill>
                          <w14:schemeClr w14:val="tx1"/>
                        </w14:solidFill>
                      </w14:textFill>
                    </w:rPr>
                    <w:t>。</w:t>
                  </w:r>
                </w:p>
                <w:p w14:paraId="7B0893DF">
                  <w:pPr>
                    <w:snapToGrid w:val="0"/>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同时产品的资源能源消耗小、污染物排放少、产品附加值高。</w:t>
                  </w:r>
                </w:p>
                <w:p w14:paraId="77C343C5">
                  <w:pPr>
                    <w:snapToGrid w:val="0"/>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本项目生活污水经化粪池预处理后接管至禄口污水处理厂</w:t>
                  </w:r>
                  <w:r>
                    <w:rPr>
                      <w:rFonts w:hint="eastAsia"/>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本项目硫化废气、成型废气经集气罩收集后通过二级活性炭装置后经过15米高排气筒排放；投料废气、混合废气、危废仓库废气无组织排放</w:t>
                  </w:r>
                  <w:r>
                    <w:rPr>
                      <w:rFonts w:hint="eastAsia"/>
                      <w:color w:val="000000" w:themeColor="text1"/>
                      <w:szCs w:val="21"/>
                      <w:highlight w:val="none"/>
                      <w14:textFill>
                        <w14:solidFill>
                          <w14:schemeClr w14:val="tx1"/>
                        </w14:solidFill>
                      </w14:textFill>
                    </w:rPr>
                    <w:t>；固体废物妥善处理处置。</w:t>
                  </w:r>
                  <w:r>
                    <w:rPr>
                      <w:rFonts w:hint="eastAsia"/>
                      <w:color w:val="000000" w:themeColor="text1"/>
                      <w:szCs w:val="21"/>
                      <w:highlight w:val="none"/>
                      <w:lang w:eastAsia="zh-CN"/>
                      <w14:textFill>
                        <w14:solidFill>
                          <w14:schemeClr w14:val="tx1"/>
                        </w14:solidFill>
                      </w14:textFill>
                    </w:rPr>
                    <w:t>本项目已向南京市江宁生态环境局申请总量，废水污染物由江宁区水减排项目平衡，废气污染物由江宁区大气减排项目平衡。本项目固废均得到合理处置，废气、废水达标排放</w:t>
                  </w:r>
                  <w:r>
                    <w:rPr>
                      <w:rFonts w:hint="eastAsia"/>
                      <w:color w:val="000000" w:themeColor="text1"/>
                      <w:szCs w:val="21"/>
                      <w:highlight w:val="none"/>
                      <w14:textFill>
                        <w14:solidFill>
                          <w14:schemeClr w14:val="tx1"/>
                        </w14:solidFill>
                      </w14:textFill>
                    </w:rPr>
                    <w:t>。</w:t>
                  </w:r>
                </w:p>
              </w:tc>
              <w:tc>
                <w:tcPr>
                  <w:tcW w:w="433" w:type="pct"/>
                  <w:vAlign w:val="center"/>
                </w:tcPr>
                <w:p w14:paraId="68C67E6D">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72D9AD80">
              <w:tblPrEx>
                <w:tblBorders>
                  <w:top w:val="single" w:color="auto" w:sz="12" w:space="0"/>
                  <w:left w:val="none" w:color="auto" w:sz="0" w:space="0"/>
                  <w:bottom w:val="single" w:color="auto" w:sz="12" w:space="0"/>
                  <w:right w:val="none" w:color="auto" w:sz="0" w:space="0"/>
                  <w:insideH w:val="single" w:color="auto" w:sz="8" w:space="0"/>
                  <w:insideV w:val="single" w:color="auto" w:sz="6" w:space="0"/>
                </w:tblBorders>
                <w:tblCellMar>
                  <w:top w:w="0" w:type="dxa"/>
                  <w:left w:w="108" w:type="dxa"/>
                  <w:bottom w:w="0" w:type="dxa"/>
                  <w:right w:w="108" w:type="dxa"/>
                </w:tblCellMar>
              </w:tblPrEx>
              <w:tc>
                <w:tcPr>
                  <w:tcW w:w="435" w:type="pct"/>
                  <w:vMerge w:val="continue"/>
                  <w:vAlign w:val="center"/>
                </w:tcPr>
                <w:p w14:paraId="2943B0BB">
                  <w:pPr>
                    <w:snapToGrid w:val="0"/>
                    <w:spacing w:line="240" w:lineRule="exact"/>
                    <w:jc w:val="center"/>
                    <w:rPr>
                      <w:color w:val="000000" w:themeColor="text1"/>
                      <w:szCs w:val="21"/>
                      <w:highlight w:val="none"/>
                      <w14:textFill>
                        <w14:solidFill>
                          <w14:schemeClr w14:val="tx1"/>
                        </w14:solidFill>
                      </w14:textFill>
                    </w:rPr>
                  </w:pPr>
                </w:p>
              </w:tc>
              <w:tc>
                <w:tcPr>
                  <w:tcW w:w="2279" w:type="pct"/>
                  <w:vAlign w:val="center"/>
                </w:tcPr>
                <w:p w14:paraId="0840BE48">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严格执行《江苏省长江经济带发展负面清单实施细则》《关于促进长三角地区经济社会与生态环境保护协调发展的指导意见》等文件要求。禁止引入不符合上述文件要求及禁止新建、扩建国家《产业结构调整指导目录》《江苏省产业结构调整限制、淘汰和禁止目录》《江宁区建设项目环境准入</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负面清单</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（2020）》明确的限制类、淘汰类、禁止类项目。</w:t>
                  </w:r>
                </w:p>
              </w:tc>
              <w:tc>
                <w:tcPr>
                  <w:tcW w:w="1851" w:type="pct"/>
                  <w:vAlign w:val="center"/>
                </w:tcPr>
                <w:p w14:paraId="229DA4DF">
                  <w:pPr>
                    <w:snapToGrid w:val="0"/>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本项目为</w:t>
                  </w:r>
                  <w:r>
                    <w:rPr>
                      <w:rFonts w:hint="eastAsia"/>
                      <w:color w:val="000000" w:themeColor="text1"/>
                      <w:szCs w:val="21"/>
                      <w:highlight w:val="none"/>
                      <w:lang w:eastAsia="zh-CN"/>
                      <w14:textFill>
                        <w14:solidFill>
                          <w14:schemeClr w14:val="tx1"/>
                        </w14:solidFill>
                      </w14:textFill>
                    </w:rPr>
                    <w:t>C2913橡胶零件制造、C2929塑料零件及其他塑料制品制造、C3670汽车零部件及配件制造，</w:t>
                  </w:r>
                  <w:r>
                    <w:rPr>
                      <w:color w:val="000000" w:themeColor="text1"/>
                      <w:szCs w:val="21"/>
                      <w:highlight w:val="none"/>
                      <w14:textFill>
                        <w14:solidFill>
                          <w14:schemeClr w14:val="tx1"/>
                        </w14:solidFill>
                      </w14:textFill>
                    </w:rPr>
                    <w:t>符合文件要求</w:t>
                  </w:r>
                  <w:r>
                    <w:rPr>
                      <w:rFonts w:hint="eastAsia"/>
                      <w:color w:val="000000" w:themeColor="text1"/>
                      <w:szCs w:val="21"/>
                      <w:highlight w:val="none"/>
                      <w:lang w:eastAsia="zh-CN"/>
                      <w14:textFill>
                        <w14:solidFill>
                          <w14:schemeClr w14:val="tx1"/>
                        </w14:solidFill>
                      </w14:textFill>
                    </w:rPr>
                    <w:t>，</w:t>
                  </w:r>
                  <w:r>
                    <w:rPr>
                      <w:color w:val="000000" w:themeColor="text1"/>
                      <w:szCs w:val="21"/>
                      <w:highlight w:val="none"/>
                      <w14:textFill>
                        <w14:solidFill>
                          <w14:schemeClr w14:val="tx1"/>
                        </w14:solidFill>
                      </w14:textFill>
                    </w:rPr>
                    <w:t>不属于禁止引入不符合上述文件要求及禁止新建、扩建国家《产业结构调整指导目录》（2024年本）中明确的限制类、淘汰类、禁止类项目。</w:t>
                  </w:r>
                </w:p>
              </w:tc>
              <w:tc>
                <w:tcPr>
                  <w:tcW w:w="433" w:type="pct"/>
                  <w:vAlign w:val="center"/>
                </w:tcPr>
                <w:p w14:paraId="3D43A013">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03FB5956">
              <w:tblPrEx>
                <w:tblBorders>
                  <w:top w:val="single" w:color="auto" w:sz="12" w:space="0"/>
                  <w:left w:val="none" w:color="auto" w:sz="0" w:space="0"/>
                  <w:bottom w:val="single" w:color="auto" w:sz="12" w:space="0"/>
                  <w:right w:val="none" w:color="auto" w:sz="0" w:space="0"/>
                  <w:insideH w:val="single" w:color="auto" w:sz="8" w:space="0"/>
                  <w:insideV w:val="single" w:color="auto" w:sz="6" w:space="0"/>
                </w:tblBorders>
                <w:tblCellMar>
                  <w:top w:w="0" w:type="dxa"/>
                  <w:left w:w="108" w:type="dxa"/>
                  <w:bottom w:w="0" w:type="dxa"/>
                  <w:right w:w="108" w:type="dxa"/>
                </w:tblCellMar>
              </w:tblPrEx>
              <w:tc>
                <w:tcPr>
                  <w:tcW w:w="435" w:type="pct"/>
                  <w:vMerge w:val="continue"/>
                  <w:vAlign w:val="center"/>
                </w:tcPr>
                <w:p w14:paraId="1F6DC95D">
                  <w:pPr>
                    <w:snapToGrid w:val="0"/>
                    <w:spacing w:line="240" w:lineRule="exact"/>
                    <w:jc w:val="center"/>
                    <w:rPr>
                      <w:color w:val="000000" w:themeColor="text1"/>
                      <w:szCs w:val="21"/>
                      <w:highlight w:val="none"/>
                      <w14:textFill>
                        <w14:solidFill>
                          <w14:schemeClr w14:val="tx1"/>
                        </w14:solidFill>
                      </w14:textFill>
                    </w:rPr>
                  </w:pPr>
                </w:p>
              </w:tc>
              <w:tc>
                <w:tcPr>
                  <w:tcW w:w="2279" w:type="pct"/>
                  <w:vAlign w:val="center"/>
                </w:tcPr>
                <w:p w14:paraId="46ADF349">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（1）邻近生活区的工业用地，禁止引进废气污染物排放量大、无组织污染严重的项目，距离居住用地100m范围内不布置含喷涂、酸洗等排放异味气体的生产工序和危化品仓库。</w:t>
                  </w:r>
                </w:p>
                <w:p w14:paraId="0734E7B5">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（2）邻近重要湿地等生态红线区域的工业用地，加强入区企业跑冒滴漏管理，设置符合规范的</w:t>
                  </w:r>
                  <w:r>
                    <w:rPr>
                      <w:rFonts w:hint="eastAsia"/>
                      <w:color w:val="000000" w:themeColor="text1"/>
                      <w:szCs w:val="21"/>
                      <w:highlight w:val="none"/>
                      <w:lang w:eastAsia="zh-CN"/>
                      <w14:textFill>
                        <w14:solidFill>
                          <w14:schemeClr w14:val="tx1"/>
                        </w14:solidFill>
                      </w14:textFill>
                    </w:rPr>
                    <w:t>事故应急池</w:t>
                  </w:r>
                  <w:r>
                    <w:rPr>
                      <w:color w:val="000000" w:themeColor="text1"/>
                      <w:szCs w:val="21"/>
                      <w:highlight w:val="none"/>
                      <w14:textFill>
                        <w14:solidFill>
                          <w14:schemeClr w14:val="tx1"/>
                        </w14:solidFill>
                      </w14:textFill>
                    </w:rPr>
                    <w:t>，确保企业废水不排入上述敏感区域。</w:t>
                  </w:r>
                </w:p>
                <w:p w14:paraId="77C73008">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（3）符合规划评价提出的生态保护红线、环境质量底线、资源利用上线相对应的管控要求。</w:t>
                  </w:r>
                </w:p>
              </w:tc>
              <w:tc>
                <w:tcPr>
                  <w:tcW w:w="1851" w:type="pct"/>
                  <w:vAlign w:val="center"/>
                </w:tcPr>
                <w:p w14:paraId="7C1AEC3A">
                  <w:pPr>
                    <w:snapToGrid w:val="0"/>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本项目为</w:t>
                  </w:r>
                  <w:r>
                    <w:rPr>
                      <w:rFonts w:hint="eastAsia"/>
                      <w:color w:val="000000" w:themeColor="text1"/>
                      <w:szCs w:val="21"/>
                      <w:highlight w:val="none"/>
                      <w:lang w:eastAsia="zh-CN"/>
                      <w14:textFill>
                        <w14:solidFill>
                          <w14:schemeClr w14:val="tx1"/>
                        </w14:solidFill>
                      </w14:textFill>
                    </w:rPr>
                    <w:t>C2913橡胶零件制造、C2929塑料零件及其他塑料制品制造、C3670汽车零部件及配件制造，</w:t>
                  </w:r>
                  <w:r>
                    <w:rPr>
                      <w:color w:val="000000" w:themeColor="text1"/>
                      <w:szCs w:val="21"/>
                      <w:highlight w:val="none"/>
                      <w14:textFill>
                        <w14:solidFill>
                          <w14:schemeClr w14:val="tx1"/>
                        </w14:solidFill>
                      </w14:textFill>
                    </w:rPr>
                    <w:t>本项目不属于废气污染物排放量大、无组织污染严重的项目。符合规划评价提出的生态保护红线、环境质量底线、资源利用上线相对应的管控要求。</w:t>
                  </w:r>
                </w:p>
              </w:tc>
              <w:tc>
                <w:tcPr>
                  <w:tcW w:w="433" w:type="pct"/>
                  <w:vAlign w:val="center"/>
                </w:tcPr>
                <w:p w14:paraId="36D99B45">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1F14B4FE">
              <w:tblPrEx>
                <w:tblBorders>
                  <w:top w:val="single" w:color="auto" w:sz="12" w:space="0"/>
                  <w:left w:val="none" w:color="auto" w:sz="0" w:space="0"/>
                  <w:bottom w:val="single" w:color="auto" w:sz="12" w:space="0"/>
                  <w:right w:val="none" w:color="auto" w:sz="0" w:space="0"/>
                  <w:insideH w:val="single" w:color="auto" w:sz="8" w:space="0"/>
                  <w:insideV w:val="single" w:color="auto" w:sz="6" w:space="0"/>
                </w:tblBorders>
                <w:tblCellMar>
                  <w:top w:w="0" w:type="dxa"/>
                  <w:left w:w="108" w:type="dxa"/>
                  <w:bottom w:w="0" w:type="dxa"/>
                  <w:right w:w="108" w:type="dxa"/>
                </w:tblCellMar>
              </w:tblPrEx>
              <w:tc>
                <w:tcPr>
                  <w:tcW w:w="435" w:type="pct"/>
                  <w:vAlign w:val="center"/>
                </w:tcPr>
                <w:p w14:paraId="420D204A">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污染物排放管控</w:t>
                  </w:r>
                </w:p>
              </w:tc>
              <w:tc>
                <w:tcPr>
                  <w:tcW w:w="2279" w:type="pct"/>
                  <w:vAlign w:val="center"/>
                </w:tcPr>
                <w:p w14:paraId="5BEB6939">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2025年，开发区工业废水污染物（外排量）：化学需氧量、氨氮、总氮、总磷不得超过4414.52吨/年、434.43吨/年、1692.94吨/年、69.99吨/年；开发区大气污染物：二氧化硫、氮氧化物、</w:t>
                  </w:r>
                  <w:r>
                    <w:rPr>
                      <w:rFonts w:hint="eastAsia"/>
                      <w:color w:val="000000" w:themeColor="text1"/>
                      <w:szCs w:val="21"/>
                      <w:highlight w:val="none"/>
                      <w:lang w:val="en-US" w:eastAsia="zh-CN"/>
                      <w14:textFill>
                        <w14:solidFill>
                          <w14:schemeClr w14:val="tx1"/>
                        </w14:solidFill>
                      </w14:textFill>
                    </w:rPr>
                    <w:t>颗粒物、</w:t>
                  </w:r>
                  <w:r>
                    <w:rPr>
                      <w:color w:val="000000" w:themeColor="text1"/>
                      <w:szCs w:val="21"/>
                      <w:highlight w:val="none"/>
                      <w:lang w:val="zh-CN"/>
                      <w14:textFill>
                        <w14:solidFill>
                          <w14:schemeClr w14:val="tx1"/>
                        </w14:solidFill>
                      </w14:textFill>
                    </w:rPr>
                    <w:t>VOCs排放量不得超过385.048吨/年、1217.047吨/年、209.44吨/年、467.798吨/年。</w:t>
                  </w:r>
                </w:p>
                <w:p w14:paraId="1552FEDB">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2035年，开发区工业废水污染物（外排量）：化学需氧量、氨氮、总氮、总磷不得超过4169.46吨/年、324.71吨/年、1950.43吨/年、66.80吨/年；开发区大气污染物：二氧化硫、氮氧化物、</w:t>
                  </w:r>
                  <w:r>
                    <w:rPr>
                      <w:rFonts w:hint="eastAsia"/>
                      <w:color w:val="000000" w:themeColor="text1"/>
                      <w:szCs w:val="21"/>
                      <w:highlight w:val="none"/>
                      <w:lang w:val="en-US" w:eastAsia="zh-CN"/>
                      <w14:textFill>
                        <w14:solidFill>
                          <w14:schemeClr w14:val="tx1"/>
                        </w14:solidFill>
                      </w14:textFill>
                    </w:rPr>
                    <w:t>颗粒物、</w:t>
                  </w:r>
                  <w:r>
                    <w:rPr>
                      <w:color w:val="000000" w:themeColor="text1"/>
                      <w:szCs w:val="21"/>
                      <w:highlight w:val="none"/>
                      <w:lang w:val="zh-CN"/>
                      <w14:textFill>
                        <w14:solidFill>
                          <w14:schemeClr w14:val="tx1"/>
                        </w14:solidFill>
                      </w14:textFill>
                    </w:rPr>
                    <w:t>VOCs排放量不得超过387.644吨/年、1221.512吨/年、213.394吨/年、475.388吨/年。</w:t>
                  </w:r>
                </w:p>
              </w:tc>
              <w:tc>
                <w:tcPr>
                  <w:tcW w:w="2775" w:type="dxa"/>
                  <w:vAlign w:val="center"/>
                </w:tcPr>
                <w:p w14:paraId="1EFCB5CE">
                  <w:pPr>
                    <w:snapToGrid w:val="0"/>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废水污染物由江宁区水减排项目平衡，</w:t>
                  </w:r>
                  <w:r>
                    <w:rPr>
                      <w:rFonts w:hint="eastAsia"/>
                      <w:color w:val="000000" w:themeColor="text1"/>
                      <w:szCs w:val="21"/>
                      <w:highlight w:val="none"/>
                      <w:lang w:val="zh-CN"/>
                      <w14:textFill>
                        <w14:solidFill>
                          <w14:schemeClr w14:val="tx1"/>
                        </w14:solidFill>
                      </w14:textFill>
                    </w:rPr>
                    <w:t>废气污染物由江宁区大气减排项目平衡</w:t>
                  </w:r>
                  <w:r>
                    <w:rPr>
                      <w:rFonts w:hint="eastAsia"/>
                      <w:color w:val="000000" w:themeColor="text1"/>
                      <w:szCs w:val="21"/>
                      <w:highlight w:val="none"/>
                      <w14:textFill>
                        <w14:solidFill>
                          <w14:schemeClr w14:val="tx1"/>
                        </w14:solidFill>
                      </w14:textFill>
                    </w:rPr>
                    <w:t>。</w:t>
                  </w:r>
                  <w:r>
                    <w:rPr>
                      <w:color w:val="000000" w:themeColor="text1"/>
                      <w:szCs w:val="21"/>
                      <w:highlight w:val="none"/>
                      <w:lang w:val="zh-CN"/>
                      <w14:textFill>
                        <w14:solidFill>
                          <w14:schemeClr w14:val="tx1"/>
                        </w14:solidFill>
                      </w14:textFill>
                    </w:rPr>
                    <w:t>项目实施后将严格落实污染物总量控制制度。</w:t>
                  </w:r>
                </w:p>
              </w:tc>
              <w:tc>
                <w:tcPr>
                  <w:tcW w:w="649" w:type="dxa"/>
                  <w:vAlign w:val="center"/>
                </w:tcPr>
                <w:p w14:paraId="761E244E">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6D48C6D9">
              <w:tblPrEx>
                <w:tblBorders>
                  <w:top w:val="single" w:color="auto" w:sz="12" w:space="0"/>
                  <w:left w:val="none" w:color="auto" w:sz="0" w:space="0"/>
                  <w:bottom w:val="single" w:color="auto" w:sz="12" w:space="0"/>
                  <w:right w:val="none" w:color="auto" w:sz="0" w:space="0"/>
                  <w:insideH w:val="single" w:color="auto" w:sz="8" w:space="0"/>
                  <w:insideV w:val="single" w:color="auto" w:sz="6" w:space="0"/>
                </w:tblBorders>
                <w:tblCellMar>
                  <w:top w:w="0" w:type="dxa"/>
                  <w:left w:w="108" w:type="dxa"/>
                  <w:bottom w:w="0" w:type="dxa"/>
                  <w:right w:w="108" w:type="dxa"/>
                </w:tblCellMar>
              </w:tblPrEx>
              <w:tc>
                <w:tcPr>
                  <w:tcW w:w="435" w:type="pct"/>
                  <w:vAlign w:val="center"/>
                </w:tcPr>
                <w:p w14:paraId="11D70830">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环境风险防控</w:t>
                  </w:r>
                </w:p>
              </w:tc>
              <w:tc>
                <w:tcPr>
                  <w:tcW w:w="2279" w:type="pct"/>
                  <w:vAlign w:val="center"/>
                </w:tcPr>
                <w:p w14:paraId="756212F8">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建立区域监测预警系统，建立省市县上下联动、区域之间左右联动等联动应急响应体系，实行联防联控。生产、使用、储存危险化学品或其他存在环境风险的企业事业单位，应当采取风险防范措施，并根据《企业事业单位突发环境事件应急预案备案管理办法（试行）》的要求编制环境风险应急预案，防止发生环境污染事故。</w:t>
                  </w:r>
                </w:p>
              </w:tc>
              <w:tc>
                <w:tcPr>
                  <w:tcW w:w="1851" w:type="pct"/>
                  <w:vAlign w:val="center"/>
                </w:tcPr>
                <w:p w14:paraId="0FFDE31A">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将积极做好环境保护规划，加强水环境和大气环境的监测管理与信息公开，建立健全区域风险防范体系和生态安全保障体系。本项目实施后，建议建设单位制定风险防范措施，编制完善突发环境事件应急预案。</w:t>
                  </w:r>
                </w:p>
              </w:tc>
              <w:tc>
                <w:tcPr>
                  <w:tcW w:w="433" w:type="pct"/>
                  <w:vAlign w:val="center"/>
                </w:tcPr>
                <w:p w14:paraId="587C0728">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737094A4">
              <w:tblPrEx>
                <w:tblBorders>
                  <w:top w:val="single" w:color="auto" w:sz="12" w:space="0"/>
                  <w:left w:val="none" w:color="auto" w:sz="0" w:space="0"/>
                  <w:bottom w:val="single" w:color="auto" w:sz="12" w:space="0"/>
                  <w:right w:val="none" w:color="auto" w:sz="0" w:space="0"/>
                  <w:insideH w:val="single" w:color="auto" w:sz="8" w:space="0"/>
                  <w:insideV w:val="single" w:color="auto" w:sz="6" w:space="0"/>
                </w:tblBorders>
                <w:tblCellMar>
                  <w:top w:w="0" w:type="dxa"/>
                  <w:left w:w="108" w:type="dxa"/>
                  <w:bottom w:w="0" w:type="dxa"/>
                  <w:right w:w="108" w:type="dxa"/>
                </w:tblCellMar>
              </w:tblPrEx>
              <w:tc>
                <w:tcPr>
                  <w:tcW w:w="435" w:type="pct"/>
                  <w:vAlign w:val="center"/>
                </w:tcPr>
                <w:p w14:paraId="55A2D0A6">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资源开发利用要求</w:t>
                  </w:r>
                </w:p>
              </w:tc>
              <w:tc>
                <w:tcPr>
                  <w:tcW w:w="2279" w:type="pct"/>
                  <w:vAlign w:val="center"/>
                </w:tcPr>
                <w:p w14:paraId="53D69024">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水资源利用总量要求：到2035年，开发区用水总量不得超过89.54万hm</w:t>
                  </w:r>
                  <w:r>
                    <w:rPr>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/d。单位工业增加值新鲜水耗不高于1.80立方米/万元，工业用水重复利用率达到85%。</w:t>
                  </w:r>
                </w:p>
                <w:p w14:paraId="7F6F8EBC">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能源利用总量及效率要求：到2035年，单位工业增加值综合能耗不高于0.05吨标煤/万元。</w:t>
                  </w:r>
                </w:p>
                <w:p w14:paraId="729901EE">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土地资源利用总量要求：到2035年，开发区城市建设用地应不突破193.93km</w:t>
                  </w:r>
                  <w:r>
                    <w:rPr>
                      <w:color w:val="000000" w:themeColor="text1"/>
                      <w:szCs w:val="21"/>
                      <w:highlight w:val="none"/>
                      <w:vertAlign w:val="superscript"/>
                      <w14:textFill>
                        <w14:solidFill>
                          <w14:schemeClr w14:val="tx1"/>
                        </w14:solidFill>
                      </w14:textFill>
                    </w:rPr>
                    <w:t>2</w:t>
                  </w:r>
                  <w:r>
                    <w:rPr>
                      <w:color w:val="000000" w:themeColor="text1"/>
                      <w:szCs w:val="21"/>
                      <w:highlight w:val="none"/>
                      <w14:textFill>
                        <w14:solidFill>
                          <w14:schemeClr w14:val="tx1"/>
                        </w14:solidFill>
                      </w14:textFill>
                    </w:rPr>
                    <w:t>，工业用地不突破43.67km</w:t>
                  </w:r>
                  <w:r>
                    <w:rPr>
                      <w:color w:val="000000" w:themeColor="text1"/>
                      <w:szCs w:val="21"/>
                      <w:highlight w:val="none"/>
                      <w:vertAlign w:val="superscript"/>
                      <w14:textFill>
                        <w14:solidFill>
                          <w14:schemeClr w14:val="tx1"/>
                        </w14:solidFill>
                      </w14:textFill>
                    </w:rPr>
                    <w:t>2</w:t>
                  </w:r>
                  <w:r>
                    <w:rPr>
                      <w:color w:val="000000" w:themeColor="text1"/>
                      <w:szCs w:val="21"/>
                      <w:highlight w:val="none"/>
                      <w14:textFill>
                        <w14:solidFill>
                          <w14:schemeClr w14:val="tx1"/>
                        </w14:solidFill>
                      </w14:textFill>
                    </w:rPr>
                    <w:t>。</w:t>
                  </w:r>
                </w:p>
                <w:p w14:paraId="130EF9E7">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禁燃区要求：禁燃区禁止新建、扩建燃用高污染燃料的项目和设施，已建成的应逐步或依法限期改用天然气、电或者其他清洁能源。</w:t>
                  </w:r>
                </w:p>
              </w:tc>
              <w:tc>
                <w:tcPr>
                  <w:tcW w:w="1851" w:type="pct"/>
                  <w:vAlign w:val="center"/>
                </w:tcPr>
                <w:p w14:paraId="3740433D">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本项目实施后，企业严格执行开发区水资源利用总量要求、能源利用总量及效率要求、土地资源利用总量要求、禁燃区要求。</w:t>
                  </w:r>
                </w:p>
              </w:tc>
              <w:tc>
                <w:tcPr>
                  <w:tcW w:w="433" w:type="pct"/>
                  <w:vAlign w:val="center"/>
                </w:tcPr>
                <w:p w14:paraId="3B658C5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bl>
          <w:p w14:paraId="6FC9EC6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0" w:firstLineChars="0"/>
              <w:jc w:val="center"/>
              <w:textAlignment w:val="auto"/>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表1-</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3</w:t>
            </w:r>
            <w:r>
              <w:rPr>
                <w:rFonts w:hint="eastAsia" w:cs="Times New Roman"/>
                <w:b/>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与</w:t>
            </w:r>
            <w:r>
              <w:rPr>
                <w:rFonts w:hint="eastAsia" w:ascii="Times New Roman" w:hAnsi="Times New Roman" w:eastAsia="宋体" w:cs="Times New Roman"/>
                <w:b/>
                <w:bCs/>
                <w:color w:val="000000" w:themeColor="text1"/>
                <w:sz w:val="24"/>
                <w:szCs w:val="24"/>
                <w:highlight w:val="none"/>
                <w:lang w:val="zh-CN"/>
                <w14:textFill>
                  <w14:solidFill>
                    <w14:schemeClr w14:val="tx1"/>
                  </w14:solidFill>
                </w14:textFill>
              </w:rPr>
              <w:t>《南京市</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江宁区</w:t>
            </w:r>
            <w:r>
              <w:rPr>
                <w:rFonts w:hint="eastAsia" w:ascii="Times New Roman" w:hAnsi="Times New Roman" w:eastAsia="宋体" w:cs="Times New Roman"/>
                <w:b/>
                <w:bCs/>
                <w:color w:val="000000" w:themeColor="text1"/>
                <w:sz w:val="24"/>
                <w:szCs w:val="24"/>
                <w:highlight w:val="none"/>
                <w:lang w:val="zh-CN"/>
                <w14:textFill>
                  <w14:solidFill>
                    <w14:schemeClr w14:val="tx1"/>
                  </w14:solidFill>
                </w14:textFill>
              </w:rPr>
              <w:t>国土空间总体规划（2021-2035年）》</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相符性</w:t>
            </w:r>
          </w:p>
          <w:tbl>
            <w:tblPr>
              <w:tblStyle w:val="3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85"/>
              <w:gridCol w:w="656"/>
              <w:gridCol w:w="4341"/>
              <w:gridCol w:w="1608"/>
              <w:gridCol w:w="402"/>
            </w:tblGrid>
            <w:tr w14:paraId="7E44E7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61" w:type="pct"/>
                  <w:gridSpan w:val="2"/>
                  <w:noWrap w:val="0"/>
                  <w:vAlign w:val="center"/>
                </w:tcPr>
                <w:p w14:paraId="6E3DC89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t>类别</w:t>
                  </w:r>
                </w:p>
              </w:tc>
              <w:tc>
                <w:tcPr>
                  <w:tcW w:w="2897" w:type="pct"/>
                  <w:noWrap w:val="0"/>
                  <w:vAlign w:val="center"/>
                </w:tcPr>
                <w:p w14:paraId="1FD3B4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t>要求</w:t>
                  </w:r>
                </w:p>
              </w:tc>
              <w:tc>
                <w:tcPr>
                  <w:tcW w:w="1073" w:type="pct"/>
                  <w:noWrap w:val="0"/>
                  <w:vAlign w:val="center"/>
                </w:tcPr>
                <w:p w14:paraId="469A7E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t>相符性分析</w:t>
                  </w:r>
                </w:p>
              </w:tc>
              <w:tc>
                <w:tcPr>
                  <w:tcW w:w="267" w:type="pct"/>
                  <w:noWrap w:val="0"/>
                  <w:vAlign w:val="center"/>
                </w:tcPr>
                <w:p w14:paraId="6BFB1F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t>相符性</w:t>
                  </w:r>
                </w:p>
              </w:tc>
            </w:tr>
            <w:tr w14:paraId="778E62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61" w:type="pct"/>
                  <w:gridSpan w:val="2"/>
                  <w:noWrap w:val="0"/>
                  <w:vAlign w:val="center"/>
                </w:tcPr>
                <w:p w14:paraId="25268E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规划范围</w:t>
                  </w:r>
                </w:p>
              </w:tc>
              <w:tc>
                <w:tcPr>
                  <w:tcW w:w="2897" w:type="pct"/>
                  <w:noWrap w:val="0"/>
                  <w:vAlign w:val="center"/>
                </w:tcPr>
                <w:p w14:paraId="02BA96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firstLine="0" w:firstLineChars="0"/>
                    <w:jc w:val="left"/>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规划范围分为市域和中心城区两个层次。市域规划范围为南京市行政辖区。中心城区规划范围由江南主城和江北新主城构成，面积808平方千米。规划基期为2020年，规划期限为2021</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14:textFill>
                        <w14:solidFill>
                          <w14:schemeClr w14:val="tx1"/>
                        </w14:solidFill>
                      </w14:textFill>
                    </w:rPr>
                    <w:t>2035年，近期到2025年，远景展望到2050年。</w:t>
                  </w:r>
                </w:p>
              </w:tc>
              <w:tc>
                <w:tcPr>
                  <w:tcW w:w="1073" w:type="pct"/>
                  <w:vMerge w:val="restart"/>
                  <w:noWrap w:val="0"/>
                  <w:vAlign w:val="center"/>
                </w:tcPr>
                <w:p w14:paraId="04BBE9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本项目位于江苏省</w:t>
                  </w:r>
                  <w:r>
                    <w:rPr>
                      <w:rFonts w:hint="eastAsia" w:cs="Times New Roman"/>
                      <w:color w:val="000000" w:themeColor="text1"/>
                      <w:sz w:val="21"/>
                      <w:szCs w:val="21"/>
                      <w:highlight w:val="none"/>
                      <w:lang w:eastAsia="zh-CN"/>
                      <w14:textFill>
                        <w14:solidFill>
                          <w14:schemeClr w14:val="tx1"/>
                        </w14:solidFill>
                      </w14:textFill>
                    </w:rPr>
                    <w:t>南京市江宁区禄口街道蓝天路218号</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属于工业用地，</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对照《南京市江宁区国土空间总体规划（2021</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2035年）》，厂址位于城镇开发边界内，不涉及耕地和永久基本农田，不涉及生态保护红线，项目建设符合《南京市江宁区国土空间总体规划（2021</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2035年）》相关要求，本项目与南京市</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江宁区</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国土空间总体规划图相对位置详见附图</w:t>
                  </w:r>
                  <w:r>
                    <w:rPr>
                      <w:rFonts w:hint="eastAsia" w:cs="Times New Roman"/>
                      <w:color w:val="000000" w:themeColor="text1"/>
                      <w:sz w:val="21"/>
                      <w:szCs w:val="21"/>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267" w:type="pct"/>
                  <w:vMerge w:val="restart"/>
                  <w:noWrap w:val="0"/>
                  <w:vAlign w:val="center"/>
                </w:tcPr>
                <w:p w14:paraId="7A0B07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相符</w:t>
                  </w:r>
                </w:p>
              </w:tc>
            </w:tr>
            <w:tr w14:paraId="511C74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3" w:type="pct"/>
                  <w:vMerge w:val="restart"/>
                  <w:noWrap w:val="0"/>
                  <w:vAlign w:val="center"/>
                </w:tcPr>
                <w:p w14:paraId="7946BB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三条控制线划定与管控</w:t>
                  </w:r>
                </w:p>
              </w:tc>
              <w:tc>
                <w:tcPr>
                  <w:tcW w:w="437" w:type="pct"/>
                  <w:noWrap w:val="0"/>
                  <w:vAlign w:val="center"/>
                </w:tcPr>
                <w:p w14:paraId="208CFA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耕地和永久基本农田保护红线</w:t>
                  </w:r>
                </w:p>
              </w:tc>
              <w:tc>
                <w:tcPr>
                  <w:tcW w:w="2897" w:type="pct"/>
                  <w:noWrap w:val="0"/>
                  <w:vAlign w:val="center"/>
                </w:tcPr>
                <w:p w14:paraId="14C291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firstLine="0" w:firstLineChars="0"/>
                    <w:jc w:val="left"/>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严守永久基本农田保护红线，严格规范农业生产活动。严格落实永久基本农田的管控要求，永久基本农田重点用于发展粮食生产，不得转为林地、草地、园地等其他农用地及农业设施建设用地。完善永久基本农田保护措施，提高监管水平，构建保护有力、集约高效、监管严格的永久基本农田特殊保护新格局。严控建设占用永久基本农田，确保永久基本农田数量不减少。强化永久基本农田对各类建设布局的约束，已经划定的永久基本农田不得随意占用和调整。重大建设项目选址确定难以避让永久基本农田的，必须按相关法律法规和政策文件要求办理。</w:t>
                  </w:r>
                </w:p>
              </w:tc>
              <w:tc>
                <w:tcPr>
                  <w:tcW w:w="1073" w:type="pct"/>
                  <w:vMerge w:val="continue"/>
                  <w:noWrap w:val="0"/>
                  <w:vAlign w:val="center"/>
                </w:tcPr>
                <w:p w14:paraId="09B234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67" w:type="pct"/>
                  <w:vMerge w:val="continue"/>
                  <w:noWrap w:val="0"/>
                  <w:vAlign w:val="center"/>
                </w:tcPr>
                <w:p w14:paraId="62E57F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734B5B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3" w:type="pct"/>
                  <w:vMerge w:val="continue"/>
                  <w:noWrap w:val="0"/>
                  <w:vAlign w:val="center"/>
                </w:tcPr>
                <w:p w14:paraId="69102B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37" w:type="pct"/>
                  <w:noWrap w:val="0"/>
                  <w:vAlign w:val="center"/>
                </w:tcPr>
                <w:p w14:paraId="4749A3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生态保护红线</w:t>
                  </w:r>
                </w:p>
              </w:tc>
              <w:tc>
                <w:tcPr>
                  <w:tcW w:w="2897" w:type="pct"/>
                  <w:noWrap w:val="0"/>
                  <w:vAlign w:val="center"/>
                </w:tcPr>
                <w:p w14:paraId="1739E2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firstLine="0" w:firstLineChars="0"/>
                    <w:jc w:val="left"/>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自然保护地核心保护区除国家相关法律法规规定明确的情形外，原则上禁止人为活动；自然保护地核心保护区外，严格禁止开发性、生产性建设活动，在符合法律法规前提下仅允许对生态功能不造成破坏的有限人为活动（不视为占用生态保护红线）。</w:t>
                  </w:r>
                </w:p>
              </w:tc>
              <w:tc>
                <w:tcPr>
                  <w:tcW w:w="1073" w:type="pct"/>
                  <w:vMerge w:val="continue"/>
                  <w:noWrap w:val="0"/>
                  <w:vAlign w:val="center"/>
                </w:tcPr>
                <w:p w14:paraId="4E0AD4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67" w:type="pct"/>
                  <w:vMerge w:val="continue"/>
                  <w:noWrap w:val="0"/>
                  <w:vAlign w:val="center"/>
                </w:tcPr>
                <w:p w14:paraId="371A38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244A8F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3" w:type="pct"/>
                  <w:vMerge w:val="continue"/>
                  <w:noWrap w:val="0"/>
                  <w:vAlign w:val="center"/>
                </w:tcPr>
                <w:p w14:paraId="6B51DA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37" w:type="pct"/>
                  <w:noWrap w:val="0"/>
                  <w:vAlign w:val="center"/>
                </w:tcPr>
                <w:p w14:paraId="2EEE03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城镇开发边界</w:t>
                  </w:r>
                </w:p>
              </w:tc>
              <w:tc>
                <w:tcPr>
                  <w:tcW w:w="2897" w:type="pct"/>
                  <w:noWrap w:val="0"/>
                  <w:vAlign w:val="center"/>
                </w:tcPr>
                <w:p w14:paraId="788D75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firstLine="0" w:firstLineChars="0"/>
                    <w:jc w:val="left"/>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城镇开发边界外不得进行城镇集中建设，不得规划建设各类开发区和产业园区，不得规划城镇居住用地。在落实最严格的耕地保护、节约用地和生态环境保护制度的前提下，结合</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城乡</w:t>
                  </w:r>
                  <w:r>
                    <w:rPr>
                      <w:rFonts w:hint="eastAsia" w:ascii="Times New Roman" w:hAnsi="Times New Roman" w:eastAsia="宋体" w:cs="Times New Roman"/>
                      <w:color w:val="000000" w:themeColor="text1"/>
                      <w:sz w:val="21"/>
                      <w:szCs w:val="21"/>
                      <w:highlight w:val="none"/>
                      <w14:textFill>
                        <w14:solidFill>
                          <w14:schemeClr w14:val="tx1"/>
                        </w14:solidFill>
                      </w14:textFill>
                    </w:rPr>
                    <w:t>融合区域一体化发展和旅游开发等合理需要，在城镇开发边界外可规划布局有特定选址要求的零星城镇建设用地，并依据国土空间规划，按照</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14:textFill>
                        <w14:solidFill>
                          <w14:schemeClr w14:val="tx1"/>
                        </w14:solidFill>
                      </w14:textFill>
                    </w:rPr>
                    <w:t>三区三线”管控和城镇建设用地用途管制要求，纳入国土空间规划“一张图”严格实施监督涉及的新增城镇建设用地纳入城镇开发边界扩展倍数统筹核算，等量缩减城镇开发边界内的新增城镇建设用地，确保城镇建设用地总规模和城镇开发边界扩展倍数不突破。</w:t>
                  </w:r>
                </w:p>
              </w:tc>
              <w:tc>
                <w:tcPr>
                  <w:tcW w:w="1073" w:type="pct"/>
                  <w:vMerge w:val="continue"/>
                  <w:noWrap w:val="0"/>
                  <w:vAlign w:val="center"/>
                </w:tcPr>
                <w:p w14:paraId="488D9D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67" w:type="pct"/>
                  <w:vMerge w:val="continue"/>
                  <w:noWrap w:val="0"/>
                  <w:vAlign w:val="center"/>
                </w:tcPr>
                <w:p w14:paraId="7BA36C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bl>
          <w:p w14:paraId="0C0DA12C">
            <w:pPr>
              <w:adjustRightInd w:val="0"/>
              <w:snapToGrid w:val="0"/>
              <w:spacing w:line="440" w:lineRule="exact"/>
              <w:ind w:firstLine="482" w:firstLineChars="200"/>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3、与规划环评及其审查意见的相符性分析</w:t>
            </w:r>
          </w:p>
          <w:p w14:paraId="08C57B9E">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lang w:val="zh-CN"/>
                <w14:textFill>
                  <w14:solidFill>
                    <w14:schemeClr w14:val="tx1"/>
                  </w14:solidFill>
                </w14:textFill>
              </w:rPr>
              <w:t>对照</w:t>
            </w:r>
            <w:r>
              <w:rPr>
                <w:color w:val="000000" w:themeColor="text1"/>
                <w:sz w:val="24"/>
                <w:highlight w:val="none"/>
                <w14:textFill>
                  <w14:solidFill>
                    <w14:schemeClr w14:val="tx1"/>
                  </w14:solidFill>
                </w14:textFill>
              </w:rPr>
              <w:t>《江宁经济技术开发区总体发展规划（2020-2035）环境影响报告书》的审查意见（环审〔2022〕46号），本项目与江宁经济技术开发区总体发展规划环评及其审查意见相关内容相符性分析，</w:t>
            </w:r>
            <w:r>
              <w:rPr>
                <w:rFonts w:hint="eastAsia"/>
                <w:color w:val="000000" w:themeColor="text1"/>
                <w:sz w:val="24"/>
                <w:highlight w:val="none"/>
                <w:lang w:eastAsia="zh-CN"/>
                <w14:textFill>
                  <w14:solidFill>
                    <w14:schemeClr w14:val="tx1"/>
                  </w14:solidFill>
                </w14:textFill>
              </w:rPr>
              <w:t>见下表</w:t>
            </w:r>
            <w:r>
              <w:rPr>
                <w:color w:val="000000" w:themeColor="text1"/>
                <w:sz w:val="24"/>
                <w:highlight w:val="none"/>
                <w14:textFill>
                  <w14:solidFill>
                    <w14:schemeClr w14:val="tx1"/>
                  </w14:solidFill>
                </w14:textFill>
              </w:rPr>
              <w:t>：</w:t>
            </w:r>
          </w:p>
          <w:bookmarkEnd w:id="1"/>
          <w:p w14:paraId="6FADF68E">
            <w:pPr>
              <w:pStyle w:val="126"/>
              <w:numPr>
                <w:ilvl w:val="0"/>
                <w:numId w:val="0"/>
              </w:numPr>
              <w:spacing w:line="440" w:lineRule="exac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表1-</w:t>
            </w:r>
            <w:r>
              <w:rPr>
                <w:rFonts w:hint="eastAsia"/>
                <w:color w:val="000000" w:themeColor="text1"/>
                <w:sz w:val="24"/>
                <w:highlight w:val="none"/>
                <w:lang w:val="en-US" w:eastAsia="zh-CN"/>
                <w14:textFill>
                  <w14:solidFill>
                    <w14:schemeClr w14:val="tx1"/>
                  </w14:solidFill>
                </w14:textFill>
              </w:rPr>
              <w:t xml:space="preserve">4  </w:t>
            </w:r>
            <w:r>
              <w:rPr>
                <w:color w:val="000000" w:themeColor="text1"/>
                <w:sz w:val="24"/>
                <w:highlight w:val="none"/>
                <w14:textFill>
                  <w14:solidFill>
                    <w14:schemeClr w14:val="tx1"/>
                  </w14:solidFill>
                </w14:textFill>
              </w:rPr>
              <w:t>本项目建设与开发区规划环评审查意见相关内容相符性</w:t>
            </w:r>
          </w:p>
          <w:tbl>
            <w:tblPr>
              <w:tblStyle w:val="38"/>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Layout w:type="fixed"/>
              <w:tblCellMar>
                <w:top w:w="0" w:type="dxa"/>
                <w:left w:w="108" w:type="dxa"/>
                <w:bottom w:w="0" w:type="dxa"/>
                <w:right w:w="108" w:type="dxa"/>
              </w:tblCellMar>
            </w:tblPr>
            <w:tblGrid>
              <w:gridCol w:w="444"/>
              <w:gridCol w:w="3566"/>
              <w:gridCol w:w="2721"/>
              <w:gridCol w:w="761"/>
            </w:tblGrid>
            <w:tr w14:paraId="475155F6">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c>
                <w:tcPr>
                  <w:tcW w:w="296" w:type="pct"/>
                  <w:vAlign w:val="center"/>
                </w:tcPr>
                <w:p w14:paraId="3390840B">
                  <w:pPr>
                    <w:snapToGrid w:val="0"/>
                    <w:spacing w:line="240" w:lineRule="exact"/>
                    <w:jc w:val="center"/>
                    <w:rPr>
                      <w:b/>
                      <w:bCs/>
                      <w:color w:val="000000" w:themeColor="text1"/>
                      <w:szCs w:val="21"/>
                      <w:highlight w:val="none"/>
                      <w14:textFill>
                        <w14:solidFill>
                          <w14:schemeClr w14:val="tx1"/>
                        </w14:solidFill>
                      </w14:textFill>
                    </w:rPr>
                  </w:pPr>
                  <w:bookmarkStart w:id="3" w:name="_Hlk66973223"/>
                  <w:r>
                    <w:rPr>
                      <w:b/>
                      <w:bCs/>
                      <w:color w:val="000000" w:themeColor="text1"/>
                      <w:szCs w:val="21"/>
                      <w:highlight w:val="none"/>
                      <w14:textFill>
                        <w14:solidFill>
                          <w14:schemeClr w14:val="tx1"/>
                        </w14:solidFill>
                      </w14:textFill>
                    </w:rPr>
                    <w:t>序号</w:t>
                  </w:r>
                </w:p>
              </w:tc>
              <w:tc>
                <w:tcPr>
                  <w:tcW w:w="2379" w:type="pct"/>
                  <w:vAlign w:val="center"/>
                </w:tcPr>
                <w:p w14:paraId="67D18122">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要求</w:t>
                  </w:r>
                </w:p>
              </w:tc>
              <w:tc>
                <w:tcPr>
                  <w:tcW w:w="1815" w:type="pct"/>
                  <w:vAlign w:val="center"/>
                </w:tcPr>
                <w:p w14:paraId="34C822D8">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符合性分析</w:t>
                  </w:r>
                </w:p>
              </w:tc>
              <w:tc>
                <w:tcPr>
                  <w:tcW w:w="507" w:type="pct"/>
                  <w:vAlign w:val="center"/>
                </w:tcPr>
                <w:p w14:paraId="51F6B70C">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相符性</w:t>
                  </w:r>
                </w:p>
              </w:tc>
            </w:tr>
            <w:tr w14:paraId="54E1B869">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c>
                <w:tcPr>
                  <w:tcW w:w="296" w:type="pct"/>
                  <w:vAlign w:val="center"/>
                </w:tcPr>
                <w:p w14:paraId="2242CFC5">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379" w:type="pct"/>
                  <w:vAlign w:val="center"/>
                </w:tcPr>
                <w:p w14:paraId="6F88EFC0">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坚持绿色发展和协调发展理念，加强《规划》引导。落实国家、区域发展战略，坚持生态优先、集约高效，以生态环境质量改善为核心，做好与各级国土空间规划和</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三线</w:t>
                  </w:r>
                  <w:r>
                    <w:rPr>
                      <w:rFonts w:hint="eastAsia"/>
                      <w:color w:val="000000" w:themeColor="text1"/>
                      <w:szCs w:val="21"/>
                      <w:highlight w:val="none"/>
                      <w14:textFill>
                        <w14:solidFill>
                          <w14:schemeClr w14:val="tx1"/>
                        </w14:solidFill>
                      </w14:textFill>
                    </w:rPr>
                    <w:t>一</w:t>
                  </w:r>
                  <w:r>
                    <w:rPr>
                      <w:color w:val="000000" w:themeColor="text1"/>
                      <w:szCs w:val="21"/>
                      <w:highlight w:val="none"/>
                      <w14:textFill>
                        <w14:solidFill>
                          <w14:schemeClr w14:val="tx1"/>
                        </w14:solidFill>
                      </w14:textFill>
                    </w:rPr>
                    <w:t>单</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（生态保护红线、环境质量底线、资源利用上线、生态环境准入清单）生态环境分区管控体系的协调衔接，进</w:t>
                  </w:r>
                  <w:r>
                    <w:rPr>
                      <w:rFonts w:hint="eastAsia"/>
                      <w:color w:val="000000" w:themeColor="text1"/>
                      <w:szCs w:val="21"/>
                      <w:highlight w:val="none"/>
                      <w14:textFill>
                        <w14:solidFill>
                          <w14:schemeClr w14:val="tx1"/>
                        </w14:solidFill>
                      </w14:textFill>
                    </w:rPr>
                    <w:t>一</w:t>
                  </w:r>
                  <w:r>
                    <w:rPr>
                      <w:color w:val="000000" w:themeColor="text1"/>
                      <w:szCs w:val="21"/>
                      <w:highlight w:val="none"/>
                      <w14:textFill>
                        <w14:solidFill>
                          <w14:schemeClr w14:val="tx1"/>
                        </w14:solidFill>
                      </w14:textFill>
                    </w:rPr>
                    <w:t>步优化《规划》布局、产业定位和发展规模。</w:t>
                  </w:r>
                </w:p>
              </w:tc>
              <w:tc>
                <w:tcPr>
                  <w:tcW w:w="1815" w:type="pct"/>
                  <w:vAlign w:val="center"/>
                </w:tcPr>
                <w:p w14:paraId="46801107">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本项目位于</w:t>
                  </w:r>
                  <w:r>
                    <w:rPr>
                      <w:rFonts w:hint="eastAsia"/>
                      <w:color w:val="000000" w:themeColor="text1"/>
                      <w:szCs w:val="21"/>
                      <w:highlight w:val="none"/>
                      <w:lang w:eastAsia="zh-CN"/>
                      <w14:textFill>
                        <w14:solidFill>
                          <w14:schemeClr w14:val="tx1"/>
                        </w14:solidFill>
                      </w14:textFill>
                    </w:rPr>
                    <w:t>南京市江宁区禄口街道蓝天路218号</w:t>
                  </w:r>
                  <w:r>
                    <w:rPr>
                      <w:color w:val="000000" w:themeColor="text1"/>
                      <w:szCs w:val="21"/>
                      <w:highlight w:val="none"/>
                      <w14:textFill>
                        <w14:solidFill>
                          <w14:schemeClr w14:val="tx1"/>
                        </w14:solidFill>
                      </w14:textFill>
                    </w:rPr>
                    <w:t>，符合各级国土空间规划和</w:t>
                  </w:r>
                  <w:r>
                    <w:rPr>
                      <w:rFonts w:hint="eastAsia"/>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三区三线</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要求。</w:t>
                  </w:r>
                </w:p>
              </w:tc>
              <w:tc>
                <w:tcPr>
                  <w:tcW w:w="507" w:type="pct"/>
                  <w:vAlign w:val="center"/>
                </w:tcPr>
                <w:p w14:paraId="7A97998A">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7DCFFE5A">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c>
                <w:tcPr>
                  <w:tcW w:w="296" w:type="pct"/>
                  <w:vAlign w:val="center"/>
                </w:tcPr>
                <w:p w14:paraId="392230BD">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2379" w:type="pct"/>
                  <w:vAlign w:val="center"/>
                </w:tcPr>
                <w:p w14:paraId="0BDF821B">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根据国家及地方碳达峰行动方案和节能减排工作要求，推进经开区绿色低碳转型发展。优化产业结构、能源结构、交通运输结构等规划内容，促进实现减污降碳协同增效目标。</w:t>
                  </w:r>
                </w:p>
              </w:tc>
              <w:tc>
                <w:tcPr>
                  <w:tcW w:w="1815" w:type="pct"/>
                  <w:vAlign w:val="center"/>
                </w:tcPr>
                <w:p w14:paraId="3220542E">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本项目主要使用电能，属于清洁能源，符合节能减排的要求。</w:t>
                  </w:r>
                </w:p>
              </w:tc>
              <w:tc>
                <w:tcPr>
                  <w:tcW w:w="507" w:type="pct"/>
                  <w:vAlign w:val="center"/>
                </w:tcPr>
                <w:p w14:paraId="23D01A1D">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64162FFA">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c>
                <w:tcPr>
                  <w:tcW w:w="296" w:type="pct"/>
                  <w:vAlign w:val="center"/>
                </w:tcPr>
                <w:p w14:paraId="5B17E253">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w:t>
                  </w:r>
                </w:p>
              </w:tc>
              <w:tc>
                <w:tcPr>
                  <w:tcW w:w="2379" w:type="pct"/>
                  <w:vAlign w:val="center"/>
                </w:tcPr>
                <w:p w14:paraId="61CDE252">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着力推动经开区产业结构调整和转型升级。从区域环境质量改善和环境风险防范角度，统筹优化各片区产业定位和发展规模；优化东山片区产业布局及用地布局，限制上海大众、卫岗乳业发展规模，推进产业升级和环保措施提标改造。加快推进实施</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优二进三</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试点片区企业，以及百家湖、九龙湖片区用地效率低企业搬迁或转型升级工作，加快落实南京美星鹏科技实业有限公司、南京海欣丽宁长毛绒有限公司等企业的相关管控要求，促进经开区产业转型升级与生态环境保护、人居环境安全相协调。</w:t>
                  </w:r>
                </w:p>
              </w:tc>
              <w:tc>
                <w:tcPr>
                  <w:tcW w:w="1815" w:type="pct"/>
                  <w:vAlign w:val="center"/>
                </w:tcPr>
                <w:p w14:paraId="3274EFAF">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本项目位于</w:t>
                  </w:r>
                  <w:r>
                    <w:rPr>
                      <w:rFonts w:hint="eastAsia"/>
                      <w:color w:val="000000" w:themeColor="text1"/>
                      <w:szCs w:val="21"/>
                      <w:highlight w:val="none"/>
                      <w:lang w:eastAsia="zh-CN"/>
                      <w14:textFill>
                        <w14:solidFill>
                          <w14:schemeClr w14:val="tx1"/>
                        </w14:solidFill>
                      </w14:textFill>
                    </w:rPr>
                    <w:t>南京市江宁区禄口街道蓝天路218号</w:t>
                  </w:r>
                  <w:r>
                    <w:rPr>
                      <w:color w:val="000000" w:themeColor="text1"/>
                      <w:szCs w:val="21"/>
                      <w:highlight w:val="none"/>
                      <w14:textFill>
                        <w14:solidFill>
                          <w14:schemeClr w14:val="tx1"/>
                        </w14:solidFill>
                      </w14:textFill>
                    </w:rPr>
                    <w:t>，为</w:t>
                  </w:r>
                  <w:r>
                    <w:rPr>
                      <w:rFonts w:hint="eastAsia"/>
                      <w:color w:val="000000" w:themeColor="text1"/>
                      <w:szCs w:val="21"/>
                      <w:highlight w:val="none"/>
                      <w:lang w:eastAsia="zh-CN"/>
                      <w14:textFill>
                        <w14:solidFill>
                          <w14:schemeClr w14:val="tx1"/>
                        </w14:solidFill>
                      </w14:textFill>
                    </w:rPr>
                    <w:t>C2913橡胶零件制造、C2929塑料零件及其他塑料制品制造、C3670汽车零部件及配件制造，不属于禄口空港片区的限制、禁止发展产业清单中的限制和禁止产业，属于允许类，本项目与产业定位相符</w:t>
                  </w:r>
                  <w:r>
                    <w:rPr>
                      <w:rFonts w:hint="eastAsia"/>
                      <w:color w:val="000000" w:themeColor="text1"/>
                      <w:szCs w:val="21"/>
                      <w:highlight w:val="none"/>
                      <w14:textFill>
                        <w14:solidFill>
                          <w14:schemeClr w14:val="tx1"/>
                        </w14:solidFill>
                      </w14:textFill>
                    </w:rPr>
                    <w:t>。</w:t>
                  </w:r>
                </w:p>
              </w:tc>
              <w:tc>
                <w:tcPr>
                  <w:tcW w:w="507" w:type="pct"/>
                  <w:vAlign w:val="center"/>
                </w:tcPr>
                <w:p w14:paraId="4A67B8EF">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51533728">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c>
                <w:tcPr>
                  <w:tcW w:w="296" w:type="pct"/>
                  <w:vAlign w:val="center"/>
                </w:tcPr>
                <w:p w14:paraId="62ED8255">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w:t>
                  </w:r>
                </w:p>
              </w:tc>
              <w:tc>
                <w:tcPr>
                  <w:tcW w:w="2379" w:type="pct"/>
                  <w:vAlign w:val="center"/>
                </w:tcPr>
                <w:p w14:paraId="2BCEF529">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严格空间管控，优化空间布局。做好《规划》控制和生态隔离带建设，加强对经开区内森林公园、地质公园等生态敏感区的保护，严禁不符合管控要求的各类开发建设活动。取消南京大塘金省级森林公园、</w:t>
                  </w:r>
                  <w:r>
                    <w:rPr>
                      <w:rFonts w:hint="eastAsia"/>
                      <w:color w:val="000000" w:themeColor="text1"/>
                      <w:szCs w:val="21"/>
                      <w:highlight w:val="none"/>
                      <w:lang w:eastAsia="zh-CN"/>
                      <w14:textFill>
                        <w14:solidFill>
                          <w14:schemeClr w14:val="tx1"/>
                        </w14:solidFill>
                      </w14:textFill>
                    </w:rPr>
                    <w:t>江苏南京上秦淮省级湿地公园</w:t>
                  </w:r>
                  <w:r>
                    <w:rPr>
                      <w:color w:val="000000" w:themeColor="text1"/>
                      <w:szCs w:val="21"/>
                      <w:highlight w:val="none"/>
                      <w14:textFill>
                        <w14:solidFill>
                          <w14:schemeClr w14:val="tx1"/>
                        </w14:solidFill>
                      </w14:textFill>
                    </w:rPr>
                    <w:t>、江宁方山省级森林公园和汤山</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方山国家地质公园等生态保护红线和生态空间管控区域内不符合管控要求的规划建设安排。</w:t>
                  </w:r>
                </w:p>
              </w:tc>
              <w:tc>
                <w:tcPr>
                  <w:tcW w:w="1815" w:type="pct"/>
                  <w:vAlign w:val="center"/>
                </w:tcPr>
                <w:p w14:paraId="5378A4C6">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本项目不属于污染严重的项目；距离本项目厂址最近的国家级生态保护红线为</w:t>
                  </w:r>
                  <w:r>
                    <w:rPr>
                      <w:rFonts w:hint="eastAsia"/>
                      <w:color w:val="000000" w:themeColor="text1"/>
                      <w:szCs w:val="21"/>
                      <w:highlight w:val="none"/>
                      <w:lang w:eastAsia="zh-CN"/>
                      <w14:textFill>
                        <w14:solidFill>
                          <w14:schemeClr w14:val="tx1"/>
                        </w14:solidFill>
                      </w14:textFill>
                    </w:rPr>
                    <w:t>秦淮河（江宁区）洪水调蓄区</w:t>
                  </w:r>
                  <w:r>
                    <w:rPr>
                      <w:color w:val="000000" w:themeColor="text1"/>
                      <w:szCs w:val="21"/>
                      <w:highlight w:val="none"/>
                      <w14:textFill>
                        <w14:solidFill>
                          <w14:schemeClr w14:val="tx1"/>
                        </w14:solidFill>
                      </w14:textFill>
                    </w:rPr>
                    <w:t>，</w:t>
                  </w:r>
                  <w:r>
                    <w:rPr>
                      <w:rFonts w:hint="eastAsia"/>
                      <w:color w:val="000000" w:themeColor="text1"/>
                      <w:szCs w:val="21"/>
                      <w:highlight w:val="none"/>
                      <w:lang w:eastAsia="zh-CN"/>
                      <w14:textFill>
                        <w14:solidFill>
                          <w14:schemeClr w14:val="tx1"/>
                        </w14:solidFill>
                      </w14:textFill>
                    </w:rPr>
                    <w:t>位于本项目东侧约4.55km</w:t>
                  </w:r>
                  <w:r>
                    <w:rPr>
                      <w:color w:val="000000" w:themeColor="text1"/>
                      <w:szCs w:val="21"/>
                      <w:highlight w:val="none"/>
                      <w14:textFill>
                        <w14:solidFill>
                          <w14:schemeClr w14:val="tx1"/>
                        </w14:solidFill>
                      </w14:textFill>
                    </w:rPr>
                    <w:t>；距离本项目厂址最近的</w:t>
                  </w:r>
                  <w:r>
                    <w:rPr>
                      <w:rFonts w:hint="eastAsia"/>
                      <w:color w:val="000000" w:themeColor="text1"/>
                      <w:szCs w:val="21"/>
                      <w:highlight w:val="none"/>
                      <w14:textFill>
                        <w14:solidFill>
                          <w14:schemeClr w14:val="tx1"/>
                        </w14:solidFill>
                      </w14:textFill>
                    </w:rPr>
                    <w:t>生态空间管控区为</w:t>
                  </w:r>
                  <w:r>
                    <w:rPr>
                      <w:rFonts w:hint="eastAsia"/>
                      <w:color w:val="000000" w:themeColor="text1"/>
                      <w:szCs w:val="21"/>
                      <w:highlight w:val="none"/>
                      <w:lang w:eastAsia="zh-CN"/>
                      <w14:textFill>
                        <w14:solidFill>
                          <w14:schemeClr w14:val="tx1"/>
                        </w14:solidFill>
                      </w14:textFill>
                    </w:rPr>
                    <w:t>江苏南京上秦淮省级湿地公园</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位于</w:t>
                  </w:r>
                  <w:r>
                    <w:rPr>
                      <w:rFonts w:hint="eastAsia"/>
                      <w:color w:val="000000" w:themeColor="text1"/>
                      <w:szCs w:val="21"/>
                      <w:highlight w:val="none"/>
                      <w:lang w:eastAsia="zh-CN"/>
                      <w14:textFill>
                        <w14:solidFill>
                          <w14:schemeClr w14:val="tx1"/>
                        </w14:solidFill>
                      </w14:textFill>
                    </w:rPr>
                    <w:t>本项目北侧约6.71km</w:t>
                  </w:r>
                  <w:r>
                    <w:rPr>
                      <w:color w:val="000000" w:themeColor="text1"/>
                      <w:szCs w:val="21"/>
                      <w:highlight w:val="none"/>
                      <w14:textFill>
                        <w14:solidFill>
                          <w14:schemeClr w14:val="tx1"/>
                        </w14:solidFill>
                      </w14:textFill>
                    </w:rPr>
                    <w:t>。因此，项目的实施对生态敏感区影响较小。</w:t>
                  </w:r>
                </w:p>
              </w:tc>
              <w:tc>
                <w:tcPr>
                  <w:tcW w:w="507" w:type="pct"/>
                  <w:vAlign w:val="center"/>
                </w:tcPr>
                <w:p w14:paraId="106CC4B8">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19F186DE">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c>
                <w:tcPr>
                  <w:tcW w:w="296" w:type="pct"/>
                  <w:vAlign w:val="center"/>
                </w:tcPr>
                <w:p w14:paraId="4CE38B04">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w:t>
                  </w:r>
                </w:p>
              </w:tc>
              <w:tc>
                <w:tcPr>
                  <w:tcW w:w="2379" w:type="pct"/>
                  <w:vAlign w:val="center"/>
                </w:tcPr>
                <w:p w14:paraId="27302823">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严守环境质量底线，强化污染物排放总量管控。根据国家和江苏省关于大气、水、土壤污染防治和江苏省、南京市</w:t>
                  </w:r>
                  <w:r>
                    <w:rPr>
                      <w:rFonts w:hint="eastAsia"/>
                      <w:color w:val="000000" w:themeColor="text1"/>
                      <w:szCs w:val="21"/>
                      <w:highlight w:val="none"/>
                      <w14:textFill>
                        <w14:solidFill>
                          <w14:schemeClr w14:val="tx1"/>
                        </w14:solidFill>
                      </w14:textFill>
                    </w:rPr>
                    <w:t>“三线一单”</w:t>
                  </w:r>
                  <w:r>
                    <w:rPr>
                      <w:color w:val="000000" w:themeColor="text1"/>
                      <w:szCs w:val="21"/>
                      <w:highlight w:val="none"/>
                      <w14:textFill>
                        <w14:solidFill>
                          <w14:schemeClr w14:val="tx1"/>
                        </w14:solidFill>
                      </w14:textFill>
                    </w:rPr>
                    <w:t>生态环境分区管控相关要求，制定经开区污染减排和环境综合治理方案，采取有效措施减少主要污染物和特征污染物的排放量，推进挥发性有机物和氮氧化物协同减排，确保区域生态环境质量持续改善。</w:t>
                  </w:r>
                </w:p>
              </w:tc>
              <w:tc>
                <w:tcPr>
                  <w:tcW w:w="1815" w:type="pct"/>
                  <w:vAlign w:val="center"/>
                </w:tcPr>
                <w:p w14:paraId="0A92728A">
                  <w:pPr>
                    <w:snapToGrid w:val="0"/>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本项目生活污水经化粪池预处理后接管至禄口污水处理厂</w:t>
                  </w:r>
                  <w:r>
                    <w:rPr>
                      <w:rFonts w:hint="eastAsia"/>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本项目硫化废气、成型废气经集气罩收集后通过二级活性炭装置后经过15米高排气筒排放；投料废气、混合废气、危废仓库废气无组织排放</w:t>
                  </w:r>
                  <w:r>
                    <w:rPr>
                      <w:rFonts w:hint="eastAsia"/>
                      <w:color w:val="000000" w:themeColor="text1"/>
                      <w:szCs w:val="21"/>
                      <w:highlight w:val="none"/>
                      <w14:textFill>
                        <w14:solidFill>
                          <w14:schemeClr w14:val="tx1"/>
                        </w14:solidFill>
                      </w14:textFill>
                    </w:rPr>
                    <w:t>；固体废物妥善处理处置。</w:t>
                  </w:r>
                  <w:r>
                    <w:rPr>
                      <w:color w:val="000000" w:themeColor="text1"/>
                      <w:szCs w:val="21"/>
                      <w:highlight w:val="none"/>
                      <w14:textFill>
                        <w14:solidFill>
                          <w14:schemeClr w14:val="tx1"/>
                        </w14:solidFill>
                      </w14:textFill>
                    </w:rPr>
                    <w:t>废水污染物由江宁区水减排项目平衡，</w:t>
                  </w:r>
                  <w:r>
                    <w:rPr>
                      <w:rFonts w:hint="eastAsia"/>
                      <w:color w:val="000000" w:themeColor="text1"/>
                      <w:szCs w:val="21"/>
                      <w:highlight w:val="none"/>
                      <w:lang w:val="zh-CN"/>
                      <w14:textFill>
                        <w14:solidFill>
                          <w14:schemeClr w14:val="tx1"/>
                        </w14:solidFill>
                      </w14:textFill>
                    </w:rPr>
                    <w:t>废气污染物由江宁区大气减排项目平衡</w:t>
                  </w:r>
                  <w:r>
                    <w:rPr>
                      <w:color w:val="000000" w:themeColor="text1"/>
                      <w:szCs w:val="21"/>
                      <w:highlight w:val="none"/>
                      <w14:textFill>
                        <w14:solidFill>
                          <w14:schemeClr w14:val="tx1"/>
                        </w14:solidFill>
                      </w14:textFill>
                    </w:rPr>
                    <w:t>。</w:t>
                  </w:r>
                  <w:r>
                    <w:rPr>
                      <w:color w:val="000000" w:themeColor="text1"/>
                      <w:szCs w:val="21"/>
                      <w:highlight w:val="none"/>
                      <w:lang w:val="zh-CN"/>
                      <w14:textFill>
                        <w14:solidFill>
                          <w14:schemeClr w14:val="tx1"/>
                        </w14:solidFill>
                      </w14:textFill>
                    </w:rPr>
                    <w:t>本项目不会改变区域环境功能。</w:t>
                  </w:r>
                </w:p>
              </w:tc>
              <w:tc>
                <w:tcPr>
                  <w:tcW w:w="507" w:type="pct"/>
                  <w:vAlign w:val="center"/>
                </w:tcPr>
                <w:p w14:paraId="3F39889F">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404B93ED">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c>
                <w:tcPr>
                  <w:tcW w:w="296" w:type="pct"/>
                  <w:vAlign w:val="center"/>
                </w:tcPr>
                <w:p w14:paraId="1DC774FB">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w:t>
                  </w:r>
                </w:p>
              </w:tc>
              <w:tc>
                <w:tcPr>
                  <w:tcW w:w="2379" w:type="pct"/>
                  <w:vAlign w:val="center"/>
                </w:tcPr>
                <w:p w14:paraId="208C7A85">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严格入区项目生态环境准入，推动高质量发展。在衔接区域</w:t>
                  </w:r>
                  <w:r>
                    <w:rPr>
                      <w:rFonts w:hint="eastAsia"/>
                      <w:color w:val="000000" w:themeColor="text1"/>
                      <w:szCs w:val="21"/>
                      <w:highlight w:val="none"/>
                      <w14:textFill>
                        <w14:solidFill>
                          <w14:schemeClr w14:val="tx1"/>
                        </w14:solidFill>
                      </w14:textFill>
                    </w:rPr>
                    <w:t>“三线一单”</w:t>
                  </w:r>
                  <w:r>
                    <w:rPr>
                      <w:color w:val="000000" w:themeColor="text1"/>
                      <w:szCs w:val="21"/>
                      <w:highlight w:val="none"/>
                      <w14:textFill>
                        <w14:solidFill>
                          <w14:schemeClr w14:val="tx1"/>
                        </w14:solidFill>
                      </w14:textFill>
                    </w:rPr>
                    <w:t>生态环境分区管控要求的前提下，落实《报告书》提出的各片区生态环境准入要求，禁止与主导产业不相关且排污负荷大的项目入区。执行最严格的行业废水、废气排放控制要求，引进项目的生产工艺和设备、资源能源利用效率、污染治理等均需达到同行业国际先进水平，现有企业不断提高清洁生产和污染治理水平，持续降低污染物排放量。</w:t>
                  </w:r>
                </w:p>
              </w:tc>
              <w:tc>
                <w:tcPr>
                  <w:tcW w:w="1815" w:type="pct"/>
                  <w:vAlign w:val="center"/>
                </w:tcPr>
                <w:p w14:paraId="582F9B82">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本项目符合环境准入负面清单的要求，产品的资源能源消耗小、污染物排放少、产品附加值高</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项目的生产工艺</w:t>
                  </w:r>
                  <w:r>
                    <w:rPr>
                      <w:rFonts w:hint="eastAsia"/>
                      <w:color w:val="000000" w:themeColor="text1"/>
                      <w:szCs w:val="21"/>
                      <w:highlight w:val="none"/>
                      <w14:textFill>
                        <w14:solidFill>
                          <w14:schemeClr w14:val="tx1"/>
                        </w14:solidFill>
                      </w14:textFill>
                    </w:rPr>
                    <w:t>为行业常用</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采用国内外先进</w:t>
                  </w:r>
                  <w:r>
                    <w:rPr>
                      <w:color w:val="000000" w:themeColor="text1"/>
                      <w:szCs w:val="21"/>
                      <w:highlight w:val="none"/>
                      <w14:textFill>
                        <w14:solidFill>
                          <w14:schemeClr w14:val="tx1"/>
                        </w14:solidFill>
                      </w14:textFill>
                    </w:rPr>
                    <w:t>设备</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项目的生产工艺和设备、资源能源利用效率、污染治理等均达到同行业国际先进水平。</w:t>
                  </w:r>
                </w:p>
              </w:tc>
              <w:tc>
                <w:tcPr>
                  <w:tcW w:w="507" w:type="pct"/>
                  <w:vAlign w:val="center"/>
                </w:tcPr>
                <w:p w14:paraId="4E322B14">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3CAD6A5F">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c>
                <w:tcPr>
                  <w:tcW w:w="296" w:type="pct"/>
                  <w:vAlign w:val="center"/>
                </w:tcPr>
                <w:p w14:paraId="34D8091B">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w:t>
                  </w:r>
                </w:p>
              </w:tc>
              <w:tc>
                <w:tcPr>
                  <w:tcW w:w="2379" w:type="pct"/>
                  <w:vAlign w:val="center"/>
                </w:tcPr>
                <w:p w14:paraId="58A1F9D5">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加强环境基础设施建设。加快推进经开区污水处理厂、</w:t>
                  </w:r>
                  <w:r>
                    <w:rPr>
                      <w:rFonts w:hint="eastAsia"/>
                      <w:color w:val="000000" w:themeColor="text1"/>
                      <w:szCs w:val="21"/>
                      <w:highlight w:val="none"/>
                      <w:lang w:eastAsia="zh-CN"/>
                      <w14:textFill>
                        <w14:solidFill>
                          <w14:schemeClr w14:val="tx1"/>
                        </w14:solidFill>
                      </w14:textFill>
                    </w:rPr>
                    <w:t>禄口污水处理厂</w:t>
                  </w:r>
                  <w:r>
                    <w:rPr>
                      <w:color w:val="000000" w:themeColor="text1"/>
                      <w:szCs w:val="21"/>
                      <w:highlight w:val="none"/>
                      <w14:textFill>
                        <w14:solidFill>
                          <w14:schemeClr w14:val="tx1"/>
                        </w14:solidFill>
                      </w14:textFill>
                    </w:rPr>
                    <w:t>扩建及经开区所依托的污水处理厂尾水提标改造，加快污水管网建设，提高经开区污水收集率；完善集中供热系统，加快推进淘汰企业自备锅炉。</w:t>
                  </w:r>
                  <w:r>
                    <w:rPr>
                      <w:rFonts w:hint="eastAsia"/>
                      <w:color w:val="000000" w:themeColor="text1"/>
                      <w:szCs w:val="21"/>
                      <w:highlight w:val="none"/>
                      <w14:textFill>
                        <w14:solidFill>
                          <w14:schemeClr w14:val="tx1"/>
                        </w14:solidFill>
                      </w14:textFill>
                    </w:rPr>
                    <w:t>一般工业</w:t>
                  </w:r>
                  <w:r>
                    <w:rPr>
                      <w:color w:val="000000" w:themeColor="text1"/>
                      <w:szCs w:val="21"/>
                      <w:highlight w:val="none"/>
                      <w14:textFill>
                        <w14:solidFill>
                          <w14:schemeClr w14:val="tx1"/>
                        </w14:solidFill>
                      </w14:textFill>
                    </w:rPr>
                    <w:t>固废、危险废物应</w:t>
                  </w:r>
                  <w:r>
                    <w:rPr>
                      <w:rFonts w:hint="eastAsia"/>
                      <w:color w:val="000000" w:themeColor="text1"/>
                      <w:szCs w:val="21"/>
                      <w:highlight w:val="none"/>
                      <w14:textFill>
                        <w14:solidFill>
                          <w14:schemeClr w14:val="tx1"/>
                        </w14:solidFill>
                      </w14:textFill>
                    </w:rPr>
                    <w:t>依法依规收集。</w:t>
                  </w:r>
                </w:p>
              </w:tc>
              <w:tc>
                <w:tcPr>
                  <w:tcW w:w="1815" w:type="pct"/>
                  <w:vAlign w:val="center"/>
                </w:tcPr>
                <w:p w14:paraId="29F629D8">
                  <w:pPr>
                    <w:snapToGrid w:val="0"/>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lang w:val="zh-CN"/>
                      <w14:textFill>
                        <w14:solidFill>
                          <w14:schemeClr w14:val="tx1"/>
                        </w14:solidFill>
                      </w14:textFill>
                    </w:rPr>
                    <w:t>本项目生活污水经化粪池预处理后接管至禄口污水处理厂</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本项目产生的</w:t>
                  </w:r>
                  <w:r>
                    <w:rPr>
                      <w:rFonts w:hint="eastAsia"/>
                      <w:color w:val="000000" w:themeColor="text1"/>
                      <w:szCs w:val="21"/>
                      <w:highlight w:val="none"/>
                      <w14:textFill>
                        <w14:solidFill>
                          <w14:schemeClr w14:val="tx1"/>
                        </w14:solidFill>
                      </w14:textFill>
                    </w:rPr>
                    <w:t>一般工业</w:t>
                  </w:r>
                  <w:r>
                    <w:rPr>
                      <w:color w:val="000000" w:themeColor="text1"/>
                      <w:szCs w:val="21"/>
                      <w:highlight w:val="none"/>
                      <w14:textFill>
                        <w14:solidFill>
                          <w14:schemeClr w14:val="tx1"/>
                        </w14:solidFill>
                      </w14:textFill>
                    </w:rPr>
                    <w:t>固废经分类收集后，交专门的单位处理；产生的危险废物经</w:t>
                  </w:r>
                  <w:r>
                    <w:rPr>
                      <w:rFonts w:hint="eastAsia"/>
                      <w:color w:val="000000" w:themeColor="text1"/>
                      <w:szCs w:val="21"/>
                      <w:highlight w:val="none"/>
                      <w14:textFill>
                        <w14:solidFill>
                          <w14:schemeClr w14:val="tx1"/>
                        </w14:solidFill>
                      </w14:textFill>
                    </w:rPr>
                    <w:t>危废仓库</w:t>
                  </w:r>
                  <w:r>
                    <w:rPr>
                      <w:color w:val="000000" w:themeColor="text1"/>
                      <w:szCs w:val="21"/>
                      <w:highlight w:val="none"/>
                      <w14:textFill>
                        <w14:solidFill>
                          <w14:schemeClr w14:val="tx1"/>
                        </w14:solidFill>
                      </w14:textFill>
                    </w:rPr>
                    <w:t>暂存后，并委托有资质的危废处置单位处置。</w:t>
                  </w:r>
                </w:p>
              </w:tc>
              <w:tc>
                <w:tcPr>
                  <w:tcW w:w="507" w:type="pct"/>
                  <w:vAlign w:val="center"/>
                </w:tcPr>
                <w:p w14:paraId="0C6B675F">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17D01213">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c>
                <w:tcPr>
                  <w:tcW w:w="296" w:type="pct"/>
                  <w:vAlign w:val="center"/>
                </w:tcPr>
                <w:p w14:paraId="691DDAF8">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w:t>
                  </w:r>
                </w:p>
              </w:tc>
              <w:tc>
                <w:tcPr>
                  <w:tcW w:w="2379" w:type="pct"/>
                  <w:vAlign w:val="center"/>
                </w:tcPr>
                <w:p w14:paraId="798D10D2">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健全完善环境监测体系，强化环境风险防范。完善包括环境空气、地表水、地下水、土壤、底泥等环境要素的监测体系；根据监测结果适时优化《规划》；强化区域环境风险防范体系，建立应急响应联动机制。提升环境风险防控和应急响应能力，保障区域环境安全。</w:t>
                  </w:r>
                </w:p>
              </w:tc>
              <w:tc>
                <w:tcPr>
                  <w:tcW w:w="1815" w:type="pct"/>
                  <w:vAlign w:val="center"/>
                </w:tcPr>
                <w:p w14:paraId="1D2054F3">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本项目</w:t>
                  </w:r>
                  <w:r>
                    <w:rPr>
                      <w:color w:val="000000" w:themeColor="text1"/>
                      <w:szCs w:val="21"/>
                      <w:highlight w:val="none"/>
                      <w14:textFill>
                        <w14:solidFill>
                          <w14:schemeClr w14:val="tx1"/>
                        </w14:solidFill>
                      </w14:textFill>
                    </w:rPr>
                    <w:t>应</w:t>
                  </w:r>
                  <w:r>
                    <w:rPr>
                      <w:color w:val="000000" w:themeColor="text1"/>
                      <w:szCs w:val="21"/>
                      <w:highlight w:val="none"/>
                      <w:lang w:val="zh-CN"/>
                      <w14:textFill>
                        <w14:solidFill>
                          <w14:schemeClr w14:val="tx1"/>
                        </w14:solidFill>
                      </w14:textFill>
                    </w:rPr>
                    <w:t>制定例行监测计划，建设单位</w:t>
                  </w:r>
                  <w:r>
                    <w:rPr>
                      <w:color w:val="000000" w:themeColor="text1"/>
                      <w:szCs w:val="21"/>
                      <w:highlight w:val="none"/>
                      <w14:textFill>
                        <w14:solidFill>
                          <w14:schemeClr w14:val="tx1"/>
                        </w14:solidFill>
                      </w14:textFill>
                    </w:rPr>
                    <w:t>建立应急响应联动机制</w:t>
                  </w:r>
                  <w:r>
                    <w:rPr>
                      <w:color w:val="000000" w:themeColor="text1"/>
                      <w:szCs w:val="21"/>
                      <w:highlight w:val="none"/>
                      <w:lang w:val="zh-CN"/>
                      <w14:textFill>
                        <w14:solidFill>
                          <w14:schemeClr w14:val="tx1"/>
                        </w14:solidFill>
                      </w14:textFill>
                    </w:rPr>
                    <w:t>与园区管理联动。</w:t>
                  </w:r>
                </w:p>
              </w:tc>
              <w:tc>
                <w:tcPr>
                  <w:tcW w:w="507" w:type="pct"/>
                  <w:vAlign w:val="center"/>
                </w:tcPr>
                <w:p w14:paraId="184BC6E2">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符合</w:t>
                  </w:r>
                </w:p>
              </w:tc>
            </w:tr>
            <w:tr w14:paraId="53C94147">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c>
                <w:tcPr>
                  <w:tcW w:w="296" w:type="pct"/>
                  <w:vAlign w:val="center"/>
                </w:tcPr>
                <w:p w14:paraId="1F9A568E">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9</w:t>
                  </w:r>
                </w:p>
              </w:tc>
              <w:tc>
                <w:tcPr>
                  <w:tcW w:w="2379" w:type="pct"/>
                  <w:vAlign w:val="center"/>
                </w:tcPr>
                <w:p w14:paraId="49959654">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在《规划》实施过程中，适时开展环境影响跟踪评价。《规划》修编时应重新编制环境影响报告书。</w:t>
                  </w:r>
                </w:p>
              </w:tc>
              <w:tc>
                <w:tcPr>
                  <w:tcW w:w="1815" w:type="pct"/>
                  <w:vAlign w:val="center"/>
                </w:tcPr>
                <w:p w14:paraId="02D48F92">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507" w:type="pct"/>
                  <w:vAlign w:val="center"/>
                </w:tcPr>
                <w:p w14:paraId="69DD019C">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bookmarkEnd w:id="3"/>
          </w:tbl>
          <w:p w14:paraId="549DDD3E">
            <w:pPr>
              <w:adjustRightInd w:val="0"/>
              <w:snapToGrid w:val="0"/>
              <w:spacing w:line="440" w:lineRule="exact"/>
              <w:ind w:firstLine="480" w:firstLineChars="200"/>
              <w:rPr>
                <w:rFonts w:hint="eastAsia"/>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综上，本项目的建设能够满足区域规划要求。</w:t>
            </w:r>
          </w:p>
        </w:tc>
      </w:tr>
      <w:tr w14:paraId="21A25B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93" w:hRule="atLeast"/>
          <w:jc w:val="center"/>
        </w:trPr>
        <w:tc>
          <w:tcPr>
            <w:tcW w:w="1159" w:type="dxa"/>
            <w:vAlign w:val="center"/>
          </w:tcPr>
          <w:p w14:paraId="0D144A51">
            <w:pPr>
              <w:autoSpaceDE w:val="0"/>
              <w:autoSpaceDN w:val="0"/>
              <w:adjustRightInd w:val="0"/>
              <w:snapToGrid w:val="0"/>
              <w:spacing w:line="440" w:lineRule="exact"/>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其他符合性分析</w:t>
            </w:r>
          </w:p>
        </w:tc>
        <w:tc>
          <w:tcPr>
            <w:tcW w:w="7711" w:type="dxa"/>
            <w:gridSpan w:val="3"/>
            <w:vAlign w:val="center"/>
          </w:tcPr>
          <w:p w14:paraId="629257F4">
            <w:pPr>
              <w:adjustRightInd w:val="0"/>
              <w:snapToGrid w:val="0"/>
              <w:spacing w:line="440" w:lineRule="exact"/>
              <w:ind w:firstLine="482" w:firstLineChars="200"/>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4、产业政策相符性分析</w:t>
            </w:r>
          </w:p>
          <w:p w14:paraId="4D9EA812">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本项目与产业政策相符性，</w:t>
            </w:r>
            <w:r>
              <w:rPr>
                <w:rFonts w:hint="eastAsia"/>
                <w:color w:val="000000" w:themeColor="text1"/>
                <w:sz w:val="24"/>
                <w:highlight w:val="none"/>
                <w:lang w:eastAsia="zh-CN"/>
                <w14:textFill>
                  <w14:solidFill>
                    <w14:schemeClr w14:val="tx1"/>
                  </w14:solidFill>
                </w14:textFill>
              </w:rPr>
              <w:t>见下表</w:t>
            </w:r>
            <w:r>
              <w:rPr>
                <w:color w:val="000000" w:themeColor="text1"/>
                <w:sz w:val="24"/>
                <w:highlight w:val="none"/>
                <w14:textFill>
                  <w14:solidFill>
                    <w14:schemeClr w14:val="tx1"/>
                  </w14:solidFill>
                </w14:textFill>
              </w:rPr>
              <w:t>：</w:t>
            </w:r>
          </w:p>
          <w:p w14:paraId="3C170634">
            <w:pPr>
              <w:pStyle w:val="126"/>
              <w:numPr>
                <w:ilvl w:val="0"/>
                <w:numId w:val="0"/>
              </w:numPr>
              <w:spacing w:line="440" w:lineRule="exac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表1-</w:t>
            </w:r>
            <w:r>
              <w:rPr>
                <w:rFonts w:hint="eastAsia"/>
                <w:color w:val="000000" w:themeColor="text1"/>
                <w:sz w:val="24"/>
                <w:highlight w:val="none"/>
                <w:lang w:val="en-US" w:eastAsia="zh-CN"/>
                <w14:textFill>
                  <w14:solidFill>
                    <w14:schemeClr w14:val="tx1"/>
                  </w14:solidFill>
                </w14:textFill>
              </w:rPr>
              <w:t xml:space="preserve">5  </w:t>
            </w:r>
            <w:r>
              <w:rPr>
                <w:color w:val="000000" w:themeColor="text1"/>
                <w:sz w:val="24"/>
                <w:highlight w:val="none"/>
                <w14:textFill>
                  <w14:solidFill>
                    <w14:schemeClr w14:val="tx1"/>
                  </w14:solidFill>
                </w14:textFill>
              </w:rPr>
              <w:t>本项目与产业政策相符性一览表</w:t>
            </w:r>
          </w:p>
          <w:tbl>
            <w:tblPr>
              <w:tblStyle w:val="38"/>
              <w:tblW w:w="4996"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72"/>
              <w:gridCol w:w="2672"/>
              <w:gridCol w:w="2604"/>
              <w:gridCol w:w="1141"/>
            </w:tblGrid>
            <w:tr w14:paraId="65B9E6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6" w:type="pct"/>
                  <w:vAlign w:val="center"/>
                </w:tcPr>
                <w:p w14:paraId="10B07AAF">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类型</w:t>
                  </w:r>
                </w:p>
              </w:tc>
              <w:tc>
                <w:tcPr>
                  <w:tcW w:w="1783" w:type="pct"/>
                  <w:vAlign w:val="center"/>
                </w:tcPr>
                <w:p w14:paraId="28302C0D">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名称</w:t>
                  </w:r>
                </w:p>
              </w:tc>
              <w:tc>
                <w:tcPr>
                  <w:tcW w:w="1738" w:type="pct"/>
                  <w:vAlign w:val="center"/>
                </w:tcPr>
                <w:p w14:paraId="79339EC4">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内容及判定</w:t>
                  </w:r>
                </w:p>
              </w:tc>
              <w:tc>
                <w:tcPr>
                  <w:tcW w:w="761" w:type="pct"/>
                  <w:vAlign w:val="center"/>
                </w:tcPr>
                <w:p w14:paraId="5E3C7F95">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相符性</w:t>
                  </w:r>
                </w:p>
                <w:p w14:paraId="719E5411">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论证</w:t>
                  </w:r>
                </w:p>
              </w:tc>
            </w:tr>
            <w:tr w14:paraId="6B5973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6" w:type="pct"/>
                  <w:vMerge w:val="restart"/>
                  <w:vAlign w:val="center"/>
                </w:tcPr>
                <w:p w14:paraId="3F1A154D">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产业政策</w:t>
                  </w:r>
                </w:p>
              </w:tc>
              <w:tc>
                <w:tcPr>
                  <w:tcW w:w="1783" w:type="pct"/>
                  <w:vAlign w:val="center"/>
                </w:tcPr>
                <w:p w14:paraId="43450F29">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《产业结构调整指导目录》（2024年本）</w:t>
                  </w:r>
                </w:p>
              </w:tc>
              <w:tc>
                <w:tcPr>
                  <w:tcW w:w="1738" w:type="pct"/>
                  <w:vAlign w:val="center"/>
                </w:tcPr>
                <w:p w14:paraId="4FDCC3B0">
                  <w:pPr>
                    <w:snapToGrid w:val="0"/>
                    <w:spacing w:line="240" w:lineRule="exact"/>
                    <w:jc w:val="left"/>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本项目为</w:t>
                  </w:r>
                  <w:r>
                    <w:rPr>
                      <w:rFonts w:hint="eastAsia"/>
                      <w:color w:val="000000" w:themeColor="text1"/>
                      <w:szCs w:val="21"/>
                      <w:highlight w:val="none"/>
                      <w:lang w:eastAsia="zh-CN"/>
                      <w14:textFill>
                        <w14:solidFill>
                          <w14:schemeClr w14:val="tx1"/>
                        </w14:solidFill>
                      </w14:textFill>
                    </w:rPr>
                    <w:t>C2913橡胶零件制造、C2929塑料零件及其他塑料制品制造、C3670汽车零部件及配件制造，</w:t>
                  </w:r>
                  <w:r>
                    <w:rPr>
                      <w:rFonts w:hint="default" w:ascii="Times New Roman" w:hAnsi="Times New Roman" w:cs="Times New Roman"/>
                      <w:color w:val="000000" w:themeColor="text1"/>
                      <w:szCs w:val="21"/>
                      <w:highlight w:val="none"/>
                      <w14:textFill>
                        <w14:solidFill>
                          <w14:schemeClr w14:val="tx1"/>
                        </w14:solidFill>
                      </w14:textFill>
                    </w:rPr>
                    <w:t>不属于目录中鼓励类、限制类和淘汰类</w:t>
                  </w:r>
                  <w:r>
                    <w:rPr>
                      <w:rFonts w:hint="eastAsia"/>
                      <w:color w:val="000000" w:themeColor="text1"/>
                      <w:szCs w:val="21"/>
                      <w:highlight w:val="none"/>
                      <w:lang w:eastAsia="zh-CN"/>
                      <w14:textFill>
                        <w14:solidFill>
                          <w14:schemeClr w14:val="tx1"/>
                        </w14:solidFill>
                      </w14:textFill>
                    </w:rPr>
                    <w:t>，属于允许类</w:t>
                  </w:r>
                  <w:r>
                    <w:rPr>
                      <w:rFonts w:hint="default" w:ascii="Times New Roman" w:hAnsi="Times New Roman" w:cs="Times New Roman"/>
                      <w:color w:val="000000" w:themeColor="text1"/>
                      <w:szCs w:val="21"/>
                      <w:highlight w:val="none"/>
                      <w14:textFill>
                        <w14:solidFill>
                          <w14:schemeClr w14:val="tx1"/>
                        </w14:solidFill>
                      </w14:textFill>
                    </w:rPr>
                    <w:t>。</w:t>
                  </w:r>
                </w:p>
              </w:tc>
              <w:tc>
                <w:tcPr>
                  <w:tcW w:w="761" w:type="pct"/>
                  <w:vAlign w:val="center"/>
                </w:tcPr>
                <w:p w14:paraId="5A354013">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29AA9B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6" w:type="pct"/>
                  <w:vMerge w:val="continue"/>
                </w:tcPr>
                <w:p w14:paraId="26054D5B">
                  <w:pPr>
                    <w:snapToGrid w:val="0"/>
                    <w:spacing w:line="240" w:lineRule="exact"/>
                    <w:jc w:val="center"/>
                    <w:rPr>
                      <w:color w:val="000000" w:themeColor="text1"/>
                      <w:szCs w:val="21"/>
                      <w:highlight w:val="none"/>
                      <w14:textFill>
                        <w14:solidFill>
                          <w14:schemeClr w14:val="tx1"/>
                        </w14:solidFill>
                      </w14:textFill>
                    </w:rPr>
                  </w:pPr>
                </w:p>
              </w:tc>
              <w:tc>
                <w:tcPr>
                  <w:tcW w:w="1783" w:type="pct"/>
                  <w:vAlign w:val="center"/>
                </w:tcPr>
                <w:p w14:paraId="5F36915F">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《环境保护综合名录（2021年版）》</w:t>
                  </w:r>
                </w:p>
              </w:tc>
              <w:tc>
                <w:tcPr>
                  <w:tcW w:w="1738" w:type="pct"/>
                  <w:vAlign w:val="center"/>
                </w:tcPr>
                <w:p w14:paraId="253833E2">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本项目产品不属于</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两高</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产品名录。</w:t>
                  </w:r>
                </w:p>
              </w:tc>
              <w:tc>
                <w:tcPr>
                  <w:tcW w:w="761" w:type="pct"/>
                  <w:vAlign w:val="center"/>
                </w:tcPr>
                <w:p w14:paraId="3C4EAF76">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1019BB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6" w:type="pct"/>
                  <w:vMerge w:val="continue"/>
                </w:tcPr>
                <w:p w14:paraId="6275D6F3">
                  <w:pPr>
                    <w:snapToGrid w:val="0"/>
                    <w:spacing w:line="240" w:lineRule="exact"/>
                    <w:jc w:val="center"/>
                    <w:rPr>
                      <w:color w:val="000000" w:themeColor="text1"/>
                      <w:szCs w:val="21"/>
                      <w:highlight w:val="none"/>
                      <w14:textFill>
                        <w14:solidFill>
                          <w14:schemeClr w14:val="tx1"/>
                        </w14:solidFill>
                      </w14:textFill>
                    </w:rPr>
                  </w:pPr>
                </w:p>
              </w:tc>
              <w:tc>
                <w:tcPr>
                  <w:tcW w:w="1783" w:type="pct"/>
                  <w:vAlign w:val="center"/>
                </w:tcPr>
                <w:p w14:paraId="75DA67D8">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对照《</w:t>
                  </w:r>
                  <w:r>
                    <w:rPr>
                      <w:rFonts w:hint="eastAsia"/>
                      <w:color w:val="000000" w:themeColor="text1"/>
                      <w:szCs w:val="21"/>
                      <w:highlight w:val="none"/>
                      <w14:textFill>
                        <w14:solidFill>
                          <w14:schemeClr w14:val="tx1"/>
                        </w14:solidFill>
                      </w14:textFill>
                    </w:rPr>
                    <w:t>江苏省“两高”项目管理目录（2025年版）</w:t>
                  </w:r>
                  <w:r>
                    <w:rPr>
                      <w:color w:val="000000" w:themeColor="text1"/>
                      <w:szCs w:val="21"/>
                      <w:highlight w:val="none"/>
                      <w14:textFill>
                        <w14:solidFill>
                          <w14:schemeClr w14:val="tx1"/>
                        </w14:solidFill>
                      </w14:textFill>
                    </w:rPr>
                    <w:t>》</w:t>
                  </w:r>
                </w:p>
              </w:tc>
              <w:tc>
                <w:tcPr>
                  <w:tcW w:w="1738" w:type="pct"/>
                  <w:vAlign w:val="center"/>
                </w:tcPr>
                <w:p w14:paraId="020FB4FF">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本项目不属于</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两高</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项目。</w:t>
                  </w:r>
                </w:p>
              </w:tc>
              <w:tc>
                <w:tcPr>
                  <w:tcW w:w="761" w:type="pct"/>
                  <w:vAlign w:val="center"/>
                </w:tcPr>
                <w:p w14:paraId="173A381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455483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6" w:type="pct"/>
                  <w:vMerge w:val="continue"/>
                </w:tcPr>
                <w:p w14:paraId="54F95BC6">
                  <w:pPr>
                    <w:snapToGrid w:val="0"/>
                    <w:spacing w:line="240" w:lineRule="exact"/>
                    <w:jc w:val="center"/>
                    <w:rPr>
                      <w:color w:val="000000" w:themeColor="text1"/>
                      <w:szCs w:val="21"/>
                      <w:highlight w:val="none"/>
                      <w14:textFill>
                        <w14:solidFill>
                          <w14:schemeClr w14:val="tx1"/>
                        </w14:solidFill>
                      </w14:textFill>
                    </w:rPr>
                  </w:pPr>
                </w:p>
              </w:tc>
              <w:tc>
                <w:tcPr>
                  <w:tcW w:w="1783" w:type="pct"/>
                  <w:vAlign w:val="center"/>
                </w:tcPr>
                <w:p w14:paraId="24609D57">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《市场准入负面清单（2025年版）》</w:t>
                  </w:r>
                </w:p>
              </w:tc>
              <w:tc>
                <w:tcPr>
                  <w:tcW w:w="1738" w:type="pct"/>
                  <w:vAlign w:val="center"/>
                </w:tcPr>
                <w:p w14:paraId="3187D292">
                  <w:pPr>
                    <w:snapToGrid w:val="0"/>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本项目为</w:t>
                  </w:r>
                  <w:r>
                    <w:rPr>
                      <w:rFonts w:hint="eastAsia"/>
                      <w:color w:val="000000" w:themeColor="text1"/>
                      <w:szCs w:val="21"/>
                      <w:highlight w:val="none"/>
                      <w:lang w:eastAsia="zh-CN"/>
                      <w14:textFill>
                        <w14:solidFill>
                          <w14:schemeClr w14:val="tx1"/>
                        </w14:solidFill>
                      </w14:textFill>
                    </w:rPr>
                    <w:t>C2913橡胶零件制造、C2929塑料零件及其他塑料制品制造、C3670汽车零部件及配件制造，</w:t>
                  </w:r>
                  <w:r>
                    <w:rPr>
                      <w:color w:val="000000" w:themeColor="text1"/>
                      <w:szCs w:val="21"/>
                      <w:highlight w:val="none"/>
                      <w14:textFill>
                        <w14:solidFill>
                          <w14:schemeClr w14:val="tx1"/>
                        </w14:solidFill>
                      </w14:textFill>
                    </w:rPr>
                    <w:t>不属于负面清单名录。</w:t>
                  </w:r>
                </w:p>
              </w:tc>
              <w:tc>
                <w:tcPr>
                  <w:tcW w:w="761" w:type="pct"/>
                  <w:vAlign w:val="center"/>
                </w:tcPr>
                <w:p w14:paraId="0845393D">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bl>
          <w:p w14:paraId="68EAB0A6">
            <w:pPr>
              <w:adjustRightInd w:val="0"/>
              <w:snapToGrid w:val="0"/>
              <w:spacing w:line="440" w:lineRule="exact"/>
              <w:ind w:firstLine="482" w:firstLineChars="200"/>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5、</w:t>
            </w:r>
            <w:r>
              <w:rPr>
                <w:rFonts w:hint="eastAsia"/>
                <w:b/>
                <w:bCs/>
                <w:color w:val="000000" w:themeColor="text1"/>
                <w:sz w:val="24"/>
                <w:highlight w:val="none"/>
                <w14:textFill>
                  <w14:solidFill>
                    <w14:schemeClr w14:val="tx1"/>
                  </w14:solidFill>
                </w14:textFill>
              </w:rPr>
              <w:t>用地政策</w:t>
            </w:r>
            <w:r>
              <w:rPr>
                <w:b/>
                <w:bCs/>
                <w:color w:val="000000" w:themeColor="text1"/>
                <w:sz w:val="24"/>
                <w:highlight w:val="none"/>
                <w14:textFill>
                  <w14:solidFill>
                    <w14:schemeClr w14:val="tx1"/>
                  </w14:solidFill>
                </w14:textFill>
              </w:rPr>
              <w:t>相符性分析</w:t>
            </w:r>
          </w:p>
          <w:p w14:paraId="3599F1FE">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本项目与</w:t>
            </w:r>
            <w:r>
              <w:rPr>
                <w:rFonts w:hint="eastAsia"/>
                <w:color w:val="000000" w:themeColor="text1"/>
                <w:sz w:val="24"/>
                <w:highlight w:val="none"/>
                <w14:textFill>
                  <w14:solidFill>
                    <w14:schemeClr w14:val="tx1"/>
                  </w14:solidFill>
                </w14:textFill>
              </w:rPr>
              <w:t>用地政策</w:t>
            </w:r>
            <w:r>
              <w:rPr>
                <w:color w:val="000000" w:themeColor="text1"/>
                <w:sz w:val="24"/>
                <w:highlight w:val="none"/>
                <w14:textFill>
                  <w14:solidFill>
                    <w14:schemeClr w14:val="tx1"/>
                  </w14:solidFill>
                </w14:textFill>
              </w:rPr>
              <w:t>相符性，</w:t>
            </w:r>
            <w:r>
              <w:rPr>
                <w:rFonts w:hint="eastAsia"/>
                <w:color w:val="000000" w:themeColor="text1"/>
                <w:sz w:val="24"/>
                <w:highlight w:val="none"/>
                <w:lang w:eastAsia="zh-CN"/>
                <w14:textFill>
                  <w14:solidFill>
                    <w14:schemeClr w14:val="tx1"/>
                  </w14:solidFill>
                </w14:textFill>
              </w:rPr>
              <w:t>见下表</w:t>
            </w:r>
            <w:r>
              <w:rPr>
                <w:color w:val="000000" w:themeColor="text1"/>
                <w:sz w:val="24"/>
                <w:highlight w:val="none"/>
                <w14:textFill>
                  <w14:solidFill>
                    <w14:schemeClr w14:val="tx1"/>
                  </w14:solidFill>
                </w14:textFill>
              </w:rPr>
              <w:t>：</w:t>
            </w:r>
          </w:p>
          <w:p w14:paraId="0E5D19FC">
            <w:pPr>
              <w:pStyle w:val="126"/>
              <w:numPr>
                <w:ilvl w:val="0"/>
                <w:numId w:val="0"/>
              </w:numPr>
              <w:spacing w:line="440" w:lineRule="exac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表1-</w:t>
            </w:r>
            <w:r>
              <w:rPr>
                <w:rFonts w:hint="eastAsia"/>
                <w:color w:val="000000" w:themeColor="text1"/>
                <w:sz w:val="24"/>
                <w:highlight w:val="none"/>
                <w:lang w:val="en-US" w:eastAsia="zh-CN"/>
                <w14:textFill>
                  <w14:solidFill>
                    <w14:schemeClr w14:val="tx1"/>
                  </w14:solidFill>
                </w14:textFill>
              </w:rPr>
              <w:t xml:space="preserve">6  </w:t>
            </w:r>
            <w:r>
              <w:rPr>
                <w:color w:val="000000" w:themeColor="text1"/>
                <w:sz w:val="24"/>
                <w:highlight w:val="none"/>
                <w14:textFill>
                  <w14:solidFill>
                    <w14:schemeClr w14:val="tx1"/>
                  </w14:solidFill>
                </w14:textFill>
              </w:rPr>
              <w:t>本项目与</w:t>
            </w:r>
            <w:r>
              <w:rPr>
                <w:rFonts w:hint="eastAsia"/>
                <w:color w:val="000000" w:themeColor="text1"/>
                <w:sz w:val="24"/>
                <w:highlight w:val="none"/>
                <w14:textFill>
                  <w14:solidFill>
                    <w14:schemeClr w14:val="tx1"/>
                  </w14:solidFill>
                </w14:textFill>
              </w:rPr>
              <w:t>用地</w:t>
            </w:r>
            <w:r>
              <w:rPr>
                <w:color w:val="000000" w:themeColor="text1"/>
                <w:sz w:val="24"/>
                <w:highlight w:val="none"/>
                <w14:textFill>
                  <w14:solidFill>
                    <w14:schemeClr w14:val="tx1"/>
                  </w14:solidFill>
                </w14:textFill>
              </w:rPr>
              <w:t>政策相符性一览表</w:t>
            </w:r>
          </w:p>
          <w:tbl>
            <w:tblPr>
              <w:tblStyle w:val="38"/>
              <w:tblW w:w="759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451"/>
              <w:gridCol w:w="3810"/>
              <w:gridCol w:w="1338"/>
            </w:tblGrid>
            <w:tr w14:paraId="1786C5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2451" w:type="dxa"/>
                </w:tcPr>
                <w:p w14:paraId="18F43488">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名称</w:t>
                  </w:r>
                </w:p>
              </w:tc>
              <w:tc>
                <w:tcPr>
                  <w:tcW w:w="3810" w:type="dxa"/>
                </w:tcPr>
                <w:p w14:paraId="02B2BB00">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内容</w:t>
                  </w:r>
                </w:p>
              </w:tc>
              <w:tc>
                <w:tcPr>
                  <w:tcW w:w="1338" w:type="dxa"/>
                </w:tcPr>
                <w:p w14:paraId="65AC8EF0">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相符性论证</w:t>
                  </w:r>
                </w:p>
              </w:tc>
            </w:tr>
            <w:tr w14:paraId="216C01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451" w:type="dxa"/>
                  <w:vAlign w:val="center"/>
                </w:tcPr>
                <w:p w14:paraId="08BD8156">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《江苏省限制用地项目目录（2013年本）》和《江苏省禁止用地项目目录（2013年本）》</w:t>
                  </w:r>
                </w:p>
              </w:tc>
              <w:tc>
                <w:tcPr>
                  <w:tcW w:w="3810" w:type="dxa"/>
                  <w:vAlign w:val="center"/>
                </w:tcPr>
                <w:p w14:paraId="38FF5920">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本项目位于</w:t>
                  </w:r>
                  <w:r>
                    <w:rPr>
                      <w:rFonts w:hint="eastAsia"/>
                      <w:color w:val="000000" w:themeColor="text1"/>
                      <w:szCs w:val="21"/>
                      <w:highlight w:val="none"/>
                      <w:lang w:eastAsia="zh-CN"/>
                      <w14:textFill>
                        <w14:solidFill>
                          <w14:schemeClr w14:val="tx1"/>
                        </w14:solidFill>
                      </w14:textFill>
                    </w:rPr>
                    <w:t>南京市江宁区禄口街道蓝天路218号</w:t>
                  </w:r>
                  <w:r>
                    <w:rPr>
                      <w:color w:val="000000" w:themeColor="text1"/>
                      <w:szCs w:val="21"/>
                      <w:highlight w:val="none"/>
                      <w:lang w:val="zh-CN"/>
                      <w14:textFill>
                        <w14:solidFill>
                          <w14:schemeClr w14:val="tx1"/>
                        </w14:solidFill>
                      </w14:textFill>
                    </w:rPr>
                    <w:t>，用地性质为工业用地；不属于限制和禁止用地。</w:t>
                  </w:r>
                </w:p>
              </w:tc>
              <w:tc>
                <w:tcPr>
                  <w:tcW w:w="1338" w:type="dxa"/>
                  <w:vAlign w:val="center"/>
                </w:tcPr>
                <w:p w14:paraId="3F318664">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08DB2B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451" w:type="dxa"/>
                  <w:vAlign w:val="center"/>
                </w:tcPr>
                <w:p w14:paraId="13E34D31">
                  <w:pPr>
                    <w:snapToGrid w:val="0"/>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《自然资源要素支撑产业高质量发展指导目录（2024年本）》（自然资发〔2024〕273号）</w:t>
                  </w:r>
                </w:p>
              </w:tc>
              <w:tc>
                <w:tcPr>
                  <w:tcW w:w="3810" w:type="dxa"/>
                  <w:vAlign w:val="center"/>
                </w:tcPr>
                <w:p w14:paraId="16D84AA4">
                  <w:pPr>
                    <w:snapToGrid w:val="0"/>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本项目为</w:t>
                  </w:r>
                  <w:r>
                    <w:rPr>
                      <w:rFonts w:hint="eastAsia"/>
                      <w:color w:val="000000" w:themeColor="text1"/>
                      <w:szCs w:val="21"/>
                      <w:highlight w:val="none"/>
                      <w:lang w:eastAsia="zh-CN"/>
                      <w14:textFill>
                        <w14:solidFill>
                          <w14:schemeClr w14:val="tx1"/>
                        </w14:solidFill>
                      </w14:textFill>
                    </w:rPr>
                    <w:t>C2913橡胶零件制造、C2929塑料零件及其他塑料制品制造、C3670汽车零部件及配件制造，</w:t>
                  </w:r>
                  <w:r>
                    <w:rPr>
                      <w:color w:val="000000" w:themeColor="text1"/>
                      <w:szCs w:val="21"/>
                      <w:highlight w:val="none"/>
                      <w14:textFill>
                        <w14:solidFill>
                          <w14:schemeClr w14:val="tx1"/>
                        </w14:solidFill>
                      </w14:textFill>
                    </w:rPr>
                    <w:t>不属于目录中限制类和淘汰类。</w:t>
                  </w:r>
                </w:p>
              </w:tc>
              <w:tc>
                <w:tcPr>
                  <w:tcW w:w="1338" w:type="dxa"/>
                  <w:vAlign w:val="center"/>
                </w:tcPr>
                <w:p w14:paraId="0CA75E4E">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bl>
          <w:p w14:paraId="4B8010E8">
            <w:pPr>
              <w:adjustRightInd w:val="0"/>
              <w:snapToGrid w:val="0"/>
              <w:spacing w:line="440" w:lineRule="exact"/>
              <w:ind w:firstLine="482" w:firstLineChars="200"/>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6、与生态环境分区管控要求相符性分析</w:t>
            </w:r>
          </w:p>
          <w:p w14:paraId="11AE3B50">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根据《关于以改善环境质量为核心加强环境影响评价管理的通知》环评〔2016〕150号，为适应以改善环境质量为核心的环境管理要求，切实加强环境影响评价（以下简称环评）管理，落实</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生态保护红线、环境质量底线、资源利用上线和环境准入负面清单</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约束，建立项目环评审批与规划环评、现有项目环境管理、区域环境质量联动机制，更好地发挥环评制度从源头防范环境污染和生态破坏的作用，加快推进改善环境质量。</w:t>
            </w:r>
          </w:p>
          <w:p w14:paraId="0AB46B32">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（1）生态红线相符性分析</w:t>
            </w:r>
          </w:p>
          <w:p w14:paraId="32AA0424">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①对照《自然资源部办公厅关于北京等省（区、市）启用</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三区三线</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划定成果作为报批建设项目用地用海依据的函》（自然资办函〔2022〕2207号）、南京市</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三区三线</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划定成果、</w:t>
            </w:r>
            <w:r>
              <w:rPr>
                <w:rFonts w:hint="eastAsia"/>
                <w:color w:val="000000" w:themeColor="text1"/>
                <w:sz w:val="24"/>
                <w:highlight w:val="none"/>
                <w14:textFill>
                  <w14:solidFill>
                    <w14:schemeClr w14:val="tx1"/>
                  </w14:solidFill>
                </w14:textFill>
              </w:rPr>
              <w:t>《江苏省2023年度生态环境分区管控动态更新成果》</w:t>
            </w:r>
            <w:r>
              <w:rPr>
                <w:color w:val="000000" w:themeColor="text1"/>
                <w:sz w:val="24"/>
                <w:highlight w:val="none"/>
                <w14:textFill>
                  <w14:solidFill>
                    <w14:schemeClr w14:val="tx1"/>
                  </w14:solidFill>
                </w14:textFill>
              </w:rPr>
              <w:t>《江苏省自然资源厅关于南京市江宁区2023年度生态空间管控区调整方案的复函》（苏自然资函〔2023〕1058号），本项目不在江苏省国家级生态保护红线范围、不在江苏省生态空间管控区域规划范围内</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距离本项目厂址最近的国家级生态保护红线为</w:t>
            </w:r>
            <w:r>
              <w:rPr>
                <w:rFonts w:hint="eastAsia"/>
                <w:color w:val="000000" w:themeColor="text1"/>
                <w:sz w:val="24"/>
                <w:highlight w:val="none"/>
                <w:lang w:eastAsia="zh-CN"/>
                <w14:textFill>
                  <w14:solidFill>
                    <w14:schemeClr w14:val="tx1"/>
                  </w14:solidFill>
                </w14:textFill>
              </w:rPr>
              <w:t>秦淮河（江宁区）洪水调蓄区</w:t>
            </w:r>
            <w:r>
              <w:rPr>
                <w:color w:val="000000" w:themeColor="text1"/>
                <w:sz w:val="24"/>
                <w:highlight w:val="none"/>
                <w14:textFill>
                  <w14:solidFill>
                    <w14:schemeClr w14:val="tx1"/>
                  </w14:solidFill>
                </w14:textFill>
              </w:rPr>
              <w:t>，</w:t>
            </w:r>
            <w:r>
              <w:rPr>
                <w:rFonts w:hint="eastAsia"/>
                <w:color w:val="000000" w:themeColor="text1"/>
                <w:sz w:val="24"/>
                <w:highlight w:val="none"/>
                <w:lang w:eastAsia="zh-CN"/>
                <w14:textFill>
                  <w14:solidFill>
                    <w14:schemeClr w14:val="tx1"/>
                  </w14:solidFill>
                </w14:textFill>
              </w:rPr>
              <w:t>位于本项目东侧约4.55km</w:t>
            </w:r>
            <w:r>
              <w:rPr>
                <w:color w:val="000000" w:themeColor="text1"/>
                <w:sz w:val="24"/>
                <w:highlight w:val="none"/>
                <w14:textFill>
                  <w14:solidFill>
                    <w14:schemeClr w14:val="tx1"/>
                  </w14:solidFill>
                </w14:textFill>
              </w:rPr>
              <w:t>；距离本项目厂址最近的生态空间管控区</w:t>
            </w:r>
            <w:r>
              <w:rPr>
                <w:rFonts w:hint="eastAsia"/>
                <w:color w:val="000000" w:themeColor="text1"/>
                <w:sz w:val="24"/>
                <w:highlight w:val="none"/>
                <w14:textFill>
                  <w14:solidFill>
                    <w14:schemeClr w14:val="tx1"/>
                  </w14:solidFill>
                </w14:textFill>
              </w:rPr>
              <w:t>为</w:t>
            </w:r>
            <w:r>
              <w:rPr>
                <w:rFonts w:hint="eastAsia"/>
                <w:color w:val="000000" w:themeColor="text1"/>
                <w:sz w:val="24"/>
                <w:highlight w:val="none"/>
                <w:lang w:eastAsia="zh-CN"/>
                <w14:textFill>
                  <w14:solidFill>
                    <w14:schemeClr w14:val="tx1"/>
                  </w14:solidFill>
                </w14:textFill>
              </w:rPr>
              <w:t>江苏南京上秦淮省级湿地公园</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位于</w:t>
            </w:r>
            <w:r>
              <w:rPr>
                <w:rFonts w:hint="eastAsia"/>
                <w:color w:val="000000" w:themeColor="text1"/>
                <w:sz w:val="24"/>
                <w:highlight w:val="none"/>
                <w:lang w:eastAsia="zh-CN"/>
                <w14:textFill>
                  <w14:solidFill>
                    <w14:schemeClr w14:val="tx1"/>
                  </w14:solidFill>
                </w14:textFill>
              </w:rPr>
              <w:t>本项目北侧约6.71km</w:t>
            </w:r>
            <w:r>
              <w:rPr>
                <w:color w:val="000000" w:themeColor="text1"/>
                <w:sz w:val="24"/>
                <w:highlight w:val="none"/>
                <w14:textFill>
                  <w14:solidFill>
                    <w14:schemeClr w14:val="tx1"/>
                  </w14:solidFill>
                </w14:textFill>
              </w:rPr>
              <w:t>。具体见附图5、附图6。</w:t>
            </w:r>
          </w:p>
          <w:p w14:paraId="032A31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000000" w:themeColor="text1"/>
                <w:sz w:val="24"/>
                <w:highlight w:val="none"/>
                <w14:textFill>
                  <w14:solidFill>
                    <w14:schemeClr w14:val="tx1"/>
                  </w14:solidFill>
                </w14:textFill>
              </w:rPr>
            </w:pPr>
            <w:r>
              <w:rPr>
                <w:color w:val="000000" w:themeColor="text1"/>
                <w:sz w:val="21"/>
                <w:highlight w:val="none"/>
                <w14:textFill>
                  <w14:solidFill>
                    <w14:schemeClr w14:val="tx1"/>
                  </w14:solidFill>
                </w14:textFill>
              </w:rPr>
              <mc:AlternateContent>
                <mc:Choice Requires="wps">
                  <w:drawing>
                    <wp:anchor distT="0" distB="0" distL="114300" distR="114300" simplePos="0" relativeHeight="251672576" behindDoc="0" locked="0" layoutInCell="1" allowOverlap="1">
                      <wp:simplePos x="0" y="0"/>
                      <wp:positionH relativeFrom="column">
                        <wp:posOffset>154305</wp:posOffset>
                      </wp:positionH>
                      <wp:positionV relativeFrom="paragraph">
                        <wp:posOffset>771525</wp:posOffset>
                      </wp:positionV>
                      <wp:extent cx="1310640" cy="311150"/>
                      <wp:effectExtent l="0" t="0" r="0" b="0"/>
                      <wp:wrapNone/>
                      <wp:docPr id="31" name="文本框 31"/>
                      <wp:cNvGraphicFramePr/>
                      <a:graphic xmlns:a="http://schemas.openxmlformats.org/drawingml/2006/main">
                        <a:graphicData uri="http://schemas.microsoft.com/office/word/2010/wordprocessingShape">
                          <wps:wsp>
                            <wps:cNvSpPr txBox="1"/>
                            <wps:spPr>
                              <a:xfrm>
                                <a:off x="1885315" y="3055620"/>
                                <a:ext cx="1310640" cy="3111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D4A619">
                                  <w:pPr>
                                    <w:rPr>
                                      <w:rFonts w:hint="default" w:eastAsia="宋体"/>
                                      <w:color w:val="0000FF"/>
                                      <w:lang w:val="en-US" w:eastAsia="zh-CN"/>
                                    </w:rPr>
                                  </w:pPr>
                                  <w:r>
                                    <w:rPr>
                                      <w:rFonts w:hint="eastAsia"/>
                                      <w:color w:val="0000FF"/>
                                      <w:lang w:val="en-US" w:eastAsia="zh-CN"/>
                                    </w:rPr>
                                    <w:t>本项目所在地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15pt;margin-top:60.75pt;height:24.5pt;width:103.2pt;z-index:251672576;mso-width-relative:page;mso-height-relative:page;" filled="f" stroked="f" coordsize="21600,21600" o:gfxdata="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OHz50TaAAAACgEAAA8AAAAAAAAAAQAg&#10;AAAAIgAAAGRycy9kb3ducmV2LnhtbFBLAQIUABQAAAAIAIdO4kA0HWbpRQIAAHQEAAAOAAAAAAAA&#10;AAEAIAAAACkBAABkcnMvZTJvRG9jLnhtbFBLBQYAAAAABgAGAFkBAADgBQAAAAA=&#10;">
                      <v:fill on="f" focussize="0,0"/>
                      <v:stroke on="f" weight="0.5pt"/>
                      <v:imagedata o:title=""/>
                      <o:lock v:ext="edit" aspectratio="f"/>
                      <v:textbox>
                        <w:txbxContent>
                          <w:p w14:paraId="78D4A619">
                            <w:pPr>
                              <w:rPr>
                                <w:rFonts w:hint="default" w:eastAsia="宋体"/>
                                <w:color w:val="0000FF"/>
                                <w:lang w:val="en-US" w:eastAsia="zh-CN"/>
                              </w:rPr>
                            </w:pPr>
                            <w:r>
                              <w:rPr>
                                <w:rFonts w:hint="eastAsia"/>
                                <w:color w:val="0000FF"/>
                                <w:lang w:val="en-US" w:eastAsia="zh-CN"/>
                              </w:rPr>
                              <w:t>本项目所在地</w:t>
                            </w:r>
                          </w:p>
                        </w:txbxContent>
                      </v:textbox>
                    </v:shape>
                  </w:pict>
                </mc:Fallback>
              </mc:AlternateContent>
            </w:r>
            <w:r>
              <w:rPr>
                <w:color w:val="000000" w:themeColor="text1"/>
                <w:highlight w:val="none"/>
                <w14:textFill>
                  <w14:solidFill>
                    <w14:schemeClr w14:val="tx1"/>
                  </w14:solidFill>
                </w14:textFill>
              </w:rPr>
              <w:drawing>
                <wp:inline distT="0" distB="0" distL="114300" distR="114300">
                  <wp:extent cx="4589780" cy="2520315"/>
                  <wp:effectExtent l="0" t="0" r="1270" b="13335"/>
                  <wp:docPr id="3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4"/>
                          <pic:cNvPicPr>
                            <a:picLocks noChangeAspect="1"/>
                          </pic:cNvPicPr>
                        </pic:nvPicPr>
                        <pic:blipFill>
                          <a:blip r:embed="rId12"/>
                          <a:stretch>
                            <a:fillRect/>
                          </a:stretch>
                        </pic:blipFill>
                        <pic:spPr>
                          <a:xfrm>
                            <a:off x="0" y="0"/>
                            <a:ext cx="4589780" cy="2520315"/>
                          </a:xfrm>
                          <a:prstGeom prst="rect">
                            <a:avLst/>
                          </a:prstGeom>
                          <a:noFill/>
                          <a:ln>
                            <a:noFill/>
                          </a:ln>
                        </pic:spPr>
                      </pic:pic>
                    </a:graphicData>
                  </a:graphic>
                </wp:inline>
              </w:drawing>
            </w:r>
          </w:p>
          <w:p w14:paraId="79D5CC32">
            <w:pPr>
              <w:adjustRightInd w:val="0"/>
              <w:snapToGrid w:val="0"/>
              <w:spacing w:line="440" w:lineRule="exact"/>
              <w:ind w:firstLine="482" w:firstLineChars="200"/>
              <w:jc w:val="center"/>
              <w:rPr>
                <w:rFonts w:hint="default"/>
                <w:color w:val="000000" w:themeColor="text1"/>
                <w:sz w:val="24"/>
                <w:highlight w:val="none"/>
                <w:lang w:val="en-US"/>
                <w14:textFill>
                  <w14:solidFill>
                    <w14:schemeClr w14:val="tx1"/>
                  </w14:solidFill>
                </w14:textFill>
              </w:rPr>
            </w:pPr>
            <w:r>
              <w:rPr>
                <w:rFonts w:hint="eastAsia"/>
                <w:b/>
                <w:bCs/>
                <w:color w:val="000000" w:themeColor="text1"/>
                <w:sz w:val="24"/>
                <w:highlight w:val="none"/>
                <w14:textFill>
                  <w14:solidFill>
                    <w14:schemeClr w14:val="tx1"/>
                  </w14:solidFill>
                </w14:textFill>
              </w:rPr>
              <w:t>图</w:t>
            </w:r>
            <w:r>
              <w:rPr>
                <w:rFonts w:hint="eastAsia"/>
                <w:b/>
                <w:bCs/>
                <w:color w:val="000000" w:themeColor="text1"/>
                <w:sz w:val="24"/>
                <w:highlight w:val="none"/>
                <w:lang w:val="en-US" w:eastAsia="zh-CN"/>
                <w14:textFill>
                  <w14:solidFill>
                    <w14:schemeClr w14:val="tx1"/>
                  </w14:solidFill>
                </w14:textFill>
              </w:rPr>
              <w:t>1-1  本项目与秦淮河（江宁区）洪水调蓄区位置示意图</w:t>
            </w:r>
          </w:p>
          <w:p w14:paraId="5510256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000000" w:themeColor="text1"/>
                <w:sz w:val="24"/>
                <w:highlight w:val="none"/>
                <w14:textFill>
                  <w14:solidFill>
                    <w14:schemeClr w14:val="tx1"/>
                  </w14:solidFill>
                </w14:textFill>
              </w:rPr>
            </w:pPr>
            <w:r>
              <w:rPr>
                <w:color w:val="000000" w:themeColor="text1"/>
                <w:sz w:val="21"/>
                <w:highlight w:val="none"/>
                <w14:textFill>
                  <w14:solidFill>
                    <w14:schemeClr w14:val="tx1"/>
                  </w14:solidFill>
                </w14:textFill>
              </w:rPr>
              <mc:AlternateContent>
                <mc:Choice Requires="wps">
                  <w:drawing>
                    <wp:anchor distT="0" distB="0" distL="114300" distR="114300" simplePos="0" relativeHeight="251673600" behindDoc="0" locked="0" layoutInCell="1" allowOverlap="1">
                      <wp:simplePos x="0" y="0"/>
                      <wp:positionH relativeFrom="column">
                        <wp:posOffset>137160</wp:posOffset>
                      </wp:positionH>
                      <wp:positionV relativeFrom="paragraph">
                        <wp:posOffset>1911350</wp:posOffset>
                      </wp:positionV>
                      <wp:extent cx="1310640" cy="31115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310640" cy="3111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06C36E">
                                  <w:pPr>
                                    <w:rPr>
                                      <w:rFonts w:hint="default" w:eastAsia="宋体"/>
                                      <w:color w:val="0000FF"/>
                                      <w:lang w:val="en-US" w:eastAsia="zh-CN"/>
                                    </w:rPr>
                                  </w:pPr>
                                  <w:r>
                                    <w:rPr>
                                      <w:rFonts w:hint="eastAsia"/>
                                      <w:color w:val="0000FF"/>
                                      <w:lang w:val="en-US" w:eastAsia="zh-CN"/>
                                    </w:rPr>
                                    <w:t>本项目所在地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8pt;margin-top:150.5pt;height:24.5pt;width:103.2pt;z-index:251673600;mso-width-relative:page;mso-height-relative:page;" filled="f" stroked="f" coordsize="21600,21600" o:gfxdata="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TMR3nNoAAAAKAQAADwAAAAAAAAABACAAAAAiAAAAZHJz&#10;L2Rvd25yZXYueG1sUEsBAhQAFAAAAAgAh07iQPqqZyI7AgAAaAQAAA4AAAAAAAAAAQAgAAAAKQEA&#10;AGRycy9lMm9Eb2MueG1sUEsFBgAAAAAGAAYAWQEAANYFAAAAAA==&#10;">
                      <v:fill on="f" focussize="0,0"/>
                      <v:stroke on="f" weight="0.5pt"/>
                      <v:imagedata o:title=""/>
                      <o:lock v:ext="edit" aspectratio="f"/>
                      <v:textbox>
                        <w:txbxContent>
                          <w:p w14:paraId="4606C36E">
                            <w:pPr>
                              <w:rPr>
                                <w:rFonts w:hint="default" w:eastAsia="宋体"/>
                                <w:color w:val="0000FF"/>
                                <w:lang w:val="en-US" w:eastAsia="zh-CN"/>
                              </w:rPr>
                            </w:pPr>
                            <w:r>
                              <w:rPr>
                                <w:rFonts w:hint="eastAsia"/>
                                <w:color w:val="0000FF"/>
                                <w:lang w:val="en-US" w:eastAsia="zh-CN"/>
                              </w:rPr>
                              <w:t>本项目所在地</w:t>
                            </w:r>
                          </w:p>
                        </w:txbxContent>
                      </v:textbox>
                    </v:shape>
                  </w:pict>
                </mc:Fallback>
              </mc:AlternateContent>
            </w:r>
            <w:r>
              <w:rPr>
                <w:color w:val="000000" w:themeColor="text1"/>
                <w:highlight w:val="none"/>
                <w14:textFill>
                  <w14:solidFill>
                    <w14:schemeClr w14:val="tx1"/>
                  </w14:solidFill>
                </w14:textFill>
              </w:rPr>
              <w:drawing>
                <wp:inline distT="0" distB="0" distL="114300" distR="114300">
                  <wp:extent cx="4410710" cy="2555875"/>
                  <wp:effectExtent l="0" t="0" r="8890" b="15875"/>
                  <wp:docPr id="3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5"/>
                          <pic:cNvPicPr>
                            <a:picLocks noChangeAspect="1"/>
                          </pic:cNvPicPr>
                        </pic:nvPicPr>
                        <pic:blipFill>
                          <a:blip r:embed="rId13"/>
                          <a:stretch>
                            <a:fillRect/>
                          </a:stretch>
                        </pic:blipFill>
                        <pic:spPr>
                          <a:xfrm>
                            <a:off x="0" y="0"/>
                            <a:ext cx="4410710" cy="2555875"/>
                          </a:xfrm>
                          <a:prstGeom prst="rect">
                            <a:avLst/>
                          </a:prstGeom>
                          <a:noFill/>
                          <a:ln>
                            <a:noFill/>
                          </a:ln>
                        </pic:spPr>
                      </pic:pic>
                    </a:graphicData>
                  </a:graphic>
                </wp:inline>
              </w:drawing>
            </w:r>
          </w:p>
          <w:p w14:paraId="63BF5E0A">
            <w:pPr>
              <w:adjustRightInd w:val="0"/>
              <w:snapToGrid w:val="0"/>
              <w:spacing w:line="440" w:lineRule="exact"/>
              <w:ind w:firstLine="482" w:firstLineChars="200"/>
              <w:jc w:val="center"/>
              <w:rPr>
                <w:rFonts w:hint="eastAsia"/>
                <w:b/>
                <w:bCs/>
                <w:color w:val="000000" w:themeColor="text1"/>
                <w:sz w:val="24"/>
                <w:highlight w:val="none"/>
                <w:lang w:val="en-US" w:eastAsia="zh-CN"/>
                <w14:textFill>
                  <w14:solidFill>
                    <w14:schemeClr w14:val="tx1"/>
                  </w14:solidFill>
                </w14:textFill>
              </w:rPr>
            </w:pPr>
            <w:r>
              <w:rPr>
                <w:rFonts w:hint="eastAsia"/>
                <w:b/>
                <w:bCs/>
                <w:color w:val="000000" w:themeColor="text1"/>
                <w:sz w:val="24"/>
                <w:highlight w:val="none"/>
                <w14:textFill>
                  <w14:solidFill>
                    <w14:schemeClr w14:val="tx1"/>
                  </w14:solidFill>
                </w14:textFill>
              </w:rPr>
              <w:t>图</w:t>
            </w:r>
            <w:r>
              <w:rPr>
                <w:rFonts w:hint="eastAsia"/>
                <w:b/>
                <w:bCs/>
                <w:color w:val="000000" w:themeColor="text1"/>
                <w:sz w:val="24"/>
                <w:highlight w:val="none"/>
                <w:lang w:val="en-US" w:eastAsia="zh-CN"/>
                <w14:textFill>
                  <w14:solidFill>
                    <w14:schemeClr w14:val="tx1"/>
                  </w14:solidFill>
                </w14:textFill>
              </w:rPr>
              <w:t>1-2  本项目与江苏南京上秦淮省级湿地公园位置示意图</w:t>
            </w:r>
          </w:p>
        </w:tc>
      </w:tr>
      <w:tr w14:paraId="11FAE5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29" w:hRule="atLeast"/>
          <w:jc w:val="center"/>
        </w:trPr>
        <w:tc>
          <w:tcPr>
            <w:tcW w:w="1159" w:type="dxa"/>
            <w:vAlign w:val="center"/>
          </w:tcPr>
          <w:p w14:paraId="0E853CB2">
            <w:pPr>
              <w:autoSpaceDE w:val="0"/>
              <w:autoSpaceDN w:val="0"/>
              <w:adjustRightInd w:val="0"/>
              <w:snapToGrid w:val="0"/>
              <w:spacing w:line="440" w:lineRule="exact"/>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其他符合性分析</w:t>
            </w:r>
          </w:p>
        </w:tc>
        <w:tc>
          <w:tcPr>
            <w:tcW w:w="7711" w:type="dxa"/>
            <w:gridSpan w:val="3"/>
            <w:vAlign w:val="center"/>
          </w:tcPr>
          <w:p w14:paraId="4E0A3C30">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②与</w:t>
            </w:r>
            <w:r>
              <w:rPr>
                <w:rFonts w:hint="eastAsia"/>
                <w:color w:val="000000" w:themeColor="text1"/>
                <w:sz w:val="24"/>
                <w:highlight w:val="none"/>
                <w14:textFill>
                  <w14:solidFill>
                    <w14:schemeClr w14:val="tx1"/>
                  </w14:solidFill>
                </w14:textFill>
              </w:rPr>
              <w:t>《江苏省2023年度生态环境分区管控动态更新成果》</w:t>
            </w:r>
            <w:r>
              <w:rPr>
                <w:color w:val="000000" w:themeColor="text1"/>
                <w:sz w:val="24"/>
                <w:highlight w:val="none"/>
                <w14:textFill>
                  <w14:solidFill>
                    <w14:schemeClr w14:val="tx1"/>
                  </w14:solidFill>
                </w14:textFill>
              </w:rPr>
              <w:t>相符性分析</w:t>
            </w:r>
          </w:p>
          <w:p w14:paraId="567838A4">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本项目位于</w:t>
            </w:r>
            <w:r>
              <w:rPr>
                <w:rFonts w:hint="eastAsia"/>
                <w:color w:val="000000" w:themeColor="text1"/>
                <w:sz w:val="24"/>
                <w:highlight w:val="none"/>
                <w:lang w:eastAsia="zh-CN"/>
                <w14:textFill>
                  <w14:solidFill>
                    <w14:schemeClr w14:val="tx1"/>
                  </w14:solidFill>
                </w14:textFill>
              </w:rPr>
              <w:t>南京市江宁区禄口街道蓝天路218号</w:t>
            </w:r>
            <w:r>
              <w:rPr>
                <w:color w:val="000000" w:themeColor="text1"/>
                <w:sz w:val="24"/>
                <w:highlight w:val="none"/>
                <w14:textFill>
                  <w14:solidFill>
                    <w14:schemeClr w14:val="tx1"/>
                  </w14:solidFill>
                </w14:textFill>
              </w:rPr>
              <w:t>，对照</w:t>
            </w:r>
            <w:r>
              <w:rPr>
                <w:rFonts w:hint="eastAsia"/>
                <w:color w:val="000000" w:themeColor="text1"/>
                <w:sz w:val="24"/>
                <w:highlight w:val="none"/>
                <w14:textFill>
                  <w14:solidFill>
                    <w14:schemeClr w14:val="tx1"/>
                  </w14:solidFill>
                </w14:textFill>
              </w:rPr>
              <w:t>《江苏省2023年度生态环境分区管控动态更新成果》</w:t>
            </w:r>
            <w:r>
              <w:rPr>
                <w:color w:val="000000" w:themeColor="text1"/>
                <w:sz w:val="24"/>
                <w:highlight w:val="none"/>
                <w14:textFill>
                  <w14:solidFill>
                    <w14:schemeClr w14:val="tx1"/>
                  </w14:solidFill>
                </w14:textFill>
              </w:rPr>
              <w:t>可知，属于长江流域，其管控要求与本项目的相符性分析见下表。</w:t>
            </w:r>
          </w:p>
          <w:p w14:paraId="0531F231">
            <w:pPr>
              <w:pStyle w:val="126"/>
              <w:numPr>
                <w:ilvl w:val="0"/>
                <w:numId w:val="0"/>
              </w:numPr>
              <w:spacing w:line="440" w:lineRule="exac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表1-</w:t>
            </w:r>
            <w:r>
              <w:rPr>
                <w:rFonts w:hint="eastAsia"/>
                <w:color w:val="000000" w:themeColor="text1"/>
                <w:sz w:val="24"/>
                <w:highlight w:val="none"/>
                <w:lang w:val="en-US" w:eastAsia="zh-CN"/>
                <w14:textFill>
                  <w14:solidFill>
                    <w14:schemeClr w14:val="tx1"/>
                  </w14:solidFill>
                </w14:textFill>
              </w:rPr>
              <w:t xml:space="preserve">7  </w:t>
            </w:r>
            <w:r>
              <w:rPr>
                <w:color w:val="000000" w:themeColor="text1"/>
                <w:sz w:val="24"/>
                <w:highlight w:val="none"/>
                <w14:textFill>
                  <w14:solidFill>
                    <w14:schemeClr w14:val="tx1"/>
                  </w14:solidFill>
                </w14:textFill>
              </w:rPr>
              <w:t>与</w:t>
            </w:r>
            <w:r>
              <w:rPr>
                <w:rFonts w:hint="eastAsia"/>
                <w:color w:val="000000" w:themeColor="text1"/>
                <w:sz w:val="24"/>
                <w:highlight w:val="none"/>
                <w14:textFill>
                  <w14:solidFill>
                    <w14:schemeClr w14:val="tx1"/>
                  </w14:solidFill>
                </w14:textFill>
              </w:rPr>
              <w:t>《江苏省2023年度生态环境分区管控动态更新成果》</w:t>
            </w:r>
            <w:r>
              <w:rPr>
                <w:color w:val="000000" w:themeColor="text1"/>
                <w:sz w:val="24"/>
                <w:highlight w:val="none"/>
                <w14:textFill>
                  <w14:solidFill>
                    <w14:schemeClr w14:val="tx1"/>
                  </w14:solidFill>
                </w14:textFill>
              </w:rPr>
              <w:t>相符性</w:t>
            </w:r>
          </w:p>
          <w:tbl>
            <w:tblPr>
              <w:tblStyle w:val="38"/>
              <w:tblW w:w="507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Layout w:type="fixed"/>
              <w:tblCellMar>
                <w:top w:w="0" w:type="dxa"/>
                <w:left w:w="108" w:type="dxa"/>
                <w:bottom w:w="0" w:type="dxa"/>
                <w:right w:w="108" w:type="dxa"/>
              </w:tblCellMar>
            </w:tblPr>
            <w:tblGrid>
              <w:gridCol w:w="870"/>
              <w:gridCol w:w="2"/>
              <w:gridCol w:w="3406"/>
              <w:gridCol w:w="4"/>
              <w:gridCol w:w="2643"/>
              <w:gridCol w:w="5"/>
              <w:gridCol w:w="649"/>
              <w:gridCol w:w="33"/>
            </w:tblGrid>
            <w:tr w14:paraId="57DF593A">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gridAfter w:val="1"/>
                <w:wAfter w:w="21" w:type="pct"/>
                <w:trHeight w:val="545" w:hRule="atLeast"/>
              </w:trPr>
              <w:tc>
                <w:tcPr>
                  <w:tcW w:w="571" w:type="pct"/>
                  <w:tcBorders>
                    <w:tl2br w:val="nil"/>
                    <w:tr2bl w:val="nil"/>
                  </w:tcBorders>
                  <w:vAlign w:val="center"/>
                </w:tcPr>
                <w:p w14:paraId="409AD360">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管控</w:t>
                  </w:r>
                </w:p>
                <w:p w14:paraId="599B1B96">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类别</w:t>
                  </w:r>
                </w:p>
              </w:tc>
              <w:tc>
                <w:tcPr>
                  <w:tcW w:w="2238" w:type="pct"/>
                  <w:gridSpan w:val="2"/>
                  <w:tcBorders>
                    <w:tl2br w:val="nil"/>
                    <w:tr2bl w:val="nil"/>
                  </w:tcBorders>
                  <w:vAlign w:val="center"/>
                </w:tcPr>
                <w:p w14:paraId="75B55604">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项目管控</w:t>
                  </w:r>
                </w:p>
              </w:tc>
              <w:tc>
                <w:tcPr>
                  <w:tcW w:w="1738" w:type="pct"/>
                  <w:gridSpan w:val="2"/>
                  <w:tcBorders>
                    <w:tl2br w:val="nil"/>
                    <w:tr2bl w:val="nil"/>
                  </w:tcBorders>
                  <w:vAlign w:val="center"/>
                </w:tcPr>
                <w:p w14:paraId="03D30144">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本项目情况</w:t>
                  </w:r>
                </w:p>
              </w:tc>
              <w:tc>
                <w:tcPr>
                  <w:tcW w:w="429" w:type="pct"/>
                  <w:gridSpan w:val="2"/>
                  <w:tcBorders>
                    <w:tl2br w:val="nil"/>
                    <w:tr2bl w:val="nil"/>
                  </w:tcBorders>
                  <w:vAlign w:val="center"/>
                </w:tcPr>
                <w:p w14:paraId="7C1B6435">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相符性</w:t>
                  </w:r>
                </w:p>
              </w:tc>
            </w:tr>
            <w:tr w14:paraId="664D8AE5">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247" w:hRule="atLeast"/>
              </w:trPr>
              <w:tc>
                <w:tcPr>
                  <w:tcW w:w="5000" w:type="pct"/>
                  <w:gridSpan w:val="8"/>
                  <w:tcBorders>
                    <w:tl2br w:val="nil"/>
                    <w:tr2bl w:val="nil"/>
                  </w:tcBorders>
                  <w:vAlign w:val="center"/>
                </w:tcPr>
                <w:p w14:paraId="1AF62FB0">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长江流域</w:t>
                  </w:r>
                </w:p>
              </w:tc>
            </w:tr>
            <w:tr w14:paraId="52DBDE58">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247" w:hRule="atLeast"/>
              </w:trPr>
              <w:tc>
                <w:tcPr>
                  <w:tcW w:w="572" w:type="pct"/>
                  <w:gridSpan w:val="2"/>
                  <w:vMerge w:val="restart"/>
                  <w:tcBorders>
                    <w:tl2br w:val="nil"/>
                    <w:tr2bl w:val="nil"/>
                  </w:tcBorders>
                  <w:vAlign w:val="center"/>
                </w:tcPr>
                <w:p w14:paraId="5879EE46">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空间布局约束</w:t>
                  </w:r>
                </w:p>
              </w:tc>
              <w:tc>
                <w:tcPr>
                  <w:tcW w:w="2239" w:type="pct"/>
                  <w:gridSpan w:val="2"/>
                  <w:tcBorders>
                    <w:tl2br w:val="nil"/>
                    <w:tr2bl w:val="nil"/>
                  </w:tcBorders>
                  <w:vAlign w:val="center"/>
                </w:tcPr>
                <w:p w14:paraId="52804475">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1.始终把长江生态修复放在首位，坚持共抓大保护、不搞大开发，引导长江流域产业转型升级和布局优化调整，实现科学发展、有序发展、高质量发展。</w:t>
                  </w:r>
                </w:p>
              </w:tc>
              <w:tc>
                <w:tcPr>
                  <w:tcW w:w="1739" w:type="pct"/>
                  <w:gridSpan w:val="2"/>
                  <w:tcBorders>
                    <w:tl2br w:val="nil"/>
                    <w:tr2bl w:val="nil"/>
                  </w:tcBorders>
                  <w:vAlign w:val="center"/>
                </w:tcPr>
                <w:p w14:paraId="02478FA9">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本项目不在生态保护红线范围内，不占用生态空间，不占用农业用地。</w:t>
                  </w:r>
                </w:p>
              </w:tc>
              <w:tc>
                <w:tcPr>
                  <w:tcW w:w="447" w:type="pct"/>
                  <w:gridSpan w:val="2"/>
                  <w:tcBorders>
                    <w:tl2br w:val="nil"/>
                    <w:tr2bl w:val="nil"/>
                  </w:tcBorders>
                  <w:vAlign w:val="center"/>
                </w:tcPr>
                <w:p w14:paraId="07E301B9">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相符</w:t>
                  </w:r>
                </w:p>
              </w:tc>
            </w:tr>
            <w:tr w14:paraId="0E0D1F3F">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247" w:hRule="atLeast"/>
              </w:trPr>
              <w:tc>
                <w:tcPr>
                  <w:tcW w:w="572" w:type="pct"/>
                  <w:gridSpan w:val="2"/>
                  <w:vMerge w:val="continue"/>
                  <w:tcBorders>
                    <w:tl2br w:val="nil"/>
                    <w:tr2bl w:val="nil"/>
                  </w:tcBorders>
                  <w:vAlign w:val="center"/>
                </w:tcPr>
                <w:p w14:paraId="6C63C900">
                  <w:pPr>
                    <w:snapToGrid w:val="0"/>
                    <w:spacing w:line="240" w:lineRule="exact"/>
                    <w:jc w:val="center"/>
                    <w:rPr>
                      <w:color w:val="000000" w:themeColor="text1"/>
                      <w:szCs w:val="21"/>
                      <w:highlight w:val="none"/>
                      <w:lang w:val="zh-CN"/>
                      <w14:textFill>
                        <w14:solidFill>
                          <w14:schemeClr w14:val="tx1"/>
                        </w14:solidFill>
                      </w14:textFill>
                    </w:rPr>
                  </w:pPr>
                </w:p>
              </w:tc>
              <w:tc>
                <w:tcPr>
                  <w:tcW w:w="2239" w:type="pct"/>
                  <w:gridSpan w:val="2"/>
                  <w:tcBorders>
                    <w:tl2br w:val="nil"/>
                    <w:tr2bl w:val="nil"/>
                  </w:tcBorders>
                  <w:vAlign w:val="center"/>
                </w:tcPr>
                <w:p w14:paraId="14C5E7BC">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加强生态空间保护，禁止在国家确定的生态保护红线和永久基本农田范围内，投资建设除国家重大战略资源勘查项目、生态保护修复和地质灾害治理项目、重大基础设施项目、军事国防项目以及农民基本生产生活等必要的民生项目以外的项目。</w:t>
                  </w:r>
                </w:p>
              </w:tc>
              <w:tc>
                <w:tcPr>
                  <w:tcW w:w="1739" w:type="pct"/>
                  <w:gridSpan w:val="2"/>
                  <w:tcBorders>
                    <w:tl2br w:val="nil"/>
                    <w:tr2bl w:val="nil"/>
                  </w:tcBorders>
                  <w:vAlign w:val="center"/>
                </w:tcPr>
                <w:p w14:paraId="5079179F">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本项目位于</w:t>
                  </w:r>
                  <w:r>
                    <w:rPr>
                      <w:rFonts w:hint="eastAsia"/>
                      <w:color w:val="000000" w:themeColor="text1"/>
                      <w:szCs w:val="21"/>
                      <w:highlight w:val="none"/>
                      <w:lang w:eastAsia="zh-CN"/>
                      <w14:textFill>
                        <w14:solidFill>
                          <w14:schemeClr w14:val="tx1"/>
                        </w14:solidFill>
                      </w14:textFill>
                    </w:rPr>
                    <w:t>南京市江宁区禄口街道蓝天路218号</w:t>
                  </w:r>
                  <w:r>
                    <w:rPr>
                      <w:color w:val="000000" w:themeColor="text1"/>
                      <w:szCs w:val="21"/>
                      <w:highlight w:val="none"/>
                      <w14:textFill>
                        <w14:solidFill>
                          <w14:schemeClr w14:val="tx1"/>
                        </w14:solidFill>
                      </w14:textFill>
                    </w:rPr>
                    <w:t>，不在生态保护红线和永久基本农田范围内。</w:t>
                  </w:r>
                </w:p>
              </w:tc>
              <w:tc>
                <w:tcPr>
                  <w:tcW w:w="447" w:type="pct"/>
                  <w:gridSpan w:val="2"/>
                  <w:tcBorders>
                    <w:tl2br w:val="nil"/>
                    <w:tr2bl w:val="nil"/>
                  </w:tcBorders>
                  <w:vAlign w:val="center"/>
                </w:tcPr>
                <w:p w14:paraId="7A0987F2">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相符</w:t>
                  </w:r>
                </w:p>
              </w:tc>
            </w:tr>
            <w:tr w14:paraId="117DC31E">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90" w:hRule="atLeast"/>
              </w:trPr>
              <w:tc>
                <w:tcPr>
                  <w:tcW w:w="572" w:type="pct"/>
                  <w:gridSpan w:val="2"/>
                  <w:vMerge w:val="continue"/>
                  <w:tcBorders>
                    <w:tl2br w:val="nil"/>
                    <w:tr2bl w:val="nil"/>
                  </w:tcBorders>
                  <w:vAlign w:val="center"/>
                </w:tcPr>
                <w:p w14:paraId="10AD173F">
                  <w:pPr>
                    <w:snapToGrid w:val="0"/>
                    <w:spacing w:line="240" w:lineRule="exact"/>
                    <w:jc w:val="center"/>
                    <w:rPr>
                      <w:color w:val="000000" w:themeColor="text1"/>
                      <w:szCs w:val="21"/>
                      <w:highlight w:val="none"/>
                      <w:lang w:val="zh-CN"/>
                      <w14:textFill>
                        <w14:solidFill>
                          <w14:schemeClr w14:val="tx1"/>
                        </w14:solidFill>
                      </w14:textFill>
                    </w:rPr>
                  </w:pPr>
                </w:p>
              </w:tc>
              <w:tc>
                <w:tcPr>
                  <w:tcW w:w="2239" w:type="pct"/>
                  <w:gridSpan w:val="2"/>
                  <w:tcBorders>
                    <w:tl2br w:val="nil"/>
                    <w:tr2bl w:val="nil"/>
                  </w:tcBorders>
                  <w:vAlign w:val="center"/>
                </w:tcPr>
                <w:p w14:paraId="4EE9E120">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3.禁止在沿江地区新建或扩建化学工业园区，禁止新建或扩建以大宗进口油气资源为原料的石油加工、石油化工、基础有机无机化工、煤化工项目；禁止在长江干流和主要支流岸线</w:t>
                  </w:r>
                  <w:r>
                    <w:rPr>
                      <w:rFonts w:hint="eastAsia"/>
                      <w:color w:val="000000" w:themeColor="text1"/>
                      <w:szCs w:val="21"/>
                      <w:highlight w:val="none"/>
                      <w:lang w:val="en-US" w:eastAsia="zh-CN"/>
                      <w14:textFill>
                        <w14:solidFill>
                          <w14:schemeClr w14:val="tx1"/>
                        </w14:solidFill>
                      </w14:textFill>
                    </w:rPr>
                    <w:t>1</w:t>
                  </w:r>
                  <w:r>
                    <w:rPr>
                      <w:color w:val="000000" w:themeColor="text1"/>
                      <w:szCs w:val="21"/>
                      <w:highlight w:val="none"/>
                      <w14:textFill>
                        <w14:solidFill>
                          <w14:schemeClr w14:val="tx1"/>
                        </w14:solidFill>
                      </w14:textFill>
                    </w:rPr>
                    <w:t>公里范围内新建危化品码头。</w:t>
                  </w:r>
                </w:p>
              </w:tc>
              <w:tc>
                <w:tcPr>
                  <w:tcW w:w="1739" w:type="pct"/>
                  <w:gridSpan w:val="2"/>
                  <w:tcBorders>
                    <w:tl2br w:val="nil"/>
                    <w:tr2bl w:val="nil"/>
                  </w:tcBorders>
                  <w:vAlign w:val="center"/>
                </w:tcPr>
                <w:p w14:paraId="147F98B8">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本项目不属于上述石油加工、石油化工、基础有机无机化工、煤化工项目。</w:t>
                  </w:r>
                </w:p>
              </w:tc>
              <w:tc>
                <w:tcPr>
                  <w:tcW w:w="447" w:type="pct"/>
                  <w:gridSpan w:val="2"/>
                  <w:tcBorders>
                    <w:tl2br w:val="nil"/>
                    <w:tr2bl w:val="nil"/>
                  </w:tcBorders>
                  <w:vAlign w:val="center"/>
                </w:tcPr>
                <w:p w14:paraId="4638425D">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相符</w:t>
                  </w:r>
                </w:p>
              </w:tc>
            </w:tr>
            <w:tr w14:paraId="26F99B07">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247" w:hRule="atLeast"/>
              </w:trPr>
              <w:tc>
                <w:tcPr>
                  <w:tcW w:w="572" w:type="pct"/>
                  <w:gridSpan w:val="2"/>
                  <w:vMerge w:val="continue"/>
                  <w:tcBorders>
                    <w:tl2br w:val="nil"/>
                    <w:tr2bl w:val="nil"/>
                  </w:tcBorders>
                  <w:vAlign w:val="center"/>
                </w:tcPr>
                <w:p w14:paraId="4CA6ECB3">
                  <w:pPr>
                    <w:snapToGrid w:val="0"/>
                    <w:spacing w:line="240" w:lineRule="exact"/>
                    <w:jc w:val="center"/>
                    <w:rPr>
                      <w:color w:val="000000" w:themeColor="text1"/>
                      <w:szCs w:val="21"/>
                      <w:highlight w:val="none"/>
                      <w:lang w:val="zh-CN"/>
                      <w14:textFill>
                        <w14:solidFill>
                          <w14:schemeClr w14:val="tx1"/>
                        </w14:solidFill>
                      </w14:textFill>
                    </w:rPr>
                  </w:pPr>
                </w:p>
              </w:tc>
              <w:tc>
                <w:tcPr>
                  <w:tcW w:w="2239" w:type="pct"/>
                  <w:gridSpan w:val="2"/>
                  <w:tcBorders>
                    <w:tl2br w:val="nil"/>
                    <w:tr2bl w:val="nil"/>
                  </w:tcBorders>
                  <w:vAlign w:val="center"/>
                </w:tcPr>
                <w:p w14:paraId="1DECEA69">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4.强化港口布局优化，禁止建设不符合国家港口布局规划和《江苏省沿江沿海港口布局规划（2015</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w:t>
                  </w: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0年）》《江苏省内河港口布局规划（2017</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2035年）》的码头项目，禁止建设未纳入《长江干线过江通道布局规划》的过江干线通道项目。</w:t>
                  </w:r>
                </w:p>
              </w:tc>
              <w:tc>
                <w:tcPr>
                  <w:tcW w:w="1739" w:type="pct"/>
                  <w:gridSpan w:val="2"/>
                  <w:tcBorders>
                    <w:tl2br w:val="nil"/>
                    <w:tr2bl w:val="nil"/>
                  </w:tcBorders>
                  <w:vAlign w:val="center"/>
                </w:tcPr>
                <w:p w14:paraId="54E967E0">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本项目不属于码头项目，不属于过江干线通道项目。</w:t>
                  </w:r>
                </w:p>
              </w:tc>
              <w:tc>
                <w:tcPr>
                  <w:tcW w:w="447" w:type="pct"/>
                  <w:gridSpan w:val="2"/>
                  <w:tcBorders>
                    <w:tl2br w:val="nil"/>
                    <w:tr2bl w:val="nil"/>
                  </w:tcBorders>
                  <w:vAlign w:val="center"/>
                </w:tcPr>
                <w:p w14:paraId="2650901F">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相符</w:t>
                  </w:r>
                </w:p>
              </w:tc>
            </w:tr>
            <w:tr w14:paraId="1FAD8531">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247" w:hRule="atLeast"/>
              </w:trPr>
              <w:tc>
                <w:tcPr>
                  <w:tcW w:w="572" w:type="pct"/>
                  <w:gridSpan w:val="2"/>
                  <w:vMerge w:val="continue"/>
                  <w:tcBorders>
                    <w:tl2br w:val="nil"/>
                    <w:tr2bl w:val="nil"/>
                  </w:tcBorders>
                  <w:vAlign w:val="center"/>
                </w:tcPr>
                <w:p w14:paraId="70561F4A">
                  <w:pPr>
                    <w:snapToGrid w:val="0"/>
                    <w:spacing w:line="240" w:lineRule="exact"/>
                    <w:jc w:val="center"/>
                    <w:rPr>
                      <w:color w:val="000000" w:themeColor="text1"/>
                      <w:szCs w:val="21"/>
                      <w:highlight w:val="none"/>
                      <w:lang w:val="zh-CN"/>
                      <w14:textFill>
                        <w14:solidFill>
                          <w14:schemeClr w14:val="tx1"/>
                        </w14:solidFill>
                      </w14:textFill>
                    </w:rPr>
                  </w:pPr>
                </w:p>
              </w:tc>
              <w:tc>
                <w:tcPr>
                  <w:tcW w:w="2239" w:type="pct"/>
                  <w:gridSpan w:val="2"/>
                  <w:tcBorders>
                    <w:tl2br w:val="nil"/>
                    <w:tr2bl w:val="nil"/>
                  </w:tcBorders>
                  <w:vAlign w:val="center"/>
                </w:tcPr>
                <w:p w14:paraId="18994FC9">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5.禁止新建独立焦化项目。</w:t>
                  </w:r>
                </w:p>
              </w:tc>
              <w:tc>
                <w:tcPr>
                  <w:tcW w:w="1739" w:type="pct"/>
                  <w:gridSpan w:val="2"/>
                  <w:tcBorders>
                    <w:tl2br w:val="nil"/>
                    <w:tr2bl w:val="nil"/>
                  </w:tcBorders>
                  <w:vAlign w:val="center"/>
                </w:tcPr>
                <w:p w14:paraId="373B5904">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本项目不属于焦化项目。</w:t>
                  </w:r>
                </w:p>
              </w:tc>
              <w:tc>
                <w:tcPr>
                  <w:tcW w:w="447" w:type="pct"/>
                  <w:gridSpan w:val="2"/>
                  <w:tcBorders>
                    <w:tl2br w:val="nil"/>
                    <w:tr2bl w:val="nil"/>
                  </w:tcBorders>
                  <w:vAlign w:val="center"/>
                </w:tcPr>
                <w:p w14:paraId="568D7E5C">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相符</w:t>
                  </w:r>
                </w:p>
              </w:tc>
            </w:tr>
            <w:tr w14:paraId="37AAF5E7">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247" w:hRule="atLeast"/>
              </w:trPr>
              <w:tc>
                <w:tcPr>
                  <w:tcW w:w="572" w:type="pct"/>
                  <w:gridSpan w:val="2"/>
                  <w:vMerge w:val="restart"/>
                  <w:tcBorders>
                    <w:tl2br w:val="nil"/>
                    <w:tr2bl w:val="nil"/>
                  </w:tcBorders>
                  <w:vAlign w:val="center"/>
                </w:tcPr>
                <w:p w14:paraId="71EDE641">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污染物排放管控</w:t>
                  </w:r>
                </w:p>
              </w:tc>
              <w:tc>
                <w:tcPr>
                  <w:tcW w:w="2239" w:type="pct"/>
                  <w:gridSpan w:val="2"/>
                  <w:tcBorders>
                    <w:tl2br w:val="nil"/>
                    <w:tr2bl w:val="nil"/>
                  </w:tcBorders>
                  <w:vAlign w:val="center"/>
                </w:tcPr>
                <w:p w14:paraId="1B882995">
                  <w:pPr>
                    <w:snapToGrid w:val="0"/>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1.</w:t>
                  </w:r>
                  <w:r>
                    <w:rPr>
                      <w:color w:val="000000" w:themeColor="text1"/>
                      <w:szCs w:val="21"/>
                      <w:highlight w:val="none"/>
                      <w14:textFill>
                        <w14:solidFill>
                          <w14:schemeClr w14:val="tx1"/>
                        </w14:solidFill>
                      </w14:textFill>
                    </w:rPr>
                    <w:t>根据《江苏省长江水污染防治条例》实施污染物总量控制制度。</w:t>
                  </w:r>
                </w:p>
              </w:tc>
              <w:tc>
                <w:tcPr>
                  <w:tcW w:w="1739" w:type="pct"/>
                  <w:gridSpan w:val="2"/>
                  <w:tcBorders>
                    <w:tl2br w:val="nil"/>
                    <w:tr2bl w:val="nil"/>
                  </w:tcBorders>
                  <w:vAlign w:val="center"/>
                </w:tcPr>
                <w:p w14:paraId="46184DEE">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本项目将严格执行污染物总量控制制度；</w:t>
                  </w:r>
                </w:p>
              </w:tc>
              <w:tc>
                <w:tcPr>
                  <w:tcW w:w="447" w:type="pct"/>
                  <w:gridSpan w:val="2"/>
                  <w:tcBorders>
                    <w:tl2br w:val="nil"/>
                    <w:tr2bl w:val="nil"/>
                  </w:tcBorders>
                  <w:vAlign w:val="center"/>
                </w:tcPr>
                <w:p w14:paraId="43D55026">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相符</w:t>
                  </w:r>
                </w:p>
              </w:tc>
            </w:tr>
            <w:tr w14:paraId="11E9D888">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247" w:hRule="atLeast"/>
              </w:trPr>
              <w:tc>
                <w:tcPr>
                  <w:tcW w:w="572" w:type="pct"/>
                  <w:gridSpan w:val="2"/>
                  <w:vMerge w:val="continue"/>
                  <w:tcBorders>
                    <w:tl2br w:val="nil"/>
                    <w:tr2bl w:val="nil"/>
                  </w:tcBorders>
                  <w:vAlign w:val="center"/>
                </w:tcPr>
                <w:p w14:paraId="1F7F514D">
                  <w:pPr>
                    <w:snapToGrid w:val="0"/>
                    <w:spacing w:line="240" w:lineRule="exact"/>
                    <w:jc w:val="center"/>
                    <w:rPr>
                      <w:color w:val="000000" w:themeColor="text1"/>
                      <w:szCs w:val="21"/>
                      <w:highlight w:val="none"/>
                      <w:lang w:val="zh-CN"/>
                      <w14:textFill>
                        <w14:solidFill>
                          <w14:schemeClr w14:val="tx1"/>
                        </w14:solidFill>
                      </w14:textFill>
                    </w:rPr>
                  </w:pPr>
                </w:p>
              </w:tc>
              <w:tc>
                <w:tcPr>
                  <w:tcW w:w="2239" w:type="pct"/>
                  <w:gridSpan w:val="2"/>
                  <w:tcBorders>
                    <w:tl2br w:val="nil"/>
                    <w:tr2bl w:val="nil"/>
                  </w:tcBorders>
                  <w:vAlign w:val="center"/>
                </w:tcPr>
                <w:p w14:paraId="7C8FC809">
                  <w:pPr>
                    <w:snapToGrid w:val="0"/>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2.</w:t>
                  </w:r>
                  <w:r>
                    <w:rPr>
                      <w:color w:val="000000" w:themeColor="text1"/>
                      <w:szCs w:val="21"/>
                      <w:highlight w:val="none"/>
                      <w14:textFill>
                        <w14:solidFill>
                          <w14:schemeClr w14:val="tx1"/>
                        </w14:solidFill>
                      </w14:textFill>
                    </w:rPr>
                    <w:t>全面加强和规范长江入河排污口管理，有效管控入河污染物排放，形成权责清晰、监控到位、管理规范的长江入河排污口监管体系，加快改善长江水环境质量。</w:t>
                  </w:r>
                </w:p>
              </w:tc>
              <w:tc>
                <w:tcPr>
                  <w:tcW w:w="1739" w:type="pct"/>
                  <w:gridSpan w:val="2"/>
                  <w:tcBorders>
                    <w:tl2br w:val="nil"/>
                    <w:tr2bl w:val="nil"/>
                  </w:tcBorders>
                  <w:vAlign w:val="center"/>
                </w:tcPr>
                <w:p w14:paraId="63656277">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本项目不涉及长江入河排污口。</w:t>
                  </w:r>
                </w:p>
              </w:tc>
              <w:tc>
                <w:tcPr>
                  <w:tcW w:w="447" w:type="pct"/>
                  <w:gridSpan w:val="2"/>
                  <w:tcBorders>
                    <w:tl2br w:val="nil"/>
                    <w:tr2bl w:val="nil"/>
                  </w:tcBorders>
                  <w:vAlign w:val="center"/>
                </w:tcPr>
                <w:p w14:paraId="10EE23E1">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相符</w:t>
                  </w:r>
                </w:p>
              </w:tc>
            </w:tr>
            <w:tr w14:paraId="79666225">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257" w:hRule="atLeast"/>
              </w:trPr>
              <w:tc>
                <w:tcPr>
                  <w:tcW w:w="572" w:type="pct"/>
                  <w:gridSpan w:val="2"/>
                  <w:tcBorders>
                    <w:tl2br w:val="nil"/>
                    <w:tr2bl w:val="nil"/>
                  </w:tcBorders>
                  <w:vAlign w:val="center"/>
                </w:tcPr>
                <w:p w14:paraId="105505F0">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环境风险防控</w:t>
                  </w:r>
                </w:p>
              </w:tc>
              <w:tc>
                <w:tcPr>
                  <w:tcW w:w="2239" w:type="pct"/>
                  <w:gridSpan w:val="2"/>
                  <w:tcBorders>
                    <w:tl2br w:val="nil"/>
                    <w:tr2bl w:val="nil"/>
                  </w:tcBorders>
                  <w:vAlign w:val="center"/>
                </w:tcPr>
                <w:p w14:paraId="1515A6D8">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防范沿江环境风险。深化沿江石化、化工、医药、纺织、印染、化纤、危化品和石油类仓储、涉重金属和危险废物处置等重点企业环境风险防控</w:t>
                  </w:r>
                  <w:r>
                    <w:rPr>
                      <w:color w:val="000000" w:themeColor="text1"/>
                      <w:szCs w:val="21"/>
                      <w:highlight w:val="none"/>
                      <w14:textFill>
                        <w14:solidFill>
                          <w14:schemeClr w14:val="tx1"/>
                        </w14:solidFill>
                      </w14:textFill>
                    </w:rPr>
                    <w:t>。</w:t>
                  </w:r>
                </w:p>
              </w:tc>
              <w:tc>
                <w:tcPr>
                  <w:tcW w:w="1739" w:type="pct"/>
                  <w:gridSpan w:val="2"/>
                  <w:tcBorders>
                    <w:tl2br w:val="nil"/>
                    <w:tr2bl w:val="nil"/>
                  </w:tcBorders>
                  <w:vAlign w:val="center"/>
                </w:tcPr>
                <w:p w14:paraId="265EC781">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本项目实施后，建议建设单位制定风险防范措施，编制完善突发环境事件应急预案。</w:t>
                  </w:r>
                </w:p>
              </w:tc>
              <w:tc>
                <w:tcPr>
                  <w:tcW w:w="447" w:type="pct"/>
                  <w:gridSpan w:val="2"/>
                  <w:tcBorders>
                    <w:tl2br w:val="nil"/>
                    <w:tr2bl w:val="nil"/>
                  </w:tcBorders>
                  <w:vAlign w:val="center"/>
                </w:tcPr>
                <w:p w14:paraId="4B21D367">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相符</w:t>
                  </w:r>
                </w:p>
              </w:tc>
            </w:tr>
          </w:tbl>
          <w:p w14:paraId="79435C3F">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因此</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本项目符合《江苏省2023年度生态环境分区管控动态更新成果》的要求。</w:t>
            </w:r>
          </w:p>
          <w:p w14:paraId="0CCF158B">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③与</w:t>
            </w:r>
            <w:r>
              <w:rPr>
                <w:rFonts w:hint="eastAsia"/>
                <w:color w:val="000000" w:themeColor="text1"/>
                <w:sz w:val="24"/>
                <w:highlight w:val="none"/>
                <w14:textFill>
                  <w14:solidFill>
                    <w14:schemeClr w14:val="tx1"/>
                  </w14:solidFill>
                </w14:textFill>
              </w:rPr>
              <w:t>《南京市生态环境分区管控实施方案》（2024年更新版）</w:t>
            </w:r>
            <w:r>
              <w:rPr>
                <w:color w:val="000000" w:themeColor="text1"/>
                <w:sz w:val="24"/>
                <w:highlight w:val="none"/>
                <w14:textFill>
                  <w14:solidFill>
                    <w14:schemeClr w14:val="tx1"/>
                  </w14:solidFill>
                </w14:textFill>
              </w:rPr>
              <w:t>相符性分析</w:t>
            </w:r>
          </w:p>
          <w:p w14:paraId="321C8F87">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本项目位于</w:t>
            </w:r>
            <w:r>
              <w:rPr>
                <w:rFonts w:hint="eastAsia"/>
                <w:color w:val="000000" w:themeColor="text1"/>
                <w:sz w:val="24"/>
                <w:highlight w:val="none"/>
                <w:lang w:eastAsia="zh-CN"/>
                <w14:textFill>
                  <w14:solidFill>
                    <w14:schemeClr w14:val="tx1"/>
                  </w14:solidFill>
                </w14:textFill>
              </w:rPr>
              <w:t>南京市江宁区禄口街道蓝天路218号</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根据《</w:t>
            </w:r>
            <w:r>
              <w:rPr>
                <w:color w:val="000000" w:themeColor="text1"/>
                <w:sz w:val="24"/>
                <w:highlight w:val="none"/>
                <w14:textFill>
                  <w14:solidFill>
                    <w14:schemeClr w14:val="tx1"/>
                  </w14:solidFill>
                </w14:textFill>
              </w:rPr>
              <w:t>江苏省生态环境分区管控综合查询报告书</w:t>
            </w:r>
            <w:r>
              <w:rPr>
                <w:rFonts w:hint="eastAsia"/>
                <w:color w:val="000000" w:themeColor="text1"/>
                <w:sz w:val="24"/>
                <w:highlight w:val="none"/>
                <w14:textFill>
                  <w14:solidFill>
                    <w14:schemeClr w14:val="tx1"/>
                  </w14:solidFill>
                </w14:textFill>
              </w:rPr>
              <w:t>》（见</w:t>
            </w:r>
            <w:r>
              <w:rPr>
                <w:rFonts w:hint="eastAsia"/>
                <w:color w:val="000000" w:themeColor="text1"/>
                <w:sz w:val="24"/>
                <w:highlight w:val="none"/>
                <w:lang w:eastAsia="zh-CN"/>
                <w14:textFill>
                  <w14:solidFill>
                    <w14:schemeClr w14:val="tx1"/>
                  </w14:solidFill>
                </w14:textFill>
              </w:rPr>
              <w:t>附件5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属于南京江宁经济技术开发区，对照</w:t>
            </w:r>
            <w:r>
              <w:rPr>
                <w:rFonts w:hint="eastAsia"/>
                <w:color w:val="000000" w:themeColor="text1"/>
                <w:sz w:val="24"/>
                <w:highlight w:val="none"/>
                <w14:textFill>
                  <w14:solidFill>
                    <w14:schemeClr w14:val="tx1"/>
                  </w14:solidFill>
                </w14:textFill>
              </w:rPr>
              <w:t>《南京市生态环境分区管控实施方案》（2024年更新版）</w:t>
            </w:r>
            <w:r>
              <w:rPr>
                <w:color w:val="000000" w:themeColor="text1"/>
                <w:sz w:val="24"/>
                <w:highlight w:val="none"/>
                <w14:textFill>
                  <w14:solidFill>
                    <w14:schemeClr w14:val="tx1"/>
                  </w14:solidFill>
                </w14:textFill>
              </w:rPr>
              <w:t>可知，南京江宁经济技术开发区属于重点管控单元，其重点管控要求与本项目的相符性分析见下表。</w:t>
            </w:r>
          </w:p>
          <w:p w14:paraId="369ADC1F">
            <w:pPr>
              <w:pStyle w:val="126"/>
              <w:numPr>
                <w:ilvl w:val="0"/>
                <w:numId w:val="0"/>
              </w:numPr>
              <w:spacing w:line="440" w:lineRule="exac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表1-</w:t>
            </w:r>
            <w:r>
              <w:rPr>
                <w:rFonts w:hint="eastAsia"/>
                <w:color w:val="000000" w:themeColor="text1"/>
                <w:sz w:val="24"/>
                <w:highlight w:val="none"/>
                <w:lang w:val="en-US" w:eastAsia="zh-CN"/>
                <w14:textFill>
                  <w14:solidFill>
                    <w14:schemeClr w14:val="tx1"/>
                  </w14:solidFill>
                </w14:textFill>
              </w:rPr>
              <w:t xml:space="preserve">8  </w:t>
            </w:r>
            <w:r>
              <w:rPr>
                <w:color w:val="000000" w:themeColor="text1"/>
                <w:sz w:val="24"/>
                <w:highlight w:val="none"/>
                <w14:textFill>
                  <w14:solidFill>
                    <w14:schemeClr w14:val="tx1"/>
                  </w14:solidFill>
                </w14:textFill>
              </w:rPr>
              <w:t>与《南京市生态环境分区管控实施方案》相符性分析</w:t>
            </w:r>
          </w:p>
          <w:tbl>
            <w:tblPr>
              <w:tblStyle w:val="38"/>
              <w:tblW w:w="499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42"/>
              <w:gridCol w:w="3651"/>
              <w:gridCol w:w="1983"/>
              <w:gridCol w:w="816"/>
            </w:tblGrid>
            <w:tr w14:paraId="696C7F9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5" w:type="pct"/>
                  <w:tcBorders>
                    <w:top w:val="single" w:color="auto" w:sz="12" w:space="0"/>
                    <w:bottom w:val="single" w:color="auto" w:sz="6" w:space="0"/>
                    <w:right w:val="single" w:color="auto" w:sz="6" w:space="0"/>
                  </w:tcBorders>
                  <w:vAlign w:val="center"/>
                </w:tcPr>
                <w:p w14:paraId="36141CCD">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生态环境准入清单</w:t>
                  </w:r>
                </w:p>
              </w:tc>
              <w:tc>
                <w:tcPr>
                  <w:tcW w:w="2436" w:type="pct"/>
                  <w:tcBorders>
                    <w:top w:val="single" w:color="auto" w:sz="12" w:space="0"/>
                    <w:left w:val="single" w:color="auto" w:sz="6" w:space="0"/>
                    <w:bottom w:val="single" w:color="auto" w:sz="6" w:space="0"/>
                    <w:right w:val="single" w:color="auto" w:sz="6" w:space="0"/>
                  </w:tcBorders>
                  <w:vAlign w:val="center"/>
                </w:tcPr>
                <w:p w14:paraId="13916C00">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项目管控</w:t>
                  </w:r>
                </w:p>
              </w:tc>
              <w:tc>
                <w:tcPr>
                  <w:tcW w:w="1323" w:type="pct"/>
                  <w:tcBorders>
                    <w:top w:val="single" w:color="auto" w:sz="12" w:space="0"/>
                    <w:left w:val="single" w:color="auto" w:sz="6" w:space="0"/>
                    <w:bottom w:val="single" w:color="auto" w:sz="6" w:space="0"/>
                    <w:right w:val="single" w:color="auto" w:sz="6" w:space="0"/>
                  </w:tcBorders>
                  <w:vAlign w:val="center"/>
                </w:tcPr>
                <w:p w14:paraId="62A03101">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本项目情况</w:t>
                  </w:r>
                </w:p>
              </w:tc>
              <w:tc>
                <w:tcPr>
                  <w:tcW w:w="544" w:type="pct"/>
                  <w:tcBorders>
                    <w:top w:val="single" w:color="auto" w:sz="12" w:space="0"/>
                    <w:left w:val="single" w:color="auto" w:sz="6" w:space="0"/>
                    <w:bottom w:val="single" w:color="auto" w:sz="6" w:space="0"/>
                  </w:tcBorders>
                  <w:vAlign w:val="center"/>
                </w:tcPr>
                <w:p w14:paraId="741E5922">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相符性</w:t>
                  </w:r>
                </w:p>
              </w:tc>
            </w:tr>
            <w:tr w14:paraId="6A3191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5" w:type="pct"/>
                  <w:vMerge w:val="restart"/>
                  <w:tcBorders>
                    <w:top w:val="single" w:color="auto" w:sz="6" w:space="0"/>
                    <w:right w:val="single" w:color="auto" w:sz="6" w:space="0"/>
                  </w:tcBorders>
                  <w:vAlign w:val="center"/>
                </w:tcPr>
                <w:p w14:paraId="36A2F543">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空间布局约束</w:t>
                  </w:r>
                </w:p>
              </w:tc>
              <w:tc>
                <w:tcPr>
                  <w:tcW w:w="2436" w:type="pct"/>
                  <w:tcBorders>
                    <w:top w:val="single" w:color="auto" w:sz="6" w:space="0"/>
                    <w:left w:val="single" w:color="auto" w:sz="6" w:space="0"/>
                    <w:bottom w:val="single" w:color="auto" w:sz="6" w:space="0"/>
                    <w:right w:val="single" w:color="auto" w:sz="6" w:space="0"/>
                  </w:tcBorders>
                  <w:vAlign w:val="center"/>
                </w:tcPr>
                <w:p w14:paraId="12D978D7">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（1）执行规划和规划环评及其审查意见相关要求</w:t>
                  </w:r>
                </w:p>
              </w:tc>
              <w:tc>
                <w:tcPr>
                  <w:tcW w:w="1323" w:type="pct"/>
                  <w:tcBorders>
                    <w:top w:val="single" w:color="auto" w:sz="6" w:space="0"/>
                    <w:left w:val="single" w:color="auto" w:sz="6" w:space="0"/>
                    <w:bottom w:val="single" w:color="auto" w:sz="6" w:space="0"/>
                    <w:right w:val="single" w:color="auto" w:sz="6" w:space="0"/>
                  </w:tcBorders>
                  <w:vAlign w:val="center"/>
                </w:tcPr>
                <w:p w14:paraId="0DD67266">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经分析，本项目符合园区规划、规划环评及审查意见的相关要求。</w:t>
                  </w:r>
                </w:p>
              </w:tc>
              <w:tc>
                <w:tcPr>
                  <w:tcW w:w="544" w:type="pct"/>
                  <w:tcBorders>
                    <w:top w:val="single" w:color="auto" w:sz="6" w:space="0"/>
                    <w:left w:val="single" w:color="auto" w:sz="6" w:space="0"/>
                    <w:bottom w:val="single" w:color="auto" w:sz="6" w:space="0"/>
                  </w:tcBorders>
                  <w:vAlign w:val="center"/>
                </w:tcPr>
                <w:p w14:paraId="6E717794">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相符</w:t>
                  </w:r>
                </w:p>
              </w:tc>
            </w:tr>
            <w:tr w14:paraId="77B3F4D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5" w:type="pct"/>
                  <w:vMerge w:val="continue"/>
                  <w:tcBorders>
                    <w:right w:val="single" w:color="auto" w:sz="6" w:space="0"/>
                  </w:tcBorders>
                  <w:vAlign w:val="center"/>
                </w:tcPr>
                <w:p w14:paraId="11E3F94F">
                  <w:pPr>
                    <w:snapToGrid w:val="0"/>
                    <w:spacing w:line="240" w:lineRule="exact"/>
                    <w:jc w:val="center"/>
                    <w:rPr>
                      <w:color w:val="000000" w:themeColor="text1"/>
                      <w:szCs w:val="21"/>
                      <w:highlight w:val="none"/>
                      <w:lang w:val="zh-CN"/>
                      <w14:textFill>
                        <w14:solidFill>
                          <w14:schemeClr w14:val="tx1"/>
                        </w14:solidFill>
                      </w14:textFill>
                    </w:rPr>
                  </w:pPr>
                </w:p>
              </w:tc>
              <w:tc>
                <w:tcPr>
                  <w:tcW w:w="2436" w:type="pct"/>
                  <w:tcBorders>
                    <w:top w:val="single" w:color="auto" w:sz="6" w:space="0"/>
                    <w:left w:val="single" w:color="auto" w:sz="6" w:space="0"/>
                    <w:bottom w:val="single" w:color="auto" w:sz="6" w:space="0"/>
                    <w:right w:val="single" w:color="auto" w:sz="6" w:space="0"/>
                  </w:tcBorders>
                  <w:vAlign w:val="center"/>
                </w:tcPr>
                <w:p w14:paraId="64BA3E32">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（2）优先引入：生物医药、新能源、节能环保、新材料、智能电网、绿色智能汽车、新一代信息技术、高端智能制造装备、轨道交通产业、航空制造及临空高科技产业</w:t>
                  </w:r>
                </w:p>
              </w:tc>
              <w:tc>
                <w:tcPr>
                  <w:tcW w:w="1323" w:type="pct"/>
                  <w:tcBorders>
                    <w:top w:val="single" w:color="auto" w:sz="6" w:space="0"/>
                    <w:left w:val="single" w:color="auto" w:sz="6" w:space="0"/>
                    <w:bottom w:val="single" w:color="auto" w:sz="6" w:space="0"/>
                    <w:right w:val="single" w:color="auto" w:sz="6" w:space="0"/>
                  </w:tcBorders>
                  <w:vAlign w:val="center"/>
                </w:tcPr>
                <w:p w14:paraId="4EBBEF58">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本项目不属于优先引入</w:t>
                  </w:r>
                  <w:r>
                    <w:rPr>
                      <w:rFonts w:hint="eastAsia"/>
                      <w:color w:val="000000" w:themeColor="text1"/>
                      <w:szCs w:val="21"/>
                      <w:highlight w:val="none"/>
                      <w14:textFill>
                        <w14:solidFill>
                          <w14:schemeClr w14:val="tx1"/>
                        </w14:solidFill>
                      </w14:textFill>
                    </w:rPr>
                    <w:t>产业</w:t>
                  </w:r>
                  <w:r>
                    <w:rPr>
                      <w:color w:val="000000" w:themeColor="text1"/>
                      <w:szCs w:val="21"/>
                      <w:highlight w:val="none"/>
                      <w:lang w:val="zh-CN"/>
                      <w14:textFill>
                        <w14:solidFill>
                          <w14:schemeClr w14:val="tx1"/>
                        </w14:solidFill>
                      </w14:textFill>
                    </w:rPr>
                    <w:t>。</w:t>
                  </w:r>
                </w:p>
              </w:tc>
              <w:tc>
                <w:tcPr>
                  <w:tcW w:w="544" w:type="pct"/>
                  <w:tcBorders>
                    <w:top w:val="single" w:color="auto" w:sz="6" w:space="0"/>
                    <w:left w:val="single" w:color="auto" w:sz="6" w:space="0"/>
                    <w:bottom w:val="single" w:color="auto" w:sz="6" w:space="0"/>
                  </w:tcBorders>
                  <w:vAlign w:val="center"/>
                </w:tcPr>
                <w:p w14:paraId="19786516">
                  <w:pPr>
                    <w:snapToGrid w:val="0"/>
                    <w:spacing w:line="240" w:lineRule="exact"/>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r>
            <w:tr w14:paraId="7C0565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5" w:type="pct"/>
                  <w:vMerge w:val="continue"/>
                  <w:tcBorders>
                    <w:right w:val="single" w:color="auto" w:sz="6" w:space="0"/>
                  </w:tcBorders>
                  <w:vAlign w:val="center"/>
                </w:tcPr>
                <w:p w14:paraId="2E728228">
                  <w:pPr>
                    <w:snapToGrid w:val="0"/>
                    <w:spacing w:line="240" w:lineRule="exact"/>
                    <w:jc w:val="center"/>
                    <w:rPr>
                      <w:color w:val="000000" w:themeColor="text1"/>
                      <w:szCs w:val="21"/>
                      <w:highlight w:val="none"/>
                      <w:lang w:val="zh-CN"/>
                      <w14:textFill>
                        <w14:solidFill>
                          <w14:schemeClr w14:val="tx1"/>
                        </w14:solidFill>
                      </w14:textFill>
                    </w:rPr>
                  </w:pPr>
                </w:p>
              </w:tc>
              <w:tc>
                <w:tcPr>
                  <w:tcW w:w="2436" w:type="pct"/>
                  <w:tcBorders>
                    <w:top w:val="single" w:color="auto" w:sz="6" w:space="0"/>
                    <w:left w:val="single" w:color="auto" w:sz="6" w:space="0"/>
                    <w:bottom w:val="single" w:color="auto" w:sz="6" w:space="0"/>
                    <w:right w:val="single" w:color="auto" w:sz="6" w:space="0"/>
                  </w:tcBorders>
                  <w:vAlign w:val="center"/>
                </w:tcPr>
                <w:p w14:paraId="5FAC923A">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（3）禁止引入：</w:t>
                  </w:r>
                </w:p>
                <w:p w14:paraId="388730A5">
                  <w:pPr>
                    <w:numPr>
                      <w:ilvl w:val="255"/>
                      <w:numId w:val="0"/>
                    </w:num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总体要求：新（扩）建酿造、制革等水污染重的项目；新（扩）建排放含汞、砷、镉、铬、铅重金属废水的项目和持久性有机污染物的项目；建设生产和使用VOCs含量限值不符合国家标准的涂料、油墨、胶粘剂、清洗剂等建设项目（工艺及产品质量要求使用不可替代的除外）。</w:t>
                  </w:r>
                </w:p>
                <w:p w14:paraId="0E5C53D4">
                  <w:pPr>
                    <w:numPr>
                      <w:ilvl w:val="255"/>
                      <w:numId w:val="0"/>
                    </w:num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生物医药产业：建设使用P3、P4实验室（除符合国家生物安全实验室体系规划的项目）。</w:t>
                  </w:r>
                </w:p>
                <w:p w14:paraId="6DE3992F">
                  <w:pPr>
                    <w:numPr>
                      <w:ilvl w:val="255"/>
                      <w:numId w:val="0"/>
                    </w:num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新材料产业：新增化工新材料项目。</w:t>
                  </w:r>
                </w:p>
                <w:p w14:paraId="4897DCC0">
                  <w:pPr>
                    <w:numPr>
                      <w:ilvl w:val="255"/>
                      <w:numId w:val="0"/>
                    </w:num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新能源产业：污染严重的太阳能光伏产业上游企业（单晶、多晶硅棒生产）。</w:t>
                  </w:r>
                </w:p>
                <w:p w14:paraId="0446E3AB">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智能电网产业：含铅焊接工艺项目。绿色智能汽车：4档以下机械式车用自动变速箱</w:t>
                  </w:r>
                </w:p>
              </w:tc>
              <w:tc>
                <w:tcPr>
                  <w:tcW w:w="1323" w:type="pct"/>
                  <w:tcBorders>
                    <w:top w:val="single" w:color="auto" w:sz="6" w:space="0"/>
                    <w:left w:val="single" w:color="auto" w:sz="6" w:space="0"/>
                    <w:bottom w:val="single" w:color="auto" w:sz="6" w:space="0"/>
                    <w:right w:val="single" w:color="auto" w:sz="6" w:space="0"/>
                  </w:tcBorders>
                  <w:vAlign w:val="center"/>
                </w:tcPr>
                <w:p w14:paraId="7491BBD7">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本项目不属于禁止引入。</w:t>
                  </w:r>
                </w:p>
              </w:tc>
              <w:tc>
                <w:tcPr>
                  <w:tcW w:w="544" w:type="pct"/>
                  <w:tcBorders>
                    <w:top w:val="single" w:color="auto" w:sz="6" w:space="0"/>
                    <w:left w:val="single" w:color="auto" w:sz="6" w:space="0"/>
                    <w:bottom w:val="single" w:color="auto" w:sz="6" w:space="0"/>
                  </w:tcBorders>
                  <w:vAlign w:val="center"/>
                </w:tcPr>
                <w:p w14:paraId="325F9ADF">
                  <w:pPr>
                    <w:snapToGrid w:val="0"/>
                    <w:spacing w:line="240" w:lineRule="exact"/>
                    <w:jc w:val="center"/>
                    <w:rPr>
                      <w:rFonts w:hint="eastAsia" w:eastAsia="宋体"/>
                      <w:color w:val="000000" w:themeColor="text1"/>
                      <w:szCs w:val="21"/>
                      <w:highlight w:val="none"/>
                      <w:lang w:val="zh-CN"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r>
            <w:tr w14:paraId="63DE330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5" w:type="pct"/>
                  <w:vMerge w:val="continue"/>
                  <w:tcBorders>
                    <w:right w:val="single" w:color="auto" w:sz="6" w:space="0"/>
                  </w:tcBorders>
                  <w:vAlign w:val="center"/>
                </w:tcPr>
                <w:p w14:paraId="0774A5D5">
                  <w:pPr>
                    <w:snapToGrid w:val="0"/>
                    <w:spacing w:line="240" w:lineRule="exact"/>
                    <w:jc w:val="center"/>
                    <w:rPr>
                      <w:color w:val="000000" w:themeColor="text1"/>
                      <w:szCs w:val="21"/>
                      <w:highlight w:val="none"/>
                      <w:lang w:val="zh-CN"/>
                      <w14:textFill>
                        <w14:solidFill>
                          <w14:schemeClr w14:val="tx1"/>
                        </w14:solidFill>
                      </w14:textFill>
                    </w:rPr>
                  </w:pPr>
                </w:p>
              </w:tc>
              <w:tc>
                <w:tcPr>
                  <w:tcW w:w="2436" w:type="pct"/>
                  <w:tcBorders>
                    <w:top w:val="single" w:color="auto" w:sz="6" w:space="0"/>
                    <w:left w:val="single" w:color="auto" w:sz="6" w:space="0"/>
                    <w:bottom w:val="single" w:color="auto" w:sz="6" w:space="0"/>
                    <w:right w:val="single" w:color="auto" w:sz="6" w:space="0"/>
                  </w:tcBorders>
                  <w:vAlign w:val="center"/>
                </w:tcPr>
                <w:p w14:paraId="0BAF26A4">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（4）生态防护空间：邻近生活区的工业用地，禁止引进废气污染物排放量大、无组织污染严重的项目，距离居住用地100m范围内不布置含喷涂、酸洗等排放异味气体的生产工序和危化品仓库</w:t>
                  </w:r>
                </w:p>
              </w:tc>
              <w:tc>
                <w:tcPr>
                  <w:tcW w:w="1323" w:type="pct"/>
                  <w:tcBorders>
                    <w:top w:val="single" w:color="auto" w:sz="6" w:space="0"/>
                    <w:left w:val="single" w:color="auto" w:sz="6" w:space="0"/>
                    <w:bottom w:val="single" w:color="auto" w:sz="6" w:space="0"/>
                    <w:right w:val="single" w:color="auto" w:sz="6" w:space="0"/>
                  </w:tcBorders>
                  <w:vAlign w:val="center"/>
                </w:tcPr>
                <w:p w14:paraId="667F8F51">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本项目不属于废气污染物排放量大、无组织污染严重的项目，</w:t>
                  </w:r>
                  <w:r>
                    <w:rPr>
                      <w:rFonts w:hint="eastAsia"/>
                      <w:color w:val="000000" w:themeColor="text1"/>
                      <w:szCs w:val="21"/>
                      <w:highlight w:val="none"/>
                      <w:lang w:val="zh-CN"/>
                      <w14:textFill>
                        <w14:solidFill>
                          <w14:schemeClr w14:val="tx1"/>
                        </w14:solidFill>
                      </w14:textFill>
                    </w:rPr>
                    <w:t>不布置含喷涂、酸洗等生产工序，排放异味气体的</w:t>
                  </w:r>
                  <w:r>
                    <w:rPr>
                      <w:color w:val="000000" w:themeColor="text1"/>
                      <w:szCs w:val="21"/>
                      <w:highlight w:val="none"/>
                      <w14:textFill>
                        <w14:solidFill>
                          <w14:schemeClr w14:val="tx1"/>
                        </w14:solidFill>
                      </w14:textFill>
                    </w:rPr>
                    <w:t>周边100m范围无</w:t>
                  </w:r>
                  <w:r>
                    <w:rPr>
                      <w:color w:val="000000" w:themeColor="text1"/>
                      <w:szCs w:val="21"/>
                      <w:highlight w:val="none"/>
                      <w:lang w:val="zh-CN"/>
                      <w14:textFill>
                        <w14:solidFill>
                          <w14:schemeClr w14:val="tx1"/>
                        </w14:solidFill>
                      </w14:textFill>
                    </w:rPr>
                    <w:t>居住用地。</w:t>
                  </w:r>
                </w:p>
              </w:tc>
              <w:tc>
                <w:tcPr>
                  <w:tcW w:w="544" w:type="pct"/>
                  <w:tcBorders>
                    <w:top w:val="single" w:color="auto" w:sz="6" w:space="0"/>
                    <w:left w:val="single" w:color="auto" w:sz="6" w:space="0"/>
                    <w:bottom w:val="single" w:color="auto" w:sz="6" w:space="0"/>
                  </w:tcBorders>
                  <w:vAlign w:val="center"/>
                </w:tcPr>
                <w:p w14:paraId="34F967A7">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相符</w:t>
                  </w:r>
                </w:p>
              </w:tc>
            </w:tr>
            <w:tr w14:paraId="685C775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5" w:type="pct"/>
                  <w:vMerge w:val="restart"/>
                  <w:tcBorders>
                    <w:right w:val="single" w:color="auto" w:sz="6" w:space="0"/>
                  </w:tcBorders>
                  <w:vAlign w:val="center"/>
                </w:tcPr>
                <w:p w14:paraId="6B20ACB5">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污染物排放管控</w:t>
                  </w:r>
                </w:p>
              </w:tc>
              <w:tc>
                <w:tcPr>
                  <w:tcW w:w="2436" w:type="pct"/>
                  <w:tcBorders>
                    <w:top w:val="single" w:color="auto" w:sz="6" w:space="0"/>
                    <w:left w:val="single" w:color="auto" w:sz="6" w:space="0"/>
                    <w:bottom w:val="single" w:color="auto" w:sz="6" w:space="0"/>
                    <w:right w:val="single" w:color="auto" w:sz="6" w:space="0"/>
                  </w:tcBorders>
                  <w:vAlign w:val="center"/>
                </w:tcPr>
                <w:p w14:paraId="3CAD96D3">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w:t>
                  </w:r>
                  <w:r>
                    <w:rPr>
                      <w:color w:val="000000" w:themeColor="text1"/>
                      <w:szCs w:val="21"/>
                      <w:highlight w:val="none"/>
                      <w14:textFill>
                        <w14:solidFill>
                          <w14:schemeClr w14:val="tx1"/>
                        </w14:solidFill>
                      </w14:textFill>
                    </w:rPr>
                    <w:t>1</w:t>
                  </w:r>
                  <w:r>
                    <w:rPr>
                      <w:color w:val="000000" w:themeColor="text1"/>
                      <w:szCs w:val="21"/>
                      <w:highlight w:val="none"/>
                      <w:lang w:val="zh-CN"/>
                      <w14:textFill>
                        <w14:solidFill>
                          <w14:schemeClr w14:val="tx1"/>
                        </w14:solidFill>
                      </w14:textFill>
                    </w:rPr>
                    <w:t>）严格实施主要污染物总量控制，采取有效措施，持续减少主要污染物排放总量，确保区域环境质量持续改善</w:t>
                  </w:r>
                </w:p>
              </w:tc>
              <w:tc>
                <w:tcPr>
                  <w:tcW w:w="1323" w:type="pct"/>
                  <w:tcBorders>
                    <w:top w:val="single" w:color="auto" w:sz="6" w:space="0"/>
                    <w:left w:val="single" w:color="auto" w:sz="6" w:space="0"/>
                    <w:bottom w:val="single" w:color="auto" w:sz="6" w:space="0"/>
                    <w:right w:val="single" w:color="auto" w:sz="6" w:space="0"/>
                  </w:tcBorders>
                  <w:vAlign w:val="center"/>
                </w:tcPr>
                <w:p w14:paraId="1253C845">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本项目运营期产生的废气经过废气治理设施</w:t>
                  </w:r>
                  <w:r>
                    <w:rPr>
                      <w:rFonts w:hint="eastAsia"/>
                      <w:color w:val="000000" w:themeColor="text1"/>
                      <w:szCs w:val="21"/>
                      <w:highlight w:val="none"/>
                      <w:lang w:val="zh-CN"/>
                      <w14:textFill>
                        <w14:solidFill>
                          <w14:schemeClr w14:val="tx1"/>
                        </w14:solidFill>
                      </w14:textFill>
                    </w:rPr>
                    <w:t>处理，</w:t>
                  </w:r>
                  <w:r>
                    <w:rPr>
                      <w:color w:val="000000" w:themeColor="text1"/>
                      <w:szCs w:val="21"/>
                      <w:highlight w:val="none"/>
                      <w:lang w:val="zh-CN"/>
                      <w14:textFill>
                        <w14:solidFill>
                          <w14:schemeClr w14:val="tx1"/>
                        </w14:solidFill>
                      </w14:textFill>
                    </w:rPr>
                    <w:t>能够达到相应的大气污染物排放限值要求</w:t>
                  </w:r>
                  <w:r>
                    <w:rPr>
                      <w:rFonts w:hint="eastAsia"/>
                      <w:color w:val="000000" w:themeColor="text1"/>
                      <w:szCs w:val="21"/>
                      <w:highlight w:val="none"/>
                      <w:lang w:val="zh-CN"/>
                      <w14:textFill>
                        <w14:solidFill>
                          <w14:schemeClr w14:val="tx1"/>
                        </w14:solidFill>
                      </w14:textFill>
                    </w:rPr>
                    <w:t>，废气污染物由江宁区大气减排项目平衡</w:t>
                  </w:r>
                  <w:r>
                    <w:rPr>
                      <w:color w:val="000000" w:themeColor="text1"/>
                      <w:szCs w:val="21"/>
                      <w:highlight w:val="none"/>
                      <w:lang w:val="zh-CN"/>
                      <w14:textFill>
                        <w14:solidFill>
                          <w14:schemeClr w14:val="tx1"/>
                        </w14:solidFill>
                      </w14:textFill>
                    </w:rPr>
                    <w:t>；</w:t>
                  </w:r>
                  <w:r>
                    <w:rPr>
                      <w:color w:val="000000" w:themeColor="text1"/>
                      <w:szCs w:val="21"/>
                      <w:highlight w:val="none"/>
                      <w14:textFill>
                        <w14:solidFill>
                          <w14:schemeClr w14:val="tx1"/>
                        </w14:solidFill>
                      </w14:textFill>
                    </w:rPr>
                    <w:t>废水在江宁区水减排项目内平衡；</w:t>
                  </w:r>
                  <w:r>
                    <w:rPr>
                      <w:color w:val="000000" w:themeColor="text1"/>
                      <w:szCs w:val="21"/>
                      <w:highlight w:val="none"/>
                      <w:lang w:val="zh-CN"/>
                      <w14:textFill>
                        <w14:solidFill>
                          <w14:schemeClr w14:val="tx1"/>
                        </w14:solidFill>
                      </w14:textFill>
                    </w:rPr>
                    <w:t>固体废弃物得到妥善处理；项目实施后将严格落实污染物总量控制制度。</w:t>
                  </w:r>
                </w:p>
              </w:tc>
              <w:tc>
                <w:tcPr>
                  <w:tcW w:w="544" w:type="pct"/>
                  <w:tcBorders>
                    <w:top w:val="single" w:color="auto" w:sz="6" w:space="0"/>
                    <w:left w:val="single" w:color="auto" w:sz="6" w:space="0"/>
                    <w:bottom w:val="single" w:color="auto" w:sz="6" w:space="0"/>
                  </w:tcBorders>
                  <w:vAlign w:val="center"/>
                </w:tcPr>
                <w:p w14:paraId="079BED0E">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相符</w:t>
                  </w:r>
                </w:p>
              </w:tc>
            </w:tr>
            <w:tr w14:paraId="2D6F36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5" w:type="pct"/>
                  <w:vMerge w:val="continue"/>
                  <w:tcBorders>
                    <w:right w:val="single" w:color="auto" w:sz="6" w:space="0"/>
                  </w:tcBorders>
                  <w:vAlign w:val="center"/>
                </w:tcPr>
                <w:p w14:paraId="791A950D">
                  <w:pPr>
                    <w:snapToGrid w:val="0"/>
                    <w:spacing w:line="240" w:lineRule="exact"/>
                    <w:jc w:val="center"/>
                    <w:rPr>
                      <w:color w:val="000000" w:themeColor="text1"/>
                      <w:szCs w:val="21"/>
                      <w:highlight w:val="none"/>
                      <w:lang w:val="zh-CN"/>
                      <w14:textFill>
                        <w14:solidFill>
                          <w14:schemeClr w14:val="tx1"/>
                        </w14:solidFill>
                      </w14:textFill>
                    </w:rPr>
                  </w:pPr>
                </w:p>
              </w:tc>
              <w:tc>
                <w:tcPr>
                  <w:tcW w:w="2436" w:type="pct"/>
                  <w:tcBorders>
                    <w:top w:val="single" w:color="auto" w:sz="6" w:space="0"/>
                    <w:left w:val="single" w:color="auto" w:sz="6" w:space="0"/>
                    <w:bottom w:val="single" w:color="auto" w:sz="6" w:space="0"/>
                    <w:right w:val="single" w:color="auto" w:sz="6" w:space="0"/>
                  </w:tcBorders>
                  <w:vAlign w:val="center"/>
                </w:tcPr>
                <w:p w14:paraId="0A1C0C5F">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w:t>
                  </w:r>
                  <w:r>
                    <w:rPr>
                      <w:color w:val="000000" w:themeColor="text1"/>
                      <w:szCs w:val="21"/>
                      <w:highlight w:val="none"/>
                      <w14:textFill>
                        <w14:solidFill>
                          <w14:schemeClr w14:val="tx1"/>
                        </w14:solidFill>
                      </w14:textFill>
                    </w:rPr>
                    <w:t>2</w:t>
                  </w:r>
                  <w:r>
                    <w:rPr>
                      <w:color w:val="000000" w:themeColor="text1"/>
                      <w:szCs w:val="21"/>
                      <w:highlight w:val="none"/>
                      <w:lang w:val="zh-CN"/>
                      <w14:textFill>
                        <w14:solidFill>
                          <w14:schemeClr w14:val="tx1"/>
                        </w14:solidFill>
                      </w14:textFill>
                    </w:rPr>
                    <w:t>）有序推进工业园区开展限值限量管理，实现污染物排放浓度和总量</w:t>
                  </w:r>
                  <w:r>
                    <w:rPr>
                      <w:rFonts w:hint="eastAsia"/>
                      <w:color w:val="000000" w:themeColor="text1"/>
                      <w:szCs w:val="21"/>
                      <w:highlight w:val="none"/>
                      <w:lang w:val="zh-CN"/>
                      <w14:textFill>
                        <w14:solidFill>
                          <w14:schemeClr w14:val="tx1"/>
                        </w14:solidFill>
                      </w14:textFill>
                    </w:rPr>
                    <w:t>“</w:t>
                  </w:r>
                  <w:r>
                    <w:rPr>
                      <w:color w:val="000000" w:themeColor="text1"/>
                      <w:szCs w:val="21"/>
                      <w:highlight w:val="none"/>
                      <w:lang w:val="zh-CN"/>
                      <w14:textFill>
                        <w14:solidFill>
                          <w14:schemeClr w14:val="tx1"/>
                        </w14:solidFill>
                      </w14:textFill>
                    </w:rPr>
                    <w:t>双控</w:t>
                  </w:r>
                  <w:r>
                    <w:rPr>
                      <w:rFonts w:hint="eastAsia"/>
                      <w:color w:val="000000" w:themeColor="text1"/>
                      <w:szCs w:val="21"/>
                      <w:highlight w:val="none"/>
                      <w:lang w:val="zh-CN"/>
                      <w14:textFill>
                        <w14:solidFill>
                          <w14:schemeClr w14:val="tx1"/>
                        </w14:solidFill>
                      </w14:textFill>
                    </w:rPr>
                    <w:t>”</w:t>
                  </w:r>
                </w:p>
              </w:tc>
              <w:tc>
                <w:tcPr>
                  <w:tcW w:w="1323" w:type="pct"/>
                  <w:tcBorders>
                    <w:top w:val="single" w:color="auto" w:sz="6" w:space="0"/>
                    <w:left w:val="single" w:color="auto" w:sz="6" w:space="0"/>
                    <w:bottom w:val="single" w:color="auto" w:sz="6" w:space="0"/>
                    <w:right w:val="single" w:color="auto" w:sz="6" w:space="0"/>
                  </w:tcBorders>
                  <w:vAlign w:val="center"/>
                </w:tcPr>
                <w:p w14:paraId="5E574DA6">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项目实施后将严格落实污染物总量控制制度。</w:t>
                  </w:r>
                </w:p>
              </w:tc>
              <w:tc>
                <w:tcPr>
                  <w:tcW w:w="544" w:type="pct"/>
                  <w:tcBorders>
                    <w:top w:val="single" w:color="auto" w:sz="6" w:space="0"/>
                    <w:left w:val="single" w:color="auto" w:sz="6" w:space="0"/>
                    <w:bottom w:val="single" w:color="auto" w:sz="6" w:space="0"/>
                  </w:tcBorders>
                  <w:vAlign w:val="center"/>
                </w:tcPr>
                <w:p w14:paraId="5529897D">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相符</w:t>
                  </w:r>
                </w:p>
              </w:tc>
            </w:tr>
            <w:tr w14:paraId="25B11D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5" w:type="pct"/>
                  <w:vMerge w:val="continue"/>
                  <w:tcBorders>
                    <w:right w:val="single" w:color="auto" w:sz="6" w:space="0"/>
                  </w:tcBorders>
                  <w:vAlign w:val="center"/>
                </w:tcPr>
                <w:p w14:paraId="0D3D96BE">
                  <w:pPr>
                    <w:snapToGrid w:val="0"/>
                    <w:spacing w:line="240" w:lineRule="exact"/>
                    <w:jc w:val="center"/>
                    <w:rPr>
                      <w:color w:val="000000" w:themeColor="text1"/>
                      <w:szCs w:val="21"/>
                      <w:highlight w:val="none"/>
                      <w:lang w:val="zh-CN"/>
                      <w14:textFill>
                        <w14:solidFill>
                          <w14:schemeClr w14:val="tx1"/>
                        </w14:solidFill>
                      </w14:textFill>
                    </w:rPr>
                  </w:pPr>
                </w:p>
              </w:tc>
              <w:tc>
                <w:tcPr>
                  <w:tcW w:w="2436" w:type="pct"/>
                  <w:tcBorders>
                    <w:top w:val="single" w:color="auto" w:sz="6" w:space="0"/>
                    <w:left w:val="single" w:color="auto" w:sz="6" w:space="0"/>
                    <w:bottom w:val="single" w:color="auto" w:sz="6" w:space="0"/>
                    <w:right w:val="single" w:color="auto" w:sz="6" w:space="0"/>
                  </w:tcBorders>
                  <w:vAlign w:val="center"/>
                </w:tcPr>
                <w:p w14:paraId="3C959236">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w:t>
                  </w:r>
                  <w:r>
                    <w:rPr>
                      <w:color w:val="000000" w:themeColor="text1"/>
                      <w:szCs w:val="21"/>
                      <w:highlight w:val="none"/>
                      <w14:textFill>
                        <w14:solidFill>
                          <w14:schemeClr w14:val="tx1"/>
                        </w14:solidFill>
                      </w14:textFill>
                    </w:rPr>
                    <w:t>3</w:t>
                  </w:r>
                  <w:r>
                    <w:rPr>
                      <w:color w:val="000000" w:themeColor="text1"/>
                      <w:szCs w:val="21"/>
                      <w:highlight w:val="none"/>
                      <w:lang w:val="zh-CN"/>
                      <w14:textFill>
                        <w14:solidFill>
                          <w14:schemeClr w14:val="tx1"/>
                        </w14:solidFill>
                      </w14:textFill>
                    </w:rPr>
                    <w:t>）加强绿色智能汽车产业、电子信息产业、橡胶和塑料制品业以及装备制造业（含高端装备制造）的非甲烷总烃排放控制</w:t>
                  </w:r>
                </w:p>
              </w:tc>
              <w:tc>
                <w:tcPr>
                  <w:tcW w:w="1323" w:type="pct"/>
                  <w:tcBorders>
                    <w:top w:val="single" w:color="auto" w:sz="6" w:space="0"/>
                    <w:left w:val="single" w:color="auto" w:sz="6" w:space="0"/>
                    <w:bottom w:val="single" w:color="auto" w:sz="6" w:space="0"/>
                    <w:right w:val="single" w:color="auto" w:sz="6" w:space="0"/>
                  </w:tcBorders>
                  <w:vAlign w:val="center"/>
                </w:tcPr>
                <w:p w14:paraId="7425B52E">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项目实施将</w:t>
                  </w:r>
                  <w:r>
                    <w:rPr>
                      <w:color w:val="000000" w:themeColor="text1"/>
                      <w:szCs w:val="21"/>
                      <w:highlight w:val="none"/>
                      <w14:textFill>
                        <w14:solidFill>
                          <w14:schemeClr w14:val="tx1"/>
                        </w14:solidFill>
                      </w14:textFill>
                    </w:rPr>
                    <w:t>加强</w:t>
                  </w:r>
                  <w:r>
                    <w:rPr>
                      <w:color w:val="000000" w:themeColor="text1"/>
                      <w:szCs w:val="21"/>
                      <w:highlight w:val="none"/>
                      <w:lang w:val="zh-CN"/>
                      <w14:textFill>
                        <w14:solidFill>
                          <w14:schemeClr w14:val="tx1"/>
                        </w14:solidFill>
                      </w14:textFill>
                    </w:rPr>
                    <w:t>非甲烷总烃排放控制。</w:t>
                  </w:r>
                </w:p>
              </w:tc>
              <w:tc>
                <w:tcPr>
                  <w:tcW w:w="544" w:type="pct"/>
                  <w:tcBorders>
                    <w:top w:val="single" w:color="auto" w:sz="6" w:space="0"/>
                    <w:left w:val="single" w:color="auto" w:sz="6" w:space="0"/>
                    <w:bottom w:val="single" w:color="auto" w:sz="6" w:space="0"/>
                  </w:tcBorders>
                  <w:vAlign w:val="center"/>
                </w:tcPr>
                <w:p w14:paraId="501DFFBA">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相符</w:t>
                  </w:r>
                </w:p>
              </w:tc>
            </w:tr>
            <w:tr w14:paraId="4A67B1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5" w:type="pct"/>
                  <w:vMerge w:val="continue"/>
                  <w:tcBorders>
                    <w:right w:val="single" w:color="auto" w:sz="6" w:space="0"/>
                  </w:tcBorders>
                  <w:vAlign w:val="center"/>
                </w:tcPr>
                <w:p w14:paraId="0DBC14A4">
                  <w:pPr>
                    <w:snapToGrid w:val="0"/>
                    <w:spacing w:line="240" w:lineRule="exact"/>
                    <w:jc w:val="center"/>
                    <w:rPr>
                      <w:color w:val="000000" w:themeColor="text1"/>
                      <w:szCs w:val="21"/>
                      <w:highlight w:val="none"/>
                      <w:lang w:val="zh-CN"/>
                      <w14:textFill>
                        <w14:solidFill>
                          <w14:schemeClr w14:val="tx1"/>
                        </w14:solidFill>
                      </w14:textFill>
                    </w:rPr>
                  </w:pPr>
                </w:p>
              </w:tc>
              <w:tc>
                <w:tcPr>
                  <w:tcW w:w="2436" w:type="pct"/>
                  <w:tcBorders>
                    <w:top w:val="single" w:color="auto" w:sz="6" w:space="0"/>
                    <w:left w:val="single" w:color="auto" w:sz="6" w:space="0"/>
                    <w:bottom w:val="single" w:color="auto" w:sz="6" w:space="0"/>
                    <w:right w:val="single" w:color="auto" w:sz="6" w:space="0"/>
                  </w:tcBorders>
                  <w:vAlign w:val="center"/>
                </w:tcPr>
                <w:p w14:paraId="6F70FACB">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w:t>
                  </w:r>
                  <w:r>
                    <w:rPr>
                      <w:color w:val="000000" w:themeColor="text1"/>
                      <w:szCs w:val="21"/>
                      <w:highlight w:val="none"/>
                      <w14:textFill>
                        <w14:solidFill>
                          <w14:schemeClr w14:val="tx1"/>
                        </w14:solidFill>
                      </w14:textFill>
                    </w:rPr>
                    <w:t>4</w:t>
                  </w:r>
                  <w:r>
                    <w:rPr>
                      <w:color w:val="000000" w:themeColor="text1"/>
                      <w:szCs w:val="21"/>
                      <w:highlight w:val="none"/>
                      <w:lang w:val="zh-CN"/>
                      <w14:textFill>
                        <w14:solidFill>
                          <w14:schemeClr w14:val="tx1"/>
                        </w14:solidFill>
                      </w14:textFill>
                    </w:rPr>
                    <w:t>）严格执行重金属污染物排放管控要求</w:t>
                  </w:r>
                </w:p>
              </w:tc>
              <w:tc>
                <w:tcPr>
                  <w:tcW w:w="1323" w:type="pct"/>
                  <w:tcBorders>
                    <w:top w:val="single" w:color="auto" w:sz="6" w:space="0"/>
                    <w:left w:val="single" w:color="auto" w:sz="6" w:space="0"/>
                    <w:bottom w:val="single" w:color="auto" w:sz="6" w:space="0"/>
                    <w:right w:val="single" w:color="auto" w:sz="6" w:space="0"/>
                  </w:tcBorders>
                  <w:vAlign w:val="center"/>
                </w:tcPr>
                <w:p w14:paraId="308A5AE4">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企业不涉及</w:t>
                  </w:r>
                  <w:r>
                    <w:rPr>
                      <w:color w:val="000000" w:themeColor="text1"/>
                      <w:szCs w:val="21"/>
                      <w:highlight w:val="none"/>
                      <w:lang w:val="zh-CN"/>
                      <w14:textFill>
                        <w14:solidFill>
                          <w14:schemeClr w14:val="tx1"/>
                        </w14:solidFill>
                      </w14:textFill>
                    </w:rPr>
                    <w:t>重金属污染物排放。</w:t>
                  </w:r>
                </w:p>
              </w:tc>
              <w:tc>
                <w:tcPr>
                  <w:tcW w:w="544" w:type="pct"/>
                  <w:tcBorders>
                    <w:top w:val="single" w:color="auto" w:sz="6" w:space="0"/>
                    <w:left w:val="single" w:color="auto" w:sz="6" w:space="0"/>
                    <w:bottom w:val="single" w:color="auto" w:sz="6" w:space="0"/>
                  </w:tcBorders>
                  <w:vAlign w:val="center"/>
                </w:tcPr>
                <w:p w14:paraId="4A17FFC6">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相符</w:t>
                  </w:r>
                </w:p>
              </w:tc>
            </w:tr>
            <w:tr w14:paraId="51CC05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5" w:type="pct"/>
                  <w:tcBorders>
                    <w:right w:val="single" w:color="auto" w:sz="6" w:space="0"/>
                  </w:tcBorders>
                  <w:vAlign w:val="center"/>
                </w:tcPr>
                <w:p w14:paraId="3A5A612F">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环境风险防控</w:t>
                  </w:r>
                </w:p>
              </w:tc>
              <w:tc>
                <w:tcPr>
                  <w:tcW w:w="2436" w:type="pct"/>
                  <w:tcBorders>
                    <w:top w:val="single" w:color="auto" w:sz="6" w:space="0"/>
                    <w:left w:val="single" w:color="auto" w:sz="6" w:space="0"/>
                    <w:bottom w:val="single" w:color="auto" w:sz="6" w:space="0"/>
                    <w:right w:val="single" w:color="auto" w:sz="6" w:space="0"/>
                  </w:tcBorders>
                  <w:vAlign w:val="center"/>
                </w:tcPr>
                <w:p w14:paraId="1C71CE38">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（1）建立监测应急体系，建设省市区上下联动、区域之间左右联动等联动应急响应体系，实行联动防控。</w:t>
                  </w:r>
                </w:p>
                <w:p w14:paraId="26F4B25F">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（2）生产、使用、储存危险化学品或其他存在环境风险的企事业单位，制定风险防范措施，编制完善突发环境事件应急预案。</w:t>
                  </w:r>
                </w:p>
                <w:p w14:paraId="1D62F8CF">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（3）加强环境影响跟踪监测，建立健全各环境要素监控体系，完善并落实园区日常环境监测与污染源监控计划。</w:t>
                  </w:r>
                </w:p>
                <w:p w14:paraId="31EBB13C">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（4）邻近重要湿地等生态红线区域的工业用地，加强入区企业跑冒滴漏管理，设置符合规范的事故应急池，确保企业废水不排入上述敏感区域</w:t>
                  </w:r>
                </w:p>
              </w:tc>
              <w:tc>
                <w:tcPr>
                  <w:tcW w:w="1323" w:type="pct"/>
                  <w:tcBorders>
                    <w:top w:val="single" w:color="auto" w:sz="6" w:space="0"/>
                    <w:left w:val="single" w:color="auto" w:sz="6" w:space="0"/>
                    <w:bottom w:val="single" w:color="auto" w:sz="6" w:space="0"/>
                    <w:right w:val="single" w:color="auto" w:sz="6" w:space="0"/>
                  </w:tcBorders>
                  <w:vAlign w:val="center"/>
                </w:tcPr>
                <w:p w14:paraId="4B580E50">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企业应</w:t>
                  </w:r>
                  <w:r>
                    <w:rPr>
                      <w:color w:val="000000" w:themeColor="text1"/>
                      <w:szCs w:val="21"/>
                      <w:highlight w:val="none"/>
                      <w:lang w:val="zh-CN"/>
                      <w14:textFill>
                        <w14:solidFill>
                          <w14:schemeClr w14:val="tx1"/>
                        </w14:solidFill>
                      </w14:textFill>
                    </w:rPr>
                    <w:t>制定风险防范措施，编制完善突发环境事件应急预案。本项目实施后，建设单位拟落实企业污染源跟踪监测计划。</w:t>
                  </w:r>
                </w:p>
              </w:tc>
              <w:tc>
                <w:tcPr>
                  <w:tcW w:w="544" w:type="pct"/>
                  <w:tcBorders>
                    <w:top w:val="single" w:color="auto" w:sz="6" w:space="0"/>
                    <w:left w:val="single" w:color="auto" w:sz="6" w:space="0"/>
                    <w:bottom w:val="single" w:color="auto" w:sz="6" w:space="0"/>
                  </w:tcBorders>
                  <w:vAlign w:val="center"/>
                </w:tcPr>
                <w:p w14:paraId="7A4F71C0">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相符</w:t>
                  </w:r>
                </w:p>
              </w:tc>
            </w:tr>
            <w:tr w14:paraId="7F3F22A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5" w:type="pct"/>
                  <w:vMerge w:val="restart"/>
                  <w:tcBorders>
                    <w:right w:val="single" w:color="auto" w:sz="6" w:space="0"/>
                  </w:tcBorders>
                  <w:vAlign w:val="center"/>
                </w:tcPr>
                <w:p w14:paraId="4A41C266">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资源利用效率要求</w:t>
                  </w:r>
                </w:p>
              </w:tc>
              <w:tc>
                <w:tcPr>
                  <w:tcW w:w="2436" w:type="pct"/>
                  <w:tcBorders>
                    <w:top w:val="single" w:color="auto" w:sz="6" w:space="0"/>
                    <w:left w:val="single" w:color="auto" w:sz="6" w:space="0"/>
                    <w:bottom w:val="single" w:color="auto" w:sz="6" w:space="0"/>
                    <w:right w:val="single" w:color="auto" w:sz="6" w:space="0"/>
                  </w:tcBorders>
                  <w:vAlign w:val="center"/>
                </w:tcPr>
                <w:p w14:paraId="528359E9">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（1）引进项目的生产工艺、设备、能耗、污染物排放、资源利用等达到同行业先进水平</w:t>
                  </w:r>
                </w:p>
              </w:tc>
              <w:tc>
                <w:tcPr>
                  <w:tcW w:w="1323" w:type="pct"/>
                  <w:tcBorders>
                    <w:top w:val="single" w:color="auto" w:sz="6" w:space="0"/>
                    <w:left w:val="single" w:color="auto" w:sz="6" w:space="0"/>
                    <w:bottom w:val="single" w:color="auto" w:sz="6" w:space="0"/>
                    <w:right w:val="single" w:color="auto" w:sz="6" w:space="0"/>
                  </w:tcBorders>
                  <w:vAlign w:val="center"/>
                </w:tcPr>
                <w:p w14:paraId="2C656375">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本项目生产工艺</w:t>
                  </w:r>
                  <w:r>
                    <w:rPr>
                      <w:color w:val="000000" w:themeColor="text1"/>
                      <w:szCs w:val="21"/>
                      <w:highlight w:val="none"/>
                      <w14:textFill>
                        <w14:solidFill>
                          <w14:schemeClr w14:val="tx1"/>
                        </w14:solidFill>
                      </w14:textFill>
                    </w:rPr>
                    <w:t>属于常用工艺</w:t>
                  </w:r>
                  <w:r>
                    <w:rPr>
                      <w:color w:val="000000" w:themeColor="text1"/>
                      <w:szCs w:val="21"/>
                      <w:highlight w:val="none"/>
                      <w:lang w:val="zh-CN"/>
                      <w14:textFill>
                        <w14:solidFill>
                          <w14:schemeClr w14:val="tx1"/>
                        </w14:solidFill>
                      </w14:textFill>
                    </w:rPr>
                    <w:t>、设备</w:t>
                  </w:r>
                  <w:r>
                    <w:rPr>
                      <w:color w:val="000000" w:themeColor="text1"/>
                      <w:szCs w:val="21"/>
                      <w:highlight w:val="none"/>
                      <w14:textFill>
                        <w14:solidFill>
                          <w14:schemeClr w14:val="tx1"/>
                        </w14:solidFill>
                      </w14:textFill>
                    </w:rPr>
                    <w:t>选用国内外先进设备</w:t>
                  </w:r>
                  <w:r>
                    <w:rPr>
                      <w:color w:val="000000" w:themeColor="text1"/>
                      <w:szCs w:val="21"/>
                      <w:highlight w:val="none"/>
                      <w:lang w:val="zh-CN"/>
                      <w14:textFill>
                        <w14:solidFill>
                          <w14:schemeClr w14:val="tx1"/>
                        </w14:solidFill>
                      </w14:textFill>
                    </w:rPr>
                    <w:t>、能耗</w:t>
                  </w:r>
                  <w:r>
                    <w:rPr>
                      <w:color w:val="000000" w:themeColor="text1"/>
                      <w:szCs w:val="21"/>
                      <w:highlight w:val="none"/>
                      <w14:textFill>
                        <w14:solidFill>
                          <w14:schemeClr w14:val="tx1"/>
                        </w14:solidFill>
                      </w14:textFill>
                    </w:rPr>
                    <w:t>较低</w:t>
                  </w:r>
                  <w:r>
                    <w:rPr>
                      <w:color w:val="000000" w:themeColor="text1"/>
                      <w:szCs w:val="21"/>
                      <w:highlight w:val="none"/>
                      <w:lang w:val="zh-CN"/>
                      <w14:textFill>
                        <w14:solidFill>
                          <w14:schemeClr w14:val="tx1"/>
                        </w14:solidFill>
                      </w14:textFill>
                    </w:rPr>
                    <w:t>、污染物排放</w:t>
                  </w:r>
                  <w:r>
                    <w:rPr>
                      <w:color w:val="000000" w:themeColor="text1"/>
                      <w:szCs w:val="21"/>
                      <w:highlight w:val="none"/>
                      <w14:textFill>
                        <w14:solidFill>
                          <w14:schemeClr w14:val="tx1"/>
                        </w14:solidFill>
                      </w14:textFill>
                    </w:rPr>
                    <w:t>有效控制</w:t>
                  </w:r>
                  <w:r>
                    <w:rPr>
                      <w:color w:val="000000" w:themeColor="text1"/>
                      <w:szCs w:val="21"/>
                      <w:highlight w:val="none"/>
                      <w:lang w:val="zh-CN"/>
                      <w14:textFill>
                        <w14:solidFill>
                          <w14:schemeClr w14:val="tx1"/>
                        </w14:solidFill>
                      </w14:textFill>
                    </w:rPr>
                    <w:t>、资源利用等均能达到同行业先进水平。</w:t>
                  </w:r>
                </w:p>
              </w:tc>
              <w:tc>
                <w:tcPr>
                  <w:tcW w:w="544" w:type="pct"/>
                  <w:tcBorders>
                    <w:top w:val="single" w:color="auto" w:sz="6" w:space="0"/>
                    <w:left w:val="single" w:color="auto" w:sz="6" w:space="0"/>
                    <w:bottom w:val="single" w:color="auto" w:sz="6" w:space="0"/>
                  </w:tcBorders>
                  <w:vAlign w:val="center"/>
                </w:tcPr>
                <w:p w14:paraId="703FE938">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相符</w:t>
                  </w:r>
                </w:p>
              </w:tc>
            </w:tr>
            <w:tr w14:paraId="0FFC817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5" w:type="pct"/>
                  <w:vMerge w:val="continue"/>
                  <w:tcBorders>
                    <w:right w:val="single" w:color="auto" w:sz="6" w:space="0"/>
                  </w:tcBorders>
                  <w:vAlign w:val="center"/>
                </w:tcPr>
                <w:p w14:paraId="2DF2EA3B">
                  <w:pPr>
                    <w:snapToGrid w:val="0"/>
                    <w:spacing w:line="240" w:lineRule="exact"/>
                    <w:jc w:val="center"/>
                    <w:rPr>
                      <w:color w:val="000000" w:themeColor="text1"/>
                      <w:szCs w:val="21"/>
                      <w:highlight w:val="none"/>
                      <w:lang w:val="zh-CN"/>
                      <w14:textFill>
                        <w14:solidFill>
                          <w14:schemeClr w14:val="tx1"/>
                        </w14:solidFill>
                      </w14:textFill>
                    </w:rPr>
                  </w:pPr>
                </w:p>
              </w:tc>
              <w:tc>
                <w:tcPr>
                  <w:tcW w:w="2436" w:type="pct"/>
                  <w:tcBorders>
                    <w:top w:val="single" w:color="auto" w:sz="6" w:space="0"/>
                    <w:left w:val="single" w:color="auto" w:sz="6" w:space="0"/>
                    <w:bottom w:val="single" w:color="auto" w:sz="6" w:space="0"/>
                    <w:right w:val="single" w:color="auto" w:sz="6" w:space="0"/>
                  </w:tcBorders>
                  <w:vAlign w:val="center"/>
                </w:tcPr>
                <w:p w14:paraId="20D8A495">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（2）执行国家和省能耗及水耗限额标准</w:t>
                  </w:r>
                </w:p>
              </w:tc>
              <w:tc>
                <w:tcPr>
                  <w:tcW w:w="1323" w:type="pct"/>
                  <w:tcBorders>
                    <w:top w:val="single" w:color="auto" w:sz="6" w:space="0"/>
                    <w:left w:val="single" w:color="auto" w:sz="6" w:space="0"/>
                    <w:bottom w:val="single" w:color="auto" w:sz="6" w:space="0"/>
                    <w:right w:val="single" w:color="auto" w:sz="6" w:space="0"/>
                  </w:tcBorders>
                  <w:vAlign w:val="center"/>
                </w:tcPr>
                <w:p w14:paraId="6EC62BDA">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本项目将严格按照国家和省能耗及水耗限额标准执行。</w:t>
                  </w:r>
                </w:p>
              </w:tc>
              <w:tc>
                <w:tcPr>
                  <w:tcW w:w="544" w:type="pct"/>
                  <w:tcBorders>
                    <w:top w:val="single" w:color="auto" w:sz="6" w:space="0"/>
                    <w:left w:val="single" w:color="auto" w:sz="6" w:space="0"/>
                    <w:bottom w:val="single" w:color="auto" w:sz="6" w:space="0"/>
                  </w:tcBorders>
                  <w:vAlign w:val="center"/>
                </w:tcPr>
                <w:p w14:paraId="18F4D374">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相符</w:t>
                  </w:r>
                </w:p>
              </w:tc>
            </w:tr>
            <w:tr w14:paraId="1B0FF3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5" w:type="pct"/>
                  <w:vMerge w:val="continue"/>
                  <w:tcBorders>
                    <w:right w:val="single" w:color="auto" w:sz="6" w:space="0"/>
                  </w:tcBorders>
                  <w:vAlign w:val="center"/>
                </w:tcPr>
                <w:p w14:paraId="3F0AB42E">
                  <w:pPr>
                    <w:snapToGrid w:val="0"/>
                    <w:spacing w:line="240" w:lineRule="exact"/>
                    <w:jc w:val="center"/>
                    <w:rPr>
                      <w:color w:val="000000" w:themeColor="text1"/>
                      <w:szCs w:val="21"/>
                      <w:highlight w:val="none"/>
                      <w:lang w:val="zh-CN"/>
                      <w14:textFill>
                        <w14:solidFill>
                          <w14:schemeClr w14:val="tx1"/>
                        </w14:solidFill>
                      </w14:textFill>
                    </w:rPr>
                  </w:pPr>
                </w:p>
              </w:tc>
              <w:tc>
                <w:tcPr>
                  <w:tcW w:w="2436" w:type="pct"/>
                  <w:tcBorders>
                    <w:top w:val="single" w:color="auto" w:sz="6" w:space="0"/>
                    <w:left w:val="single" w:color="auto" w:sz="6" w:space="0"/>
                    <w:bottom w:val="single" w:color="auto" w:sz="6" w:space="0"/>
                    <w:right w:val="single" w:color="auto" w:sz="6" w:space="0"/>
                  </w:tcBorders>
                  <w:vAlign w:val="center"/>
                </w:tcPr>
                <w:p w14:paraId="44CC9615">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（3）强化企业清洁生产改造，推进节水型企业、节水型园区建设，提高资源能源利用效率</w:t>
                  </w:r>
                </w:p>
              </w:tc>
              <w:tc>
                <w:tcPr>
                  <w:tcW w:w="1323" w:type="pct"/>
                  <w:tcBorders>
                    <w:top w:val="single" w:color="auto" w:sz="6" w:space="0"/>
                    <w:left w:val="single" w:color="auto" w:sz="6" w:space="0"/>
                    <w:bottom w:val="single" w:color="auto" w:sz="6" w:space="0"/>
                    <w:right w:val="single" w:color="auto" w:sz="6" w:space="0"/>
                  </w:tcBorders>
                  <w:vAlign w:val="center"/>
                </w:tcPr>
                <w:p w14:paraId="30716FDB">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本项目实施后，企业将强化清洁生产改造，提高资源能源利用效率。</w:t>
                  </w:r>
                </w:p>
              </w:tc>
              <w:tc>
                <w:tcPr>
                  <w:tcW w:w="544" w:type="pct"/>
                  <w:tcBorders>
                    <w:top w:val="single" w:color="auto" w:sz="6" w:space="0"/>
                    <w:left w:val="single" w:color="auto" w:sz="6" w:space="0"/>
                    <w:bottom w:val="single" w:color="auto" w:sz="6" w:space="0"/>
                  </w:tcBorders>
                  <w:vAlign w:val="center"/>
                </w:tcPr>
                <w:p w14:paraId="23CE2307">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相符</w:t>
                  </w:r>
                </w:p>
              </w:tc>
            </w:tr>
            <w:tr w14:paraId="0763DF8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5" w:type="pct"/>
                  <w:vMerge w:val="continue"/>
                  <w:tcBorders>
                    <w:right w:val="single" w:color="auto" w:sz="6" w:space="0"/>
                  </w:tcBorders>
                  <w:vAlign w:val="center"/>
                </w:tcPr>
                <w:p w14:paraId="6E98AEC1">
                  <w:pPr>
                    <w:snapToGrid w:val="0"/>
                    <w:spacing w:line="240" w:lineRule="exact"/>
                    <w:jc w:val="center"/>
                    <w:rPr>
                      <w:color w:val="000000" w:themeColor="text1"/>
                      <w:szCs w:val="21"/>
                      <w:highlight w:val="none"/>
                      <w:lang w:val="zh-CN"/>
                      <w14:textFill>
                        <w14:solidFill>
                          <w14:schemeClr w14:val="tx1"/>
                        </w14:solidFill>
                      </w14:textFill>
                    </w:rPr>
                  </w:pPr>
                </w:p>
              </w:tc>
              <w:tc>
                <w:tcPr>
                  <w:tcW w:w="2436" w:type="pct"/>
                  <w:tcBorders>
                    <w:top w:val="single" w:color="auto" w:sz="6" w:space="0"/>
                    <w:left w:val="single" w:color="auto" w:sz="6" w:space="0"/>
                    <w:bottom w:val="single" w:color="auto" w:sz="6" w:space="0"/>
                    <w:right w:val="single" w:color="auto" w:sz="6" w:space="0"/>
                  </w:tcBorders>
                  <w:vAlign w:val="center"/>
                </w:tcPr>
                <w:p w14:paraId="01C6EB68">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（4）实施园区碳排放总量和强度“双控”，对电力、石化、化工、建材、钢铁、有色、造纸、印染等重点行业建设项目开展碳排放环境影响评价，实现减污降碳源头防控</w:t>
                  </w:r>
                </w:p>
              </w:tc>
              <w:tc>
                <w:tcPr>
                  <w:tcW w:w="1323" w:type="pct"/>
                  <w:tcBorders>
                    <w:top w:val="single" w:color="auto" w:sz="6" w:space="0"/>
                    <w:left w:val="single" w:color="auto" w:sz="6" w:space="0"/>
                    <w:bottom w:val="single" w:color="auto" w:sz="6" w:space="0"/>
                    <w:right w:val="single" w:color="auto" w:sz="6" w:space="0"/>
                  </w:tcBorders>
                  <w:vAlign w:val="center"/>
                </w:tcPr>
                <w:p w14:paraId="5B1224D0">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本项目</w:t>
                  </w:r>
                  <w:r>
                    <w:rPr>
                      <w:color w:val="000000" w:themeColor="text1"/>
                      <w:szCs w:val="21"/>
                      <w:highlight w:val="none"/>
                      <w14:textFill>
                        <w14:solidFill>
                          <w14:schemeClr w14:val="tx1"/>
                        </w14:solidFill>
                      </w14:textFill>
                    </w:rPr>
                    <w:t>不使用</w:t>
                  </w:r>
                  <w:r>
                    <w:rPr>
                      <w:color w:val="000000" w:themeColor="text1"/>
                      <w:szCs w:val="21"/>
                      <w:highlight w:val="none"/>
                      <w:lang w:val="zh-CN"/>
                      <w14:textFill>
                        <w14:solidFill>
                          <w14:schemeClr w14:val="tx1"/>
                        </w14:solidFill>
                      </w14:textFill>
                    </w:rPr>
                    <w:t>高污染燃料，</w:t>
                  </w:r>
                  <w:r>
                    <w:rPr>
                      <w:color w:val="000000" w:themeColor="text1"/>
                      <w:szCs w:val="21"/>
                      <w:highlight w:val="none"/>
                      <w14:textFill>
                        <w14:solidFill>
                          <w14:schemeClr w14:val="tx1"/>
                        </w14:solidFill>
                      </w14:textFill>
                    </w:rPr>
                    <w:t>主要能源为</w:t>
                  </w:r>
                  <w:r>
                    <w:rPr>
                      <w:color w:val="000000" w:themeColor="text1"/>
                      <w:szCs w:val="21"/>
                      <w:highlight w:val="none"/>
                      <w:lang w:val="zh-CN"/>
                      <w14:textFill>
                        <w14:solidFill>
                          <w14:schemeClr w14:val="tx1"/>
                        </w14:solidFill>
                      </w14:textFill>
                    </w:rPr>
                    <w:t>电。</w:t>
                  </w:r>
                </w:p>
              </w:tc>
              <w:tc>
                <w:tcPr>
                  <w:tcW w:w="544" w:type="pct"/>
                  <w:tcBorders>
                    <w:top w:val="single" w:color="auto" w:sz="6" w:space="0"/>
                    <w:left w:val="single" w:color="auto" w:sz="6" w:space="0"/>
                    <w:bottom w:val="single" w:color="auto" w:sz="6" w:space="0"/>
                  </w:tcBorders>
                  <w:vAlign w:val="center"/>
                </w:tcPr>
                <w:p w14:paraId="01A2E6C3">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相符</w:t>
                  </w:r>
                </w:p>
              </w:tc>
            </w:tr>
            <w:tr w14:paraId="4EEED81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5" w:type="pct"/>
                  <w:vMerge w:val="continue"/>
                  <w:tcBorders>
                    <w:bottom w:val="single" w:color="auto" w:sz="12" w:space="0"/>
                    <w:right w:val="single" w:color="auto" w:sz="6" w:space="0"/>
                  </w:tcBorders>
                  <w:vAlign w:val="center"/>
                </w:tcPr>
                <w:p w14:paraId="5E00C55F">
                  <w:pPr>
                    <w:snapToGrid w:val="0"/>
                    <w:spacing w:line="240" w:lineRule="exact"/>
                    <w:jc w:val="center"/>
                    <w:rPr>
                      <w:color w:val="000000" w:themeColor="text1"/>
                      <w:szCs w:val="21"/>
                      <w:highlight w:val="none"/>
                      <w:lang w:val="zh-CN"/>
                      <w14:textFill>
                        <w14:solidFill>
                          <w14:schemeClr w14:val="tx1"/>
                        </w14:solidFill>
                      </w14:textFill>
                    </w:rPr>
                  </w:pPr>
                </w:p>
              </w:tc>
              <w:tc>
                <w:tcPr>
                  <w:tcW w:w="2436" w:type="pct"/>
                  <w:tcBorders>
                    <w:top w:val="single" w:color="auto" w:sz="6" w:space="0"/>
                    <w:left w:val="single" w:color="auto" w:sz="6" w:space="0"/>
                    <w:bottom w:val="single" w:color="auto" w:sz="12" w:space="0"/>
                    <w:right w:val="single" w:color="auto" w:sz="6" w:space="0"/>
                  </w:tcBorders>
                  <w:vAlign w:val="center"/>
                </w:tcPr>
                <w:p w14:paraId="2E4AD90B">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（5）禁燃区禁止新建、扩建燃用高污染燃料的项目和设施，已建成的应逐步或依法限期改用天然气、电或者其他清洁能源</w:t>
                  </w:r>
                </w:p>
              </w:tc>
              <w:tc>
                <w:tcPr>
                  <w:tcW w:w="1323" w:type="pct"/>
                  <w:tcBorders>
                    <w:top w:val="single" w:color="auto" w:sz="6" w:space="0"/>
                    <w:left w:val="single" w:color="auto" w:sz="6" w:space="0"/>
                    <w:bottom w:val="single" w:color="auto" w:sz="12" w:space="0"/>
                    <w:right w:val="single" w:color="auto" w:sz="6" w:space="0"/>
                  </w:tcBorders>
                  <w:vAlign w:val="center"/>
                </w:tcPr>
                <w:p w14:paraId="21447B34">
                  <w:pPr>
                    <w:snapToGrid w:val="0"/>
                    <w:spacing w:line="240" w:lineRule="exact"/>
                    <w:jc w:val="left"/>
                    <w:rPr>
                      <w:color w:val="000000" w:themeColor="text1"/>
                      <w:szCs w:val="21"/>
                      <w:highlight w:val="none"/>
                      <w:lang w:val="zh-CN"/>
                      <w14:textFill>
                        <w14:solidFill>
                          <w14:schemeClr w14:val="tx1"/>
                        </w14:solidFill>
                      </w14:textFill>
                    </w:rPr>
                  </w:pPr>
                  <w:r>
                    <w:rPr>
                      <w:rFonts w:hint="eastAsia"/>
                      <w:color w:val="000000" w:themeColor="text1"/>
                      <w:szCs w:val="21"/>
                      <w:highlight w:val="none"/>
                      <w14:textFill>
                        <w14:solidFill>
                          <w14:schemeClr w14:val="tx1"/>
                        </w14:solidFill>
                      </w14:textFill>
                    </w:rPr>
                    <w:t>不涉及</w:t>
                  </w:r>
                </w:p>
              </w:tc>
              <w:tc>
                <w:tcPr>
                  <w:tcW w:w="544" w:type="pct"/>
                  <w:tcBorders>
                    <w:top w:val="single" w:color="auto" w:sz="6" w:space="0"/>
                    <w:left w:val="single" w:color="auto" w:sz="6" w:space="0"/>
                    <w:bottom w:val="single" w:color="auto" w:sz="12" w:space="0"/>
                  </w:tcBorders>
                  <w:vAlign w:val="center"/>
                </w:tcPr>
                <w:p w14:paraId="6AD88BA3">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相符</w:t>
                  </w:r>
                </w:p>
              </w:tc>
            </w:tr>
          </w:tbl>
          <w:p w14:paraId="0F4166E6">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（2）环境质量底线</w:t>
            </w:r>
          </w:p>
          <w:p w14:paraId="1345F7C6">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环境质量底线是国家和地方设置的大气、水和土壤环境质量目标，也是改善环境质量的基准线。根据</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eastAsia="zh-CN"/>
                <w14:textFill>
                  <w14:solidFill>
                    <w14:schemeClr w14:val="tx1"/>
                  </w14:solidFill>
                </w14:textFill>
              </w:rPr>
              <w:t>2025年南京市生态环境状况公报》，项目所在区域大气环境质量属于达标区，区域地表水环</w:t>
            </w:r>
            <w:r>
              <w:rPr>
                <w:color w:val="000000" w:themeColor="text1"/>
                <w:sz w:val="24"/>
                <w:highlight w:val="none"/>
                <w14:textFill>
                  <w14:solidFill>
                    <w14:schemeClr w14:val="tx1"/>
                  </w14:solidFill>
                </w14:textFill>
              </w:rPr>
              <w:t>境质量较好。根据引用监测数据，非甲烷总烃小时平均浓度能满足《大气污染物综合排放标准详解》中明确的限值</w:t>
            </w:r>
            <w:r>
              <w:rPr>
                <w:rFonts w:hint="eastAsia"/>
                <w:bCs/>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TSP</w:t>
            </w:r>
            <w:r>
              <w:rPr>
                <w:rFonts w:hint="eastAsia"/>
                <w:bCs/>
                <w:color w:val="000000" w:themeColor="text1"/>
                <w:sz w:val="24"/>
                <w:highlight w:val="none"/>
                <w14:textFill>
                  <w14:solidFill>
                    <w14:schemeClr w14:val="tx1"/>
                  </w14:solidFill>
                </w14:textFill>
              </w:rPr>
              <w:t>日</w:t>
            </w:r>
            <w:r>
              <w:rPr>
                <w:bCs/>
                <w:color w:val="000000" w:themeColor="text1"/>
                <w:sz w:val="24"/>
                <w:highlight w:val="none"/>
                <w14:textFill>
                  <w14:solidFill>
                    <w14:schemeClr w14:val="tx1"/>
                  </w14:solidFill>
                </w14:textFill>
              </w:rPr>
              <w:t>平均浓度能满足</w:t>
            </w:r>
            <w:r>
              <w:rPr>
                <w:rFonts w:hint="default"/>
                <w:color w:val="000000" w:themeColor="text1"/>
                <w:sz w:val="24"/>
                <w:highlight w:val="none"/>
                <w14:textFill>
                  <w14:solidFill>
                    <w14:schemeClr w14:val="tx1"/>
                  </w14:solidFill>
                </w14:textFill>
              </w:rPr>
              <w:t>《环境空气质量标准》（</w:t>
            </w:r>
            <w:r>
              <w:rPr>
                <w:rFonts w:hint="eastAsia"/>
                <w:color w:val="000000" w:themeColor="text1"/>
                <w:sz w:val="24"/>
                <w:highlight w:val="none"/>
                <w14:textFill>
                  <w14:solidFill>
                    <w14:schemeClr w14:val="tx1"/>
                  </w14:solidFill>
                </w14:textFill>
              </w:rPr>
              <w:t>GB3095-2026</w:t>
            </w:r>
            <w:r>
              <w:rPr>
                <w:rFonts w:hint="default"/>
                <w:color w:val="000000" w:themeColor="text1"/>
                <w:sz w:val="24"/>
                <w:highlight w:val="none"/>
                <w14:textFill>
                  <w14:solidFill>
                    <w14:schemeClr w14:val="tx1"/>
                  </w14:solidFill>
                </w14:textFill>
              </w:rPr>
              <w:t>）二级标准要求</w:t>
            </w:r>
            <w:r>
              <w:rPr>
                <w:rFonts w:hint="eastAsia"/>
                <w:color w:val="000000" w:themeColor="text1"/>
                <w:sz w:val="24"/>
                <w:highlight w:val="none"/>
                <w:lang w:val="en-US" w:eastAsia="zh-CN"/>
                <w14:textFill>
                  <w14:solidFill>
                    <w14:schemeClr w14:val="tx1"/>
                  </w14:solidFill>
                </w14:textFill>
              </w:rPr>
              <w:t>和</w:t>
            </w:r>
            <w:r>
              <w:rPr>
                <w:rFonts w:hint="default"/>
                <w:color w:val="000000" w:themeColor="text1"/>
                <w:sz w:val="24"/>
                <w:highlight w:val="none"/>
                <w14:textFill>
                  <w14:solidFill>
                    <w14:schemeClr w14:val="tx1"/>
                  </w14:solidFill>
                </w14:textFill>
              </w:rPr>
              <w:t>《环境空气质量标准》（</w:t>
            </w:r>
            <w:r>
              <w:rPr>
                <w:rFonts w:hint="eastAsia"/>
                <w:color w:val="000000" w:themeColor="text1"/>
                <w:sz w:val="24"/>
                <w:highlight w:val="none"/>
                <w14:textFill>
                  <w14:solidFill>
                    <w14:schemeClr w14:val="tx1"/>
                  </w14:solidFill>
                </w14:textFill>
              </w:rPr>
              <w:t>GB3095-20</w:t>
            </w:r>
            <w:r>
              <w:rPr>
                <w:rFonts w:hint="eastAsia"/>
                <w:color w:val="000000" w:themeColor="text1"/>
                <w:sz w:val="24"/>
                <w:highlight w:val="none"/>
                <w:lang w:val="en-US" w:eastAsia="zh-CN"/>
                <w14:textFill>
                  <w14:solidFill>
                    <w14:schemeClr w14:val="tx1"/>
                  </w14:solidFill>
                </w14:textFill>
              </w:rPr>
              <w:t>12</w:t>
            </w:r>
            <w:r>
              <w:rPr>
                <w:rFonts w:hint="default"/>
                <w:color w:val="000000" w:themeColor="text1"/>
                <w:sz w:val="24"/>
                <w:highlight w:val="none"/>
                <w14:textFill>
                  <w14:solidFill>
                    <w14:schemeClr w14:val="tx1"/>
                  </w14:solidFill>
                </w14:textFill>
              </w:rPr>
              <w:t>）二级标准要求</w:t>
            </w:r>
            <w:r>
              <w:rPr>
                <w:rFonts w:hint="eastAsia"/>
                <w:color w:val="000000" w:themeColor="text1"/>
                <w:sz w:val="24"/>
                <w:highlight w:val="none"/>
                <w:lang w:eastAsia="zh-CN"/>
                <w14:textFill>
                  <w14:solidFill>
                    <w14:schemeClr w14:val="tx1"/>
                  </w14:solidFill>
                </w14:textFill>
              </w:rPr>
              <w:t>（</w:t>
            </w:r>
            <w:r>
              <w:rPr>
                <w:rFonts w:hint="default"/>
                <w:color w:val="000000" w:themeColor="text1"/>
                <w:sz w:val="24"/>
                <w:highlight w:val="none"/>
                <w14:textFill>
                  <w14:solidFill>
                    <w14:schemeClr w14:val="tx1"/>
                  </w14:solidFill>
                </w14:textFill>
              </w:rPr>
              <w:t>标准</w:t>
            </w:r>
            <w:r>
              <w:rPr>
                <w:rFonts w:hint="eastAsia"/>
                <w:color w:val="000000" w:themeColor="text1"/>
                <w:sz w:val="24"/>
                <w:highlight w:val="none"/>
                <w:lang w:val="en-US" w:eastAsia="zh-CN"/>
                <w14:textFill>
                  <w14:solidFill>
                    <w14:schemeClr w14:val="tx1"/>
                  </w14:solidFill>
                </w14:textFill>
              </w:rPr>
              <w:t>值未变</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地表水</w:t>
            </w:r>
            <w:r>
              <w:rPr>
                <w:rFonts w:hint="eastAsia"/>
                <w:color w:val="000000" w:themeColor="text1"/>
                <w:sz w:val="24"/>
                <w:highlight w:val="none"/>
                <w:lang w:eastAsia="zh-CN"/>
                <w14:textFill>
                  <w14:solidFill>
                    <w14:schemeClr w14:val="tx1"/>
                  </w14:solidFill>
                </w14:textFill>
              </w:rPr>
              <w:t>横溪河禄口污水处理厂</w:t>
            </w:r>
            <w:r>
              <w:rPr>
                <w:rFonts w:hint="eastAsia"/>
                <w:color w:val="000000" w:themeColor="text1"/>
                <w:sz w:val="24"/>
                <w:highlight w:val="none"/>
                <w14:textFill>
                  <w14:solidFill>
                    <w14:schemeClr w14:val="tx1"/>
                  </w14:solidFill>
                </w14:textFill>
              </w:rPr>
              <w:t>排口上游</w:t>
            </w:r>
            <w:r>
              <w:rPr>
                <w:color w:val="000000" w:themeColor="text1"/>
                <w:sz w:val="24"/>
                <w:highlight w:val="none"/>
                <w14:textFill>
                  <w14:solidFill>
                    <w14:schemeClr w14:val="tx1"/>
                  </w14:solidFill>
                </w14:textFill>
              </w:rPr>
              <w:t>监测断面pH、COD、氨氮、总磷等均能满足《地表水环境质量标准》（GB3838-2002）</w:t>
            </w:r>
            <w:r>
              <w:rPr>
                <w:rFonts w:hint="eastAsia"/>
                <w:color w:val="000000" w:themeColor="text1"/>
                <w:sz w:val="24"/>
                <w:highlight w:val="none"/>
                <w14:textFill>
                  <w14:solidFill>
                    <w14:schemeClr w14:val="tx1"/>
                  </w14:solidFill>
                </w14:textFill>
              </w:rPr>
              <w:t>Ⅲ</w:t>
            </w:r>
            <w:r>
              <w:rPr>
                <w:color w:val="000000" w:themeColor="text1"/>
                <w:sz w:val="24"/>
                <w:highlight w:val="none"/>
                <w14:textFill>
                  <w14:solidFill>
                    <w14:schemeClr w14:val="tx1"/>
                  </w14:solidFill>
                </w14:textFill>
              </w:rPr>
              <w:t>类水体功能标准。</w:t>
            </w:r>
          </w:p>
          <w:p w14:paraId="57E62FC3">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本项目营运期废气、废水、固废均得到合理处置，噪声对周边影响较小，不会突破项目所在地的环境质量底线。因此本项目的建设符合环境质量底线标准。</w:t>
            </w:r>
          </w:p>
          <w:p w14:paraId="30191733">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（3）资源利用上线</w:t>
            </w:r>
          </w:p>
          <w:p w14:paraId="2500F676">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本项目用水来自市政自来水管网，用电来自市政电网供给，用水和用电量均很小，不会达到资源利用上线。</w:t>
            </w:r>
          </w:p>
          <w:p w14:paraId="7AAF94B7">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（4）环境准入负面清单</w:t>
            </w:r>
          </w:p>
          <w:p w14:paraId="48F77880">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根据《〈长江经济带发展负面清单指南（试行，2022年版）〉江苏省实施细则》（苏长江办发〔2022〕55号），本项目不属于文件列出的禁止类项目，项目的选址、污染物排放总量均能够满足准入要求。</w:t>
            </w:r>
          </w:p>
          <w:p w14:paraId="38E166E4">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综上，本项目符合</w:t>
            </w:r>
            <w:r>
              <w:rPr>
                <w:rFonts w:hint="eastAsia"/>
                <w:color w:val="000000" w:themeColor="text1"/>
                <w:sz w:val="24"/>
                <w:highlight w:val="none"/>
                <w14:textFill>
                  <w14:solidFill>
                    <w14:schemeClr w14:val="tx1"/>
                  </w14:solidFill>
                </w14:textFill>
              </w:rPr>
              <w:t>生态环境分区管控要求</w:t>
            </w:r>
            <w:r>
              <w:rPr>
                <w:color w:val="000000" w:themeColor="text1"/>
                <w:sz w:val="24"/>
                <w:highlight w:val="none"/>
                <w14:textFill>
                  <w14:solidFill>
                    <w14:schemeClr w14:val="tx1"/>
                  </w14:solidFill>
                </w14:textFill>
              </w:rPr>
              <w:t>。</w:t>
            </w:r>
          </w:p>
          <w:p w14:paraId="34E18766">
            <w:pPr>
              <w:adjustRightInd w:val="0"/>
              <w:snapToGrid w:val="0"/>
              <w:spacing w:line="440" w:lineRule="exact"/>
              <w:ind w:firstLine="482" w:firstLineChars="200"/>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7、相关环保政策相符性分析</w:t>
            </w:r>
          </w:p>
          <w:p w14:paraId="1A48B8FB">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本项目与环保政策相符性，</w:t>
            </w:r>
            <w:r>
              <w:rPr>
                <w:rFonts w:hint="eastAsia"/>
                <w:color w:val="000000" w:themeColor="text1"/>
                <w:sz w:val="24"/>
                <w:highlight w:val="none"/>
                <w:lang w:eastAsia="zh-CN"/>
                <w14:textFill>
                  <w14:solidFill>
                    <w14:schemeClr w14:val="tx1"/>
                  </w14:solidFill>
                </w14:textFill>
              </w:rPr>
              <w:t>见下表</w:t>
            </w:r>
            <w:r>
              <w:rPr>
                <w:color w:val="000000" w:themeColor="text1"/>
                <w:sz w:val="24"/>
                <w:highlight w:val="none"/>
                <w14:textFill>
                  <w14:solidFill>
                    <w14:schemeClr w14:val="tx1"/>
                  </w14:solidFill>
                </w14:textFill>
              </w:rPr>
              <w:t>。</w:t>
            </w:r>
          </w:p>
          <w:p w14:paraId="48C275D5">
            <w:pPr>
              <w:pStyle w:val="126"/>
              <w:numPr>
                <w:ilvl w:val="0"/>
                <w:numId w:val="0"/>
              </w:numPr>
              <w:spacing w:line="440" w:lineRule="exact"/>
              <w:rPr>
                <w:color w:val="000000" w:themeColor="text1"/>
                <w:sz w:val="24"/>
                <w:highlight w:val="none"/>
                <w14:textFill>
                  <w14:solidFill>
                    <w14:schemeClr w14:val="tx1"/>
                  </w14:solidFill>
                </w14:textFill>
              </w:rPr>
            </w:pPr>
          </w:p>
          <w:p w14:paraId="6A80179A">
            <w:pPr>
              <w:pStyle w:val="126"/>
              <w:numPr>
                <w:ilvl w:val="0"/>
                <w:numId w:val="0"/>
              </w:numPr>
              <w:spacing w:line="440" w:lineRule="exact"/>
              <w:rPr>
                <w:color w:val="000000" w:themeColor="text1"/>
                <w:sz w:val="24"/>
                <w:highlight w:val="none"/>
                <w14:textFill>
                  <w14:solidFill>
                    <w14:schemeClr w14:val="tx1"/>
                  </w14:solidFill>
                </w14:textFill>
              </w:rPr>
            </w:pPr>
          </w:p>
          <w:p w14:paraId="5DC1DD1E">
            <w:pPr>
              <w:pStyle w:val="126"/>
              <w:numPr>
                <w:ilvl w:val="0"/>
                <w:numId w:val="0"/>
              </w:numPr>
              <w:spacing w:line="440" w:lineRule="exac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表1</w:t>
            </w:r>
            <w:r>
              <w:rPr>
                <w:rFonts w:hint="eastAsia"/>
                <w:color w:val="000000" w:themeColor="text1"/>
                <w:sz w:val="24"/>
                <w:highlight w:val="none"/>
                <w:lang w:val="en-US" w:eastAsia="zh-CN"/>
                <w14:textFill>
                  <w14:solidFill>
                    <w14:schemeClr w14:val="tx1"/>
                  </w14:solidFill>
                </w14:textFill>
              </w:rPr>
              <w:t xml:space="preserve">-9  </w:t>
            </w:r>
            <w:r>
              <w:rPr>
                <w:color w:val="000000" w:themeColor="text1"/>
                <w:sz w:val="24"/>
                <w:highlight w:val="none"/>
                <w14:textFill>
                  <w14:solidFill>
                    <w14:schemeClr w14:val="tx1"/>
                  </w14:solidFill>
                </w14:textFill>
              </w:rPr>
              <w:t>建设项目与环保相关政策相符性一览表</w:t>
            </w:r>
          </w:p>
          <w:tbl>
            <w:tblPr>
              <w:tblStyle w:val="38"/>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22"/>
              <w:gridCol w:w="3390"/>
              <w:gridCol w:w="2561"/>
              <w:gridCol w:w="416"/>
            </w:tblGrid>
            <w:tr w14:paraId="7F1321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9" w:type="pct"/>
                  <w:vAlign w:val="center"/>
                </w:tcPr>
                <w:p w14:paraId="45B9AD62">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名称</w:t>
                  </w:r>
                </w:p>
              </w:tc>
              <w:tc>
                <w:tcPr>
                  <w:tcW w:w="2263" w:type="pct"/>
                  <w:vAlign w:val="center"/>
                </w:tcPr>
                <w:p w14:paraId="10F64ECD">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内容</w:t>
                  </w:r>
                </w:p>
              </w:tc>
              <w:tc>
                <w:tcPr>
                  <w:tcW w:w="1709" w:type="pct"/>
                  <w:vAlign w:val="center"/>
                </w:tcPr>
                <w:p w14:paraId="40E042E2">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符合性分析</w:t>
                  </w:r>
                </w:p>
              </w:tc>
              <w:tc>
                <w:tcPr>
                  <w:tcW w:w="278" w:type="pct"/>
                  <w:vAlign w:val="center"/>
                </w:tcPr>
                <w:p w14:paraId="27C66295">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相符性</w:t>
                  </w:r>
                </w:p>
              </w:tc>
            </w:tr>
            <w:tr w14:paraId="539CA3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749" w:type="pct"/>
                  <w:vAlign w:val="center"/>
                </w:tcPr>
                <w:p w14:paraId="207A5C86">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lang w:val="zh-CN"/>
                      <w14:textFill>
                        <w14:solidFill>
                          <w14:schemeClr w14:val="tx1"/>
                        </w14:solidFill>
                      </w14:textFill>
                    </w:rPr>
                    <w:t>关于印发《重点行业挥发性有机物污染综合治理方案》的通知（环大气〔2019〕53号）</w:t>
                  </w:r>
                </w:p>
              </w:tc>
              <w:tc>
                <w:tcPr>
                  <w:tcW w:w="2263" w:type="pct"/>
                  <w:vAlign w:val="center"/>
                </w:tcPr>
                <w:p w14:paraId="553B9A09">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一）大力推进源头替代。通过使用水性、粉末、高固体分、无溶剂、辐射固化等低VOCs含量的涂料，水性、辐射固化、植物基等低VOCs含量的油墨，水基、热熔、无溶剂、辐射固化、改性、生物降解等低VOCs含量的胶粘剂，以及低VOCs含量、低反应活性的清洗剂等，替代溶剂型涂料、油墨、胶粘剂、清洗剂等，从源头减少VOCs产生。（二）全面加强无组织排放控制。通过采取设备与场所密闭、工艺改进、废气有效收集等措施，削减VOCs无组织排放。（三）推进建设适宜高效的治污设施。企业新建治污设施或对现有治污设施实施改造，应依据排放废气的浓度、组分、风量，温度、湿度、压力，以及生产工况等，合理选择治理技术。鼓励企业采用多种技术的组合工艺，提高VOCs治理效率。低浓度、大风量废气，宜采用沸石转轮吸附、活性炭吸附、减风增浓等浓缩技术，提高VOCs浓度后净化处理。</w:t>
                  </w:r>
                </w:p>
              </w:tc>
              <w:tc>
                <w:tcPr>
                  <w:tcW w:w="1709" w:type="pct"/>
                  <w:vAlign w:val="center"/>
                </w:tcPr>
                <w:p w14:paraId="5D7A29FA">
                  <w:pPr>
                    <w:snapToGrid w:val="0"/>
                    <w:spacing w:line="240" w:lineRule="exact"/>
                    <w:jc w:val="left"/>
                    <w:rPr>
                      <w:color w:val="000000" w:themeColor="text1"/>
                      <w:szCs w:val="21"/>
                      <w:highlight w:val="none"/>
                      <w:lang w:val="zh-CN"/>
                      <w14:textFill>
                        <w14:solidFill>
                          <w14:schemeClr w14:val="tx1"/>
                        </w14:solidFill>
                      </w14:textFill>
                    </w:rPr>
                  </w:pPr>
                  <w:r>
                    <w:rPr>
                      <w:rFonts w:hint="eastAsia"/>
                      <w:color w:val="000000" w:themeColor="text1"/>
                      <w:szCs w:val="21"/>
                      <w:highlight w:val="none"/>
                      <w14:textFill>
                        <w14:solidFill>
                          <w14:schemeClr w14:val="tx1"/>
                        </w14:solidFill>
                      </w14:textFill>
                    </w:rPr>
                    <w:t>本项</w:t>
                  </w:r>
                  <w:r>
                    <w:rPr>
                      <w:rFonts w:hint="eastAsia" w:ascii="Times New Roman" w:hAnsi="Times New Roman" w:eastAsia="宋体" w:cs="Times New Roman"/>
                      <w:color w:val="000000" w:themeColor="text1"/>
                      <w:sz w:val="21"/>
                      <w:szCs w:val="21"/>
                      <w:highlight w:val="none"/>
                      <w14:textFill>
                        <w14:solidFill>
                          <w14:schemeClr w14:val="tx1"/>
                        </w14:solidFill>
                      </w14:textFill>
                    </w:rPr>
                    <w:t>目</w:t>
                  </w:r>
                  <w:r>
                    <w:rPr>
                      <w:rFonts w:hint="eastAsia" w:cs="Times New Roman"/>
                      <w:color w:val="000000" w:themeColor="text1"/>
                      <w:sz w:val="21"/>
                      <w:szCs w:val="21"/>
                      <w:highlight w:val="none"/>
                      <w:lang w:val="en-US" w:eastAsia="zh-CN"/>
                      <w14:textFill>
                        <w14:solidFill>
                          <w14:schemeClr w14:val="tx1"/>
                        </w14:solidFill>
                      </w14:textFill>
                    </w:rPr>
                    <w:t>不</w:t>
                  </w:r>
                  <w:r>
                    <w:rPr>
                      <w:rFonts w:hint="eastAsia" w:ascii="Times New Roman" w:hAnsi="Times New Roman" w:eastAsia="宋体" w:cs="Times New Roman"/>
                      <w:color w:val="000000" w:themeColor="text1"/>
                      <w:sz w:val="21"/>
                      <w:szCs w:val="21"/>
                      <w:highlight w:val="none"/>
                      <w14:textFill>
                        <w14:solidFill>
                          <w14:schemeClr w14:val="tx1"/>
                        </w14:solidFill>
                      </w14:textFill>
                    </w:rPr>
                    <w:t>使用</w:t>
                  </w:r>
                  <w:r>
                    <w:rPr>
                      <w:color w:val="000000" w:themeColor="text1"/>
                      <w:szCs w:val="21"/>
                      <w:highlight w:val="none"/>
                      <w14:textFill>
                        <w14:solidFill>
                          <w14:schemeClr w14:val="tx1"/>
                        </w14:solidFill>
                      </w14:textFill>
                    </w:rPr>
                    <w:t>涂料、油墨、胶粘剂、清洗剂等</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p>
              </w:tc>
              <w:tc>
                <w:tcPr>
                  <w:tcW w:w="278" w:type="pct"/>
                  <w:vAlign w:val="center"/>
                </w:tcPr>
                <w:p w14:paraId="6AE867AC">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60E320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9" w:type="pct"/>
                  <w:vAlign w:val="center"/>
                </w:tcPr>
                <w:p w14:paraId="03549FCF">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lang w:val="zh-CN"/>
                      <w14:textFill>
                        <w14:solidFill>
                          <w14:schemeClr w14:val="tx1"/>
                        </w14:solidFill>
                      </w14:textFill>
                    </w:rPr>
                    <w:t>《江苏省挥发性有机物污染防治管理办法》</w:t>
                  </w:r>
                </w:p>
              </w:tc>
              <w:tc>
                <w:tcPr>
                  <w:tcW w:w="2263" w:type="pct"/>
                  <w:vAlign w:val="center"/>
                </w:tcPr>
                <w:p w14:paraId="6C7E08A0">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lang w:val="zh-CN"/>
                      <w14:textFill>
                        <w14:solidFill>
                          <w14:schemeClr w14:val="tx1"/>
                        </w14:solidFill>
                      </w14:textFill>
                    </w:rPr>
                    <w:t>根据管理办法第二十一条，产生挥发性有机物废气的生产经营活动应当在密闭空间或者密闭设备中进行。无法在密闭空间进行的生产经营活动应当采取有效措施，减少挥发性有机物排放</w:t>
                  </w:r>
                  <w:r>
                    <w:rPr>
                      <w:color w:val="000000" w:themeColor="text1"/>
                      <w:szCs w:val="21"/>
                      <w:highlight w:val="none"/>
                      <w14:textFill>
                        <w14:solidFill>
                          <w14:schemeClr w14:val="tx1"/>
                        </w14:solidFill>
                      </w14:textFill>
                    </w:rPr>
                    <w:t>。</w:t>
                  </w:r>
                </w:p>
              </w:tc>
              <w:tc>
                <w:tcPr>
                  <w:tcW w:w="2561" w:type="dxa"/>
                  <w:vAlign w:val="center"/>
                </w:tcPr>
                <w:p w14:paraId="3F4E922C">
                  <w:pPr>
                    <w:snapToGrid w:val="0"/>
                    <w:spacing w:line="240" w:lineRule="exact"/>
                    <w:jc w:val="left"/>
                    <w:rPr>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eastAsia="zh-CN"/>
                      <w14:textFill>
                        <w14:solidFill>
                          <w14:schemeClr w14:val="tx1"/>
                        </w14:solidFill>
                      </w14:textFill>
                    </w:rPr>
                    <w:t>本项目有机废气通过集气罩收集后</w:t>
                  </w:r>
                  <w:r>
                    <w:rPr>
                      <w:rFonts w:hint="eastAsia" w:cs="Times New Roman"/>
                      <w:color w:val="000000" w:themeColor="text1"/>
                      <w:szCs w:val="21"/>
                      <w:highlight w:val="none"/>
                      <w:lang w:eastAsia="zh-CN"/>
                      <w14:textFill>
                        <w14:solidFill>
                          <w14:schemeClr w14:val="tx1"/>
                        </w14:solidFill>
                      </w14:textFill>
                    </w:rPr>
                    <w:t>一并经二级活性炭吸附</w:t>
                  </w:r>
                  <w:r>
                    <w:rPr>
                      <w:color w:val="000000" w:themeColor="text1"/>
                      <w:szCs w:val="21"/>
                      <w:highlight w:val="none"/>
                      <w14:textFill>
                        <w14:solidFill>
                          <w14:schemeClr w14:val="tx1"/>
                        </w14:solidFill>
                      </w14:textFill>
                    </w:rPr>
                    <w:t>，属于采取有效措施，减少挥发性有机物排放，符合相关要求。</w:t>
                  </w:r>
                </w:p>
              </w:tc>
              <w:tc>
                <w:tcPr>
                  <w:tcW w:w="416" w:type="dxa"/>
                  <w:vAlign w:val="center"/>
                </w:tcPr>
                <w:p w14:paraId="06E235F1">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bl>
          <w:p w14:paraId="4D37A09E">
            <w:pPr>
              <w:adjustRightInd w:val="0"/>
              <w:snapToGrid w:val="0"/>
              <w:spacing w:line="440" w:lineRule="exact"/>
              <w:ind w:firstLine="480" w:firstLineChars="200"/>
              <w:rPr>
                <w:color w:val="000000" w:themeColor="text1"/>
                <w:highlight w:val="none"/>
                <w14:textFill>
                  <w14:solidFill>
                    <w14:schemeClr w14:val="tx1"/>
                  </w14:solidFill>
                </w14:textFill>
              </w:rPr>
            </w:pPr>
            <w:r>
              <w:rPr>
                <w:color w:val="000000" w:themeColor="text1"/>
                <w:sz w:val="24"/>
                <w:highlight w:val="none"/>
                <w14:textFill>
                  <w14:solidFill>
                    <w14:schemeClr w14:val="tx1"/>
                  </w14:solidFill>
                </w14:textFill>
              </w:rPr>
              <w:t>根据《关于进一步加强涉VOCs建设项目环评文件审批有关要求的通知》（宁环办〔2021〕28号）的要求，</w:t>
            </w:r>
            <w:r>
              <w:rPr>
                <w:rFonts w:hint="eastAsia"/>
                <w:color w:val="000000" w:themeColor="text1"/>
                <w:sz w:val="24"/>
                <w:highlight w:val="none"/>
                <w:lang w:eastAsia="zh-CN"/>
                <w14:textFill>
                  <w14:solidFill>
                    <w14:schemeClr w14:val="tx1"/>
                  </w14:solidFill>
                </w14:textFill>
              </w:rPr>
              <w:t>见下表</w:t>
            </w:r>
            <w:r>
              <w:rPr>
                <w:color w:val="000000" w:themeColor="text1"/>
                <w:sz w:val="24"/>
                <w:highlight w:val="none"/>
                <w14:textFill>
                  <w14:solidFill>
                    <w14:schemeClr w14:val="tx1"/>
                  </w14:solidFill>
                </w14:textFill>
              </w:rPr>
              <w:t>：</w:t>
            </w:r>
          </w:p>
          <w:p w14:paraId="09844C86">
            <w:pPr>
              <w:pStyle w:val="126"/>
              <w:numPr>
                <w:ilvl w:val="0"/>
                <w:numId w:val="0"/>
              </w:numPr>
              <w:spacing w:line="440" w:lineRule="exac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表1-</w:t>
            </w:r>
            <w:r>
              <w:rPr>
                <w:rFonts w:hint="eastAsia"/>
                <w:color w:val="000000" w:themeColor="text1"/>
                <w:sz w:val="24"/>
                <w:highlight w:val="none"/>
                <w:lang w:val="en-US" w:eastAsia="zh-CN"/>
                <w14:textFill>
                  <w14:solidFill>
                    <w14:schemeClr w14:val="tx1"/>
                  </w14:solidFill>
                </w14:textFill>
              </w:rPr>
              <w:t xml:space="preserve">10  </w:t>
            </w:r>
            <w:r>
              <w:rPr>
                <w:color w:val="000000" w:themeColor="text1"/>
                <w:sz w:val="24"/>
                <w:highlight w:val="none"/>
                <w14:textFill>
                  <w14:solidFill>
                    <w14:schemeClr w14:val="tx1"/>
                  </w14:solidFill>
                </w14:textFill>
              </w:rPr>
              <w:t>与宁环办〔2021〕28号文相符性分析</w:t>
            </w:r>
          </w:p>
          <w:tbl>
            <w:tblPr>
              <w:tblStyle w:val="38"/>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68"/>
              <w:gridCol w:w="3359"/>
              <w:gridCol w:w="3065"/>
            </w:tblGrid>
            <w:tr w14:paraId="70CAB2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3" w:type="pct"/>
                  <w:vAlign w:val="center"/>
                </w:tcPr>
                <w:p w14:paraId="7D77DF47">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项目</w:t>
                  </w:r>
                </w:p>
              </w:tc>
              <w:tc>
                <w:tcPr>
                  <w:tcW w:w="2241" w:type="pct"/>
                  <w:vAlign w:val="center"/>
                </w:tcPr>
                <w:p w14:paraId="355B41AB">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宁环办〔2021〕28号文要求</w:t>
                  </w:r>
                </w:p>
              </w:tc>
              <w:tc>
                <w:tcPr>
                  <w:tcW w:w="2044" w:type="pct"/>
                  <w:vAlign w:val="center"/>
                </w:tcPr>
                <w:p w14:paraId="315D305C">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相符性论证</w:t>
                  </w:r>
                </w:p>
              </w:tc>
            </w:tr>
            <w:tr w14:paraId="2151F9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3" w:type="pct"/>
                  <w:vMerge w:val="restart"/>
                  <w:vAlign w:val="center"/>
                </w:tcPr>
                <w:p w14:paraId="68086696">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一、严格排放标准和排放总量审查</w:t>
                  </w:r>
                </w:p>
              </w:tc>
              <w:tc>
                <w:tcPr>
                  <w:tcW w:w="2241" w:type="pct"/>
                  <w:vAlign w:val="center"/>
                </w:tcPr>
                <w:p w14:paraId="3A3D3D36">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（一）严格标准审查</w:t>
                  </w:r>
                </w:p>
                <w:p w14:paraId="5E437491">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环评审批部门按照审批权限，严格加强排放标准审查。有行业标准的，严格执行行业标准要求，无行业标准的，应执行国家、江苏省相关排放标准；VOCs无组织排放执行《挥发性有机物无组织排放控制标准》（GB37822-2019），并执行厂区内VOCs特别排放限值。</w:t>
                  </w:r>
                </w:p>
              </w:tc>
              <w:tc>
                <w:tcPr>
                  <w:tcW w:w="3106" w:type="dxa"/>
                  <w:vAlign w:val="center"/>
                </w:tcPr>
                <w:p w14:paraId="3F8CAEFF">
                  <w:pPr>
                    <w:snapToGrid w:val="0"/>
                    <w:spacing w:line="240" w:lineRule="exact"/>
                    <w:jc w:val="left"/>
                    <w:rPr>
                      <w:rFonts w:hint="eastAsia" w:ascii="Times New Roman" w:hAnsi="Times New Roman" w:eastAsia="宋体" w:cs="Times New Roman"/>
                      <w:color w:val="000000" w:themeColor="text1"/>
                      <w:szCs w:val="21"/>
                      <w:highlight w:val="none"/>
                      <w:lang w:val="zh-CN"/>
                      <w14:textFill>
                        <w14:solidFill>
                          <w14:schemeClr w14:val="tx1"/>
                        </w14:solidFill>
                      </w14:textFill>
                    </w:rPr>
                  </w:pPr>
                  <w:r>
                    <w:rPr>
                      <w:rFonts w:hint="eastAsia" w:ascii="Times New Roman" w:hAnsi="Times New Roman" w:eastAsia="宋体" w:cs="Times New Roman"/>
                      <w:color w:val="000000" w:themeColor="text1"/>
                      <w:szCs w:val="21"/>
                      <w:highlight w:val="none"/>
                      <w:lang w:val="zh-CN"/>
                      <w14:textFill>
                        <w14:solidFill>
                          <w14:schemeClr w14:val="tx1"/>
                        </w14:solidFill>
                      </w14:textFill>
                    </w:rPr>
                    <w:t>DA001非甲烷总烃、执行《橡胶制品工业污染物排放标准》（GB27632-2011）表5中排放限值、DA002</w:t>
                  </w:r>
                  <w:r>
                    <w:rPr>
                      <w:rFonts w:hint="eastAsia" w:cs="Times New Roman"/>
                      <w:color w:val="000000" w:themeColor="text1"/>
                      <w:szCs w:val="21"/>
                      <w:highlight w:val="none"/>
                      <w:lang w:val="zh-CN"/>
                      <w14:textFill>
                        <w14:solidFill>
                          <w14:schemeClr w14:val="tx1"/>
                        </w14:solidFill>
                      </w14:textFill>
                    </w:rPr>
                    <w:t>非甲烷总烃、乙醛、四氢呋喃执行《合成树脂工业污染物排放标准》（GB31572-2015）（含2024年修改单）</w:t>
                  </w:r>
                  <w:r>
                    <w:rPr>
                      <w:rFonts w:hint="eastAsia" w:ascii="Times New Roman" w:hAnsi="Times New Roman" w:eastAsia="宋体" w:cs="Times New Roman"/>
                      <w:color w:val="000000" w:themeColor="text1"/>
                      <w:szCs w:val="21"/>
                      <w:highlight w:val="none"/>
                      <w:lang w:val="zh-CN"/>
                      <w14:textFill>
                        <w14:solidFill>
                          <w14:schemeClr w14:val="tx1"/>
                        </w14:solidFill>
                      </w14:textFill>
                    </w:rPr>
                    <w:t>表5中排放限值</w:t>
                  </w:r>
                  <w:r>
                    <w:rPr>
                      <w:rFonts w:hint="eastAsia" w:ascii="Times New Roman" w:hAnsi="Times New Roman" w:eastAsia="宋体" w:cs="Times New Roman"/>
                      <w:color w:val="000000" w:themeColor="text1"/>
                      <w:szCs w:val="21"/>
                      <w:highlight w:val="none"/>
                      <w:lang w:val="zh-CN" w:eastAsia="zh-CN"/>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无组织厂界</w:t>
                  </w:r>
                  <w:r>
                    <w:rPr>
                      <w:rFonts w:hint="eastAsia" w:ascii="Times New Roman" w:hAnsi="Times New Roman" w:eastAsia="宋体" w:cs="Times New Roman"/>
                      <w:color w:val="000000" w:themeColor="text1"/>
                      <w:szCs w:val="21"/>
                      <w:highlight w:val="none"/>
                      <w:lang w:val="zh-CN"/>
                      <w14:textFill>
                        <w14:solidFill>
                          <w14:schemeClr w14:val="tx1"/>
                        </w14:solidFill>
                      </w14:textFill>
                    </w:rPr>
                    <w:t>非甲烷总烃执行</w:t>
                  </w:r>
                  <w:r>
                    <w:rPr>
                      <w:rFonts w:hint="eastAsia" w:ascii="Times New Roman" w:hAnsi="Times New Roman" w:eastAsia="宋体" w:cs="Times New Roman"/>
                      <w:color w:val="000000" w:themeColor="text1"/>
                      <w:szCs w:val="21"/>
                      <w:highlight w:val="none"/>
                      <w:lang w:val="zh-CN" w:eastAsia="zh-CN"/>
                      <w14:textFill>
                        <w14:solidFill>
                          <w14:schemeClr w14:val="tx1"/>
                        </w14:solidFill>
                      </w14:textFill>
                    </w:rPr>
                    <w:t>《</w:t>
                  </w:r>
                  <w:r>
                    <w:rPr>
                      <w:rFonts w:hint="eastAsia" w:cs="Times New Roman"/>
                      <w:color w:val="000000" w:themeColor="text1"/>
                      <w:szCs w:val="21"/>
                      <w:highlight w:val="none"/>
                      <w:lang w:val="zh-CN" w:eastAsia="zh-CN"/>
                      <w14:textFill>
                        <w14:solidFill>
                          <w14:schemeClr w14:val="tx1"/>
                        </w14:solidFill>
                      </w14:textFill>
                    </w:rPr>
                    <w:t>橡胶制品工业污染物排放标准</w:t>
                  </w:r>
                  <w:r>
                    <w:rPr>
                      <w:rFonts w:hint="eastAsia" w:ascii="Times New Roman" w:hAnsi="Times New Roman" w:eastAsia="宋体" w:cs="Times New Roman"/>
                      <w:color w:val="000000" w:themeColor="text1"/>
                      <w:szCs w:val="21"/>
                      <w:highlight w:val="none"/>
                      <w:lang w:val="zh-CN" w:eastAsia="zh-CN"/>
                      <w14:textFill>
                        <w14:solidFill>
                          <w14:schemeClr w14:val="tx1"/>
                        </w14:solidFill>
                      </w14:textFill>
                    </w:rPr>
                    <w:t>》（GB27632-2011）</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表6</w:t>
                  </w:r>
                  <w:r>
                    <w:rPr>
                      <w:rFonts w:hint="eastAsia" w:ascii="Times New Roman" w:hAnsi="Times New Roman" w:eastAsia="宋体" w:cs="Times New Roman"/>
                      <w:color w:val="000000" w:themeColor="text1"/>
                      <w:szCs w:val="21"/>
                      <w:highlight w:val="none"/>
                      <w:lang w:val="zh-CN"/>
                      <w14:textFill>
                        <w14:solidFill>
                          <w14:schemeClr w14:val="tx1"/>
                        </w14:solidFill>
                      </w14:textFill>
                    </w:rPr>
                    <w:t>中排放限值、颗粒物执行《合成树脂工业污染物排放标准》（GB31572-2015）（含2024年修改单）表9中排放限值，厂区内非甲烷总烃执行</w:t>
                  </w:r>
                  <w:r>
                    <w:rPr>
                      <w:rFonts w:hint="default" w:ascii="Times New Roman" w:hAnsi="Times New Roman" w:eastAsia="宋体" w:cs="Times New Roman"/>
                      <w:color w:val="000000" w:themeColor="text1"/>
                      <w:szCs w:val="21"/>
                      <w:highlight w:val="none"/>
                      <w:lang w:val="zh-CN"/>
                      <w14:textFill>
                        <w14:solidFill>
                          <w14:schemeClr w14:val="tx1"/>
                        </w14:solidFill>
                      </w14:textFill>
                    </w:rPr>
                    <w:t>《大气污染物综合排放标准》（DB32/4041-2021）表</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szCs w:val="21"/>
                      <w:highlight w:val="none"/>
                      <w:lang w:val="zh-CN" w:eastAsia="zh-CN"/>
                      <w14:textFill>
                        <w14:solidFill>
                          <w14:schemeClr w14:val="tx1"/>
                        </w14:solidFill>
                      </w14:textFill>
                    </w:rPr>
                    <w:t>中排放限值，</w:t>
                  </w:r>
                  <w:r>
                    <w:rPr>
                      <w:rFonts w:hint="eastAsia" w:ascii="Times New Roman" w:hAnsi="Times New Roman" w:eastAsia="宋体" w:cs="Times New Roman"/>
                      <w:color w:val="000000" w:themeColor="text1"/>
                      <w:szCs w:val="21"/>
                      <w:highlight w:val="none"/>
                      <w:lang w:val="zh-CN"/>
                      <w14:textFill>
                        <w14:solidFill>
                          <w14:schemeClr w14:val="tx1"/>
                        </w14:solidFill>
                      </w14:textFill>
                    </w:rPr>
                    <w:t>臭气浓度执行《恶臭污染物排放标准》（GB14554-1993）。</w:t>
                  </w:r>
                </w:p>
              </w:tc>
            </w:tr>
            <w:tr w14:paraId="027BA1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3" w:type="pct"/>
                  <w:vMerge w:val="continue"/>
                  <w:vAlign w:val="center"/>
                </w:tcPr>
                <w:p w14:paraId="305B45A2">
                  <w:pPr>
                    <w:snapToGrid w:val="0"/>
                    <w:spacing w:line="240" w:lineRule="exact"/>
                    <w:jc w:val="center"/>
                    <w:rPr>
                      <w:color w:val="000000" w:themeColor="text1"/>
                      <w:szCs w:val="21"/>
                      <w:highlight w:val="none"/>
                      <w14:textFill>
                        <w14:solidFill>
                          <w14:schemeClr w14:val="tx1"/>
                        </w14:solidFill>
                      </w14:textFill>
                    </w:rPr>
                  </w:pPr>
                </w:p>
              </w:tc>
              <w:tc>
                <w:tcPr>
                  <w:tcW w:w="2241" w:type="pct"/>
                  <w:vAlign w:val="center"/>
                </w:tcPr>
                <w:p w14:paraId="40F6C1B9">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严格总量审查</w:t>
                  </w:r>
                </w:p>
                <w:p w14:paraId="236CC86A">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市生态环境局、各派出局总量管理部门严格排放总量审查（含各行政审批局负责审批的建设项目）。VOCs排放量优先采用国家大气源清单统计数据。涉新增VOCs排放（含有组织、无组织排放）的建设项目，在环评文件审批前应取得排放总量指标，并实施2倍削减替代。对未完成VOCs总量减排任务的区（园区），暂缓其涉新增VOCs排放的建设项目审批。具体按照我市相关总量管理要求执行。</w:t>
                  </w:r>
                </w:p>
              </w:tc>
              <w:tc>
                <w:tcPr>
                  <w:tcW w:w="3106" w:type="dxa"/>
                  <w:vAlign w:val="center"/>
                </w:tcPr>
                <w:p w14:paraId="7A98807A">
                  <w:pPr>
                    <w:snapToGrid w:val="0"/>
                    <w:spacing w:line="240" w:lineRule="exact"/>
                    <w:jc w:val="left"/>
                    <w:rPr>
                      <w:rFonts w:hint="eastAsia" w:ascii="Times New Roman" w:hAnsi="Times New Roman" w:eastAsia="宋体" w:cs="Times New Roman"/>
                      <w:color w:val="000000" w:themeColor="text1"/>
                      <w:szCs w:val="21"/>
                      <w:highlight w:val="none"/>
                      <w:lang w:val="zh-CN"/>
                      <w14:textFill>
                        <w14:solidFill>
                          <w14:schemeClr w14:val="tx1"/>
                        </w14:solidFill>
                      </w14:textFill>
                    </w:rPr>
                  </w:pPr>
                  <w:r>
                    <w:rPr>
                      <w:rFonts w:hint="eastAsia" w:ascii="Times New Roman" w:hAnsi="Times New Roman" w:eastAsia="宋体" w:cs="Times New Roman"/>
                      <w:color w:val="000000" w:themeColor="text1"/>
                      <w:szCs w:val="21"/>
                      <w:highlight w:val="none"/>
                      <w:lang w:val="zh-CN"/>
                      <w14:textFill>
                        <w14:solidFill>
                          <w14:schemeClr w14:val="tx1"/>
                        </w14:solidFill>
                      </w14:textFill>
                    </w:rPr>
                    <w:t>本项目已取得江宁生态环境局平衡的建设项目排放污染物总量指标（本项目废水在江宁区水减排项目内平衡；废气污染物由江宁区大气减排项目平衡）。</w:t>
                  </w:r>
                </w:p>
              </w:tc>
            </w:tr>
            <w:tr w14:paraId="1619EA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3" w:type="pct"/>
                  <w:vMerge w:val="restart"/>
                  <w:vAlign w:val="center"/>
                </w:tcPr>
                <w:p w14:paraId="42B16D6A">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二、严格VOCs污染防治内容审查</w:t>
                  </w:r>
                </w:p>
              </w:tc>
              <w:tc>
                <w:tcPr>
                  <w:tcW w:w="2241" w:type="pct"/>
                  <w:vAlign w:val="center"/>
                </w:tcPr>
                <w:p w14:paraId="52539CA8">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全面加强源头替代审查</w:t>
                  </w:r>
                </w:p>
                <w:p w14:paraId="56A1128F">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环评文件应对主要原辅料的理化性质、特性等进行详细分析，明确涉VOCs的主要原辅材料的类型、组分、含量等。使用涂料、油墨、胶粘剂、清洗剂等材料的，VOCs含量应满足国家及省VOCs含量限值要求（附表），优先使用水性、粉末、高固体分、无溶剂、辐射固化等低VOCs含量、低反应活性材料，源头控制VOCs产生。禁止审批生产和使用高VOCs含量的涂料、油墨、胶粘剂、清洗剂等建设项目。</w:t>
                  </w:r>
                </w:p>
              </w:tc>
              <w:tc>
                <w:tcPr>
                  <w:tcW w:w="3106" w:type="dxa"/>
                  <w:vAlign w:val="center"/>
                </w:tcPr>
                <w:p w14:paraId="509EF76F">
                  <w:pPr>
                    <w:snapToGrid w:val="0"/>
                    <w:spacing w:line="240" w:lineRule="exact"/>
                    <w:jc w:val="left"/>
                    <w:rPr>
                      <w:rFonts w:ascii="Times New Roman" w:hAnsi="Times New Roman" w:eastAsia="宋体" w:cs="Times New Roman"/>
                      <w:color w:val="000000" w:themeColor="text1"/>
                      <w:szCs w:val="21"/>
                      <w:highlight w:val="none"/>
                      <w:lang w:val="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本项目不使用</w:t>
                  </w:r>
                  <w:r>
                    <w:rPr>
                      <w:color w:val="000000" w:themeColor="text1"/>
                      <w:szCs w:val="21"/>
                      <w:highlight w:val="none"/>
                      <w14:textFill>
                        <w14:solidFill>
                          <w14:schemeClr w14:val="tx1"/>
                        </w14:solidFill>
                      </w14:textFill>
                    </w:rPr>
                    <w:t>涂料、油墨、胶粘剂、清洗剂等</w:t>
                  </w:r>
                  <w:r>
                    <w:rPr>
                      <w:rFonts w:ascii="Times New Roman" w:hAnsi="Times New Roman" w:eastAsia="宋体" w:cs="Times New Roman"/>
                      <w:color w:val="000000" w:themeColor="text1"/>
                      <w:szCs w:val="21"/>
                      <w:highlight w:val="none"/>
                      <w:lang w:val="zh-CN"/>
                      <w14:textFill>
                        <w14:solidFill>
                          <w14:schemeClr w14:val="tx1"/>
                        </w14:solidFill>
                      </w14:textFill>
                    </w:rPr>
                    <w:t>。</w:t>
                  </w:r>
                </w:p>
              </w:tc>
            </w:tr>
            <w:tr w14:paraId="0E8C61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3" w:type="pct"/>
                  <w:vMerge w:val="continue"/>
                  <w:vAlign w:val="center"/>
                </w:tcPr>
                <w:p w14:paraId="2F774C1D">
                  <w:pPr>
                    <w:snapToGrid w:val="0"/>
                    <w:spacing w:line="240" w:lineRule="exact"/>
                    <w:jc w:val="center"/>
                    <w:rPr>
                      <w:color w:val="000000" w:themeColor="text1"/>
                      <w:szCs w:val="21"/>
                      <w:highlight w:val="none"/>
                      <w14:textFill>
                        <w14:solidFill>
                          <w14:schemeClr w14:val="tx1"/>
                        </w14:solidFill>
                      </w14:textFill>
                    </w:rPr>
                  </w:pPr>
                </w:p>
              </w:tc>
              <w:tc>
                <w:tcPr>
                  <w:tcW w:w="2241" w:type="pct"/>
                  <w:vAlign w:val="center"/>
                </w:tcPr>
                <w:p w14:paraId="72757DE5">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（二）全面加强无组织排放控制审查</w:t>
                  </w:r>
                </w:p>
                <w:p w14:paraId="148A85B7">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涉VOCs无组织排放的建设项目，环评文件应严格按照《挥发性有机物无组织排放标准》等有关要求，重点加强对含VOCs物料储存、转移和输送、设备与管线组件泄漏、敞开液面逸散以及工艺过程等5类排放源的VOCs管控评价，详细描述采取的VOCs废气无组织控制措施，充分论证其可行性和可靠性，不得采用密闭收集、密闭储存等简单、笼统性文字进行描述。</w:t>
                  </w:r>
                </w:p>
                <w:p w14:paraId="29A03499">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生产流程中涉及VOCs的生产环节和服务活动，在符合安全要求前提下，应按要求在密闭空间或者设备中进行。无法密闭的，应采取措施有效减少废气排放，并科学设计废气收集系统。采用全密闭集气罩或密闭空间的，除行业有特殊要求外，应保持微负压状态，并根据规范合理设置通风量。采用局部集气罩的，距集气罩开口面最远处的VOCs无组织排放位置，控制风速应不低于0.3米/秒。VOCs废气应遵循</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应收尽收、分质收集</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原则，收集效率应原则上不低于90%，由于技术可行性等因素确实达不到的，应在环评文件中充分论述并确定收集效率要求。</w:t>
                  </w:r>
                </w:p>
                <w:p w14:paraId="609BFB89">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加强载有气态、液态VOCs物料的设备与管线组件的管理，动静密封点数量大于等于2000个的建设项目，环评文件中应明确要求按期开展</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泄漏检测与修复</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（LDAR）工作，严格控制跑冒滴漏和无组织泄漏排放。</w:t>
                  </w:r>
                </w:p>
              </w:tc>
              <w:tc>
                <w:tcPr>
                  <w:tcW w:w="3106" w:type="dxa"/>
                  <w:vAlign w:val="center"/>
                </w:tcPr>
                <w:p w14:paraId="6CFE73CD">
                  <w:pPr>
                    <w:snapToGrid w:val="0"/>
                    <w:spacing w:line="240" w:lineRule="exact"/>
                    <w:jc w:val="left"/>
                    <w:rPr>
                      <w:rFonts w:ascii="Times New Roman" w:hAnsi="Times New Roman" w:eastAsia="宋体" w:cs="Times New Roman"/>
                      <w:color w:val="000000" w:themeColor="text1"/>
                      <w:szCs w:val="21"/>
                      <w:highlight w:val="none"/>
                      <w:lang w:val="zh-CN"/>
                      <w14:textFill>
                        <w14:solidFill>
                          <w14:schemeClr w14:val="tx1"/>
                        </w14:solidFill>
                      </w14:textFill>
                    </w:rPr>
                  </w:pPr>
                  <w:r>
                    <w:rPr>
                      <w:rFonts w:ascii="Times New Roman" w:hAnsi="Times New Roman" w:eastAsia="宋体" w:cs="Times New Roman"/>
                      <w:color w:val="000000" w:themeColor="text1"/>
                      <w:szCs w:val="21"/>
                      <w:highlight w:val="none"/>
                      <w:lang w:val="zh-CN"/>
                      <w14:textFill>
                        <w14:solidFill>
                          <w14:schemeClr w14:val="tx1"/>
                        </w14:solidFill>
                      </w14:textFill>
                    </w:rPr>
                    <w:t>本项目所用的化学品原料，均分类分质分区贮存，未使用时包装密封，贮存过程中无气体逸散。涉及VOCs的生产环节和服务活动，在符合安全要求前提下，按要求在密闭空间或者设备中进行。</w:t>
                  </w:r>
                </w:p>
                <w:p w14:paraId="380FF61E">
                  <w:pPr>
                    <w:snapToGrid w:val="0"/>
                    <w:spacing w:line="240" w:lineRule="exact"/>
                    <w:jc w:val="left"/>
                    <w:rPr>
                      <w:rFonts w:ascii="Times New Roman" w:hAnsi="Times New Roman" w:eastAsia="宋体" w:cs="Times New Roman"/>
                      <w:color w:val="000000" w:themeColor="text1"/>
                      <w:szCs w:val="21"/>
                      <w:highlight w:val="none"/>
                      <w:lang w:val="zh-CN"/>
                      <w14:textFill>
                        <w14:solidFill>
                          <w14:schemeClr w14:val="tx1"/>
                        </w14:solidFill>
                      </w14:textFill>
                    </w:rPr>
                  </w:pPr>
                  <w:r>
                    <w:rPr>
                      <w:rFonts w:hint="eastAsia" w:ascii="Times New Roman" w:hAnsi="Times New Roman" w:eastAsia="宋体" w:cs="Times New Roman"/>
                      <w:color w:val="000000" w:themeColor="text1"/>
                      <w:szCs w:val="21"/>
                      <w:highlight w:val="none"/>
                      <w:lang w:eastAsia="zh-CN"/>
                      <w14:textFill>
                        <w14:solidFill>
                          <w14:schemeClr w14:val="tx1"/>
                        </w14:solidFill>
                      </w14:textFill>
                    </w:rPr>
                    <w:t>本项目有机废气通过集气罩收集后</w:t>
                  </w:r>
                  <w:r>
                    <w:rPr>
                      <w:rFonts w:hint="eastAsia" w:cs="Times New Roman"/>
                      <w:color w:val="000000" w:themeColor="text1"/>
                      <w:szCs w:val="21"/>
                      <w:highlight w:val="none"/>
                      <w:lang w:eastAsia="zh-CN"/>
                      <w14:textFill>
                        <w14:solidFill>
                          <w14:schemeClr w14:val="tx1"/>
                        </w14:solidFill>
                      </w14:textFill>
                    </w:rPr>
                    <w:t>经二级活性炭吸附</w:t>
                  </w:r>
                  <w:r>
                    <w:rPr>
                      <w:color w:val="000000" w:themeColor="text1"/>
                      <w:szCs w:val="21"/>
                      <w:highlight w:val="none"/>
                      <w14:textFill>
                        <w14:solidFill>
                          <w14:schemeClr w14:val="tx1"/>
                        </w14:solidFill>
                      </w14:textFill>
                    </w:rPr>
                    <w:t>，属于采取有效措施，减少挥发性有机物排放，符合相关要求</w:t>
                  </w:r>
                  <w:r>
                    <w:rPr>
                      <w:rFonts w:hint="eastAsia" w:ascii="Times New Roman" w:hAnsi="Times New Roman" w:eastAsia="宋体" w:cs="Times New Roman"/>
                      <w:color w:val="000000" w:themeColor="text1"/>
                      <w:szCs w:val="21"/>
                      <w:highlight w:val="none"/>
                      <w:lang w:val="zh-CN"/>
                      <w14:textFill>
                        <w14:solidFill>
                          <w14:schemeClr w14:val="tx1"/>
                        </w14:solidFill>
                      </w14:textFill>
                    </w:rPr>
                    <w:t>。</w:t>
                  </w:r>
                </w:p>
                <w:p w14:paraId="068DD257">
                  <w:pPr>
                    <w:snapToGrid w:val="0"/>
                    <w:spacing w:line="240" w:lineRule="exact"/>
                    <w:jc w:val="left"/>
                    <w:rPr>
                      <w:rFonts w:ascii="Times New Roman" w:hAnsi="Times New Roman" w:eastAsia="宋体" w:cs="Times New Roman"/>
                      <w:color w:val="000000" w:themeColor="text1"/>
                      <w:szCs w:val="21"/>
                      <w:highlight w:val="none"/>
                      <w:lang w:val="zh-CN"/>
                      <w14:textFill>
                        <w14:solidFill>
                          <w14:schemeClr w14:val="tx1"/>
                        </w14:solidFill>
                      </w14:textFill>
                    </w:rPr>
                  </w:pPr>
                  <w:r>
                    <w:rPr>
                      <w:rFonts w:ascii="Times New Roman" w:hAnsi="Times New Roman" w:eastAsia="宋体" w:cs="Times New Roman"/>
                      <w:color w:val="000000" w:themeColor="text1"/>
                      <w:szCs w:val="21"/>
                      <w:highlight w:val="none"/>
                      <w:lang w:val="zh-CN"/>
                      <w14:textFill>
                        <w14:solidFill>
                          <w14:schemeClr w14:val="tx1"/>
                        </w14:solidFill>
                      </w14:textFill>
                    </w:rPr>
                    <w:t>无组织排放严格按照《挥发性有机物无组织排放标准》等有关要求，</w:t>
                  </w:r>
                  <w:r>
                    <w:rPr>
                      <w:rFonts w:hint="eastAsia" w:ascii="Times New Roman" w:hAnsi="Times New Roman" w:eastAsia="宋体" w:cs="Times New Roman"/>
                      <w:color w:val="000000" w:themeColor="text1"/>
                      <w:szCs w:val="21"/>
                      <w:highlight w:val="none"/>
                      <w:lang w:val="zh-CN"/>
                      <w14:textFill>
                        <w14:solidFill>
                          <w14:schemeClr w14:val="tx1"/>
                        </w14:solidFill>
                      </w14:textFill>
                    </w:rPr>
                    <w:t>本项目后续要加强载有VOCs物料的设备管理，严格控制泄漏。</w:t>
                  </w:r>
                </w:p>
              </w:tc>
            </w:tr>
          </w:tbl>
          <w:p w14:paraId="40224395">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根据《〈长江经济带发展负面清单指南〉（试行，2022年版）江苏省实施细则》（苏长江办发〔2022〕55号）相关要求，如下表。</w:t>
            </w:r>
          </w:p>
          <w:p w14:paraId="0D589BD6">
            <w:pPr>
              <w:pStyle w:val="126"/>
              <w:numPr>
                <w:ilvl w:val="0"/>
                <w:numId w:val="0"/>
              </w:numPr>
              <w:spacing w:line="440" w:lineRule="exac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表1-1</w:t>
            </w:r>
            <w:r>
              <w:rPr>
                <w:rFonts w:hint="eastAsia"/>
                <w:color w:val="000000" w:themeColor="text1"/>
                <w:sz w:val="24"/>
                <w:highlight w:val="none"/>
                <w:lang w:val="en-US" w:eastAsia="zh-CN"/>
                <w14:textFill>
                  <w14:solidFill>
                    <w14:schemeClr w14:val="tx1"/>
                  </w14:solidFill>
                </w14:textFill>
              </w:rPr>
              <w:t xml:space="preserve">1  </w:t>
            </w:r>
            <w:r>
              <w:rPr>
                <w:color w:val="000000" w:themeColor="text1"/>
                <w:sz w:val="24"/>
                <w:highlight w:val="none"/>
                <w14:textFill>
                  <w14:solidFill>
                    <w14:schemeClr w14:val="tx1"/>
                  </w14:solidFill>
                </w14:textFill>
              </w:rPr>
              <w:t>与苏长江办发〔2022〕55号文相符性分析</w:t>
            </w:r>
          </w:p>
          <w:tbl>
            <w:tblPr>
              <w:tblStyle w:val="38"/>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920"/>
              <w:gridCol w:w="1834"/>
              <w:gridCol w:w="946"/>
            </w:tblGrid>
            <w:tr w14:paraId="2FCA84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7" w:type="pct"/>
                  <w:vAlign w:val="center"/>
                </w:tcPr>
                <w:p w14:paraId="3BACA42A">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项目</w:t>
                  </w:r>
                </w:p>
              </w:tc>
              <w:tc>
                <w:tcPr>
                  <w:tcW w:w="2616" w:type="pct"/>
                  <w:vAlign w:val="center"/>
                </w:tcPr>
                <w:p w14:paraId="6DE45837">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具体要求</w:t>
                  </w:r>
                </w:p>
              </w:tc>
              <w:tc>
                <w:tcPr>
                  <w:tcW w:w="1224" w:type="pct"/>
                  <w:vAlign w:val="center"/>
                </w:tcPr>
                <w:p w14:paraId="3B9BC039">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本项目情况</w:t>
                  </w:r>
                </w:p>
              </w:tc>
              <w:tc>
                <w:tcPr>
                  <w:tcW w:w="631" w:type="pct"/>
                  <w:vAlign w:val="center"/>
                </w:tcPr>
                <w:p w14:paraId="0F86F0F5">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相符情况</w:t>
                  </w:r>
                </w:p>
              </w:tc>
            </w:tr>
            <w:tr w14:paraId="76D612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7" w:type="pct"/>
                  <w:vMerge w:val="restart"/>
                  <w:vAlign w:val="center"/>
                </w:tcPr>
                <w:p w14:paraId="723400BB">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一、河段利用与岸线开发</w:t>
                  </w:r>
                </w:p>
              </w:tc>
              <w:tc>
                <w:tcPr>
                  <w:tcW w:w="2616" w:type="pct"/>
                  <w:vAlign w:val="center"/>
                </w:tcPr>
                <w:p w14:paraId="7EC43829">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严格执行《中华人民共和国水污染防治法》《江苏省人民代表大会常务委员会关于加强饮用水源地保护的决定》《江苏省水污染防治条例》，禁止在饮用水水源一级保护区的岸线和河段范围内新建、改建、扩建与供水设施和保护水源无关的项目，以及网箱养殖、畜禽养殖、旅游等可能污染饮用水水体的投资建设项目；禁止在饮用水水源二级保护区的岸线和河段范围内新建、改建、扩建排放污染物的投资建设项目；禁止在饮用水水源准保护区的岸线和河段范围内新建、扩建对水体污染严重的投资建设项目，改建项目应当消减排污量。饮用水水源一级保护区、二级保护区、准保护区由省生态环境厅会同水利等有关方面界定并落实管控责任。</w:t>
                  </w:r>
                </w:p>
              </w:tc>
              <w:tc>
                <w:tcPr>
                  <w:tcW w:w="1224" w:type="pct"/>
                  <w:vAlign w:val="center"/>
                </w:tcPr>
                <w:p w14:paraId="0EA3D5C7">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本项目属于</w:t>
                  </w:r>
                  <w:r>
                    <w:rPr>
                      <w:rFonts w:hint="eastAsia"/>
                      <w:color w:val="000000" w:themeColor="text1"/>
                      <w:szCs w:val="21"/>
                      <w:highlight w:val="none"/>
                      <w:lang w:eastAsia="zh-CN"/>
                      <w14:textFill>
                        <w14:solidFill>
                          <w14:schemeClr w14:val="tx1"/>
                        </w14:solidFill>
                      </w14:textFill>
                    </w:rPr>
                    <w:t>C2913橡胶零件制造、C2929塑料零件及其他塑料制品制造、C3670汽车零部件及配件制造，</w:t>
                  </w:r>
                  <w:r>
                    <w:rPr>
                      <w:color w:val="000000" w:themeColor="text1"/>
                      <w:szCs w:val="21"/>
                      <w:highlight w:val="none"/>
                      <w14:textFill>
                        <w14:solidFill>
                          <w14:schemeClr w14:val="tx1"/>
                        </w14:solidFill>
                      </w14:textFill>
                    </w:rPr>
                    <w:t>本项目不在饮用水水源一级保护区、二级保护区、准保护区范围内。</w:t>
                  </w:r>
                </w:p>
              </w:tc>
              <w:tc>
                <w:tcPr>
                  <w:tcW w:w="631" w:type="pct"/>
                  <w:vAlign w:val="center"/>
                </w:tcPr>
                <w:p w14:paraId="270365BF">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5FD95E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7" w:type="pct"/>
                  <w:vMerge w:val="continue"/>
                  <w:vAlign w:val="center"/>
                </w:tcPr>
                <w:p w14:paraId="04089BF2">
                  <w:pPr>
                    <w:snapToGrid w:val="0"/>
                    <w:spacing w:line="240" w:lineRule="exact"/>
                    <w:jc w:val="center"/>
                    <w:rPr>
                      <w:color w:val="000000" w:themeColor="text1"/>
                      <w:szCs w:val="21"/>
                      <w:highlight w:val="none"/>
                      <w14:textFill>
                        <w14:solidFill>
                          <w14:schemeClr w14:val="tx1"/>
                        </w14:solidFill>
                      </w14:textFill>
                    </w:rPr>
                  </w:pPr>
                </w:p>
              </w:tc>
              <w:tc>
                <w:tcPr>
                  <w:tcW w:w="2616" w:type="pct"/>
                  <w:vAlign w:val="center"/>
                </w:tcPr>
                <w:p w14:paraId="5036AB48">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6.禁止未经许可在长江干支流及湖泊新设、改设或扩大排污口。</w:t>
                  </w:r>
                </w:p>
              </w:tc>
              <w:tc>
                <w:tcPr>
                  <w:tcW w:w="1224" w:type="pct"/>
                  <w:vAlign w:val="center"/>
                </w:tcPr>
                <w:p w14:paraId="45DF1BF8">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不涉及</w:t>
                  </w:r>
                </w:p>
              </w:tc>
              <w:tc>
                <w:tcPr>
                  <w:tcW w:w="631" w:type="pct"/>
                  <w:vAlign w:val="center"/>
                </w:tcPr>
                <w:p w14:paraId="24FF5260">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69F096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7" w:type="pct"/>
                  <w:vMerge w:val="restart"/>
                  <w:vAlign w:val="center"/>
                </w:tcPr>
                <w:p w14:paraId="754EE237">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二、区域活动</w:t>
                  </w:r>
                </w:p>
              </w:tc>
              <w:tc>
                <w:tcPr>
                  <w:tcW w:w="2616" w:type="pct"/>
                  <w:vAlign w:val="center"/>
                </w:tcPr>
                <w:p w14:paraId="1634D1F6">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7.禁止长江干流、长江口、34个列入《率先全面禁捕的长江流域水生生物保护区名录》的水生生物保护区以及省规定的其他禁渔水域开展生产性捕捞。</w:t>
                  </w:r>
                </w:p>
              </w:tc>
              <w:tc>
                <w:tcPr>
                  <w:tcW w:w="1224" w:type="pct"/>
                  <w:vAlign w:val="center"/>
                </w:tcPr>
                <w:p w14:paraId="6AF384CF">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不涉及</w:t>
                  </w:r>
                </w:p>
              </w:tc>
              <w:tc>
                <w:tcPr>
                  <w:tcW w:w="631" w:type="pct"/>
                  <w:vAlign w:val="center"/>
                </w:tcPr>
                <w:p w14:paraId="0E309AA6">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w:t>
                  </w:r>
                </w:p>
              </w:tc>
            </w:tr>
            <w:tr w14:paraId="71F70E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7" w:type="pct"/>
                  <w:vMerge w:val="continue"/>
                  <w:vAlign w:val="center"/>
                </w:tcPr>
                <w:p w14:paraId="79BF2D2E">
                  <w:pPr>
                    <w:snapToGrid w:val="0"/>
                    <w:spacing w:line="240" w:lineRule="exact"/>
                    <w:jc w:val="center"/>
                    <w:rPr>
                      <w:color w:val="000000" w:themeColor="text1"/>
                      <w:szCs w:val="21"/>
                      <w:highlight w:val="none"/>
                      <w14:textFill>
                        <w14:solidFill>
                          <w14:schemeClr w14:val="tx1"/>
                        </w14:solidFill>
                      </w14:textFill>
                    </w:rPr>
                  </w:pPr>
                </w:p>
              </w:tc>
              <w:tc>
                <w:tcPr>
                  <w:tcW w:w="2616" w:type="pct"/>
                  <w:vAlign w:val="center"/>
                </w:tcPr>
                <w:p w14:paraId="04E17642">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8.禁止在距离长江干支流岸线一公里范围内新建、扩建化工园区和化工项目。长江干支流一公里按照长江干支流岸线边界（即水利部门河道管理范围边界）向陆域纵深一公里执行。</w:t>
                  </w:r>
                </w:p>
              </w:tc>
              <w:tc>
                <w:tcPr>
                  <w:tcW w:w="1224" w:type="pct"/>
                  <w:vAlign w:val="center"/>
                </w:tcPr>
                <w:p w14:paraId="7CFD6208">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本项目与长江岸线距离为</w:t>
                  </w:r>
                  <w:r>
                    <w:rPr>
                      <w:rFonts w:hint="eastAsia"/>
                      <w:color w:val="000000" w:themeColor="text1"/>
                      <w:szCs w:val="21"/>
                      <w:highlight w:val="none"/>
                      <w:lang w:val="en-US" w:eastAsia="zh-CN"/>
                      <w14:textFill>
                        <w14:solidFill>
                          <w14:schemeClr w14:val="tx1"/>
                        </w14:solidFill>
                      </w14:textFill>
                    </w:rPr>
                    <w:t>28</w:t>
                  </w:r>
                  <w:r>
                    <w:rPr>
                      <w:color w:val="000000" w:themeColor="text1"/>
                      <w:szCs w:val="21"/>
                      <w:highlight w:val="none"/>
                      <w14:textFill>
                        <w14:solidFill>
                          <w14:schemeClr w14:val="tx1"/>
                        </w14:solidFill>
                      </w14:textFill>
                    </w:rPr>
                    <w:t>km，</w:t>
                  </w:r>
                  <w:r>
                    <w:rPr>
                      <w:rFonts w:hint="eastAsia"/>
                      <w:color w:val="000000" w:themeColor="text1"/>
                      <w:szCs w:val="21"/>
                      <w:highlight w:val="none"/>
                      <w:lang w:eastAsia="zh-CN"/>
                      <w14:textFill>
                        <w14:solidFill>
                          <w14:schemeClr w14:val="tx1"/>
                        </w14:solidFill>
                      </w14:textFill>
                    </w:rPr>
                    <w:t>主要从事橡胶零件和塑料零件制造</w:t>
                  </w:r>
                  <w:r>
                    <w:rPr>
                      <w:color w:val="000000" w:themeColor="text1"/>
                      <w:szCs w:val="21"/>
                      <w:highlight w:val="none"/>
                      <w14:textFill>
                        <w14:solidFill>
                          <w14:schemeClr w14:val="tx1"/>
                        </w14:solidFill>
                      </w14:textFill>
                    </w:rPr>
                    <w:t>，不属于化工项目。</w:t>
                  </w:r>
                </w:p>
              </w:tc>
              <w:tc>
                <w:tcPr>
                  <w:tcW w:w="631" w:type="pct"/>
                  <w:vAlign w:val="center"/>
                </w:tcPr>
                <w:p w14:paraId="281E584F">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相符</w:t>
                  </w:r>
                </w:p>
              </w:tc>
            </w:tr>
            <w:tr w14:paraId="3960C9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7" w:type="pct"/>
                  <w:vMerge w:val="continue"/>
                  <w:vAlign w:val="center"/>
                </w:tcPr>
                <w:p w14:paraId="42ED137F">
                  <w:pPr>
                    <w:snapToGrid w:val="0"/>
                    <w:spacing w:line="240" w:lineRule="exact"/>
                    <w:jc w:val="center"/>
                    <w:rPr>
                      <w:color w:val="000000" w:themeColor="text1"/>
                      <w:szCs w:val="21"/>
                      <w:highlight w:val="none"/>
                      <w14:textFill>
                        <w14:solidFill>
                          <w14:schemeClr w14:val="tx1"/>
                        </w14:solidFill>
                      </w14:textFill>
                    </w:rPr>
                  </w:pPr>
                </w:p>
              </w:tc>
              <w:tc>
                <w:tcPr>
                  <w:tcW w:w="2616" w:type="pct"/>
                  <w:vAlign w:val="center"/>
                </w:tcPr>
                <w:p w14:paraId="1B9DA438">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9.禁止在长江干流岸线三公里范围内新建、改建、扩建尾矿库、冶炼渣库和磷石膏库，以提升安全、生态环境保护水平为目的的改建除外。</w:t>
                  </w:r>
                </w:p>
              </w:tc>
              <w:tc>
                <w:tcPr>
                  <w:tcW w:w="1224" w:type="pct"/>
                  <w:vAlign w:val="center"/>
                </w:tcPr>
                <w:p w14:paraId="5F50F243">
                  <w:pPr>
                    <w:snapToGrid w:val="0"/>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本项目主要从事橡胶零件和塑料零件制造，</w:t>
                  </w:r>
                  <w:r>
                    <w:rPr>
                      <w:color w:val="000000" w:themeColor="text1"/>
                      <w:szCs w:val="21"/>
                      <w:highlight w:val="none"/>
                      <w14:textFill>
                        <w14:solidFill>
                          <w14:schemeClr w14:val="tx1"/>
                        </w14:solidFill>
                      </w14:textFill>
                    </w:rPr>
                    <w:t>不涉及尾矿库、冶炼渣库和磷石膏库。</w:t>
                  </w:r>
                </w:p>
              </w:tc>
              <w:tc>
                <w:tcPr>
                  <w:tcW w:w="631" w:type="pct"/>
                  <w:vAlign w:val="center"/>
                </w:tcPr>
                <w:p w14:paraId="3301A04A">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相符</w:t>
                  </w:r>
                </w:p>
              </w:tc>
            </w:tr>
            <w:tr w14:paraId="287CE4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7" w:type="pct"/>
                  <w:vMerge w:val="continue"/>
                  <w:vAlign w:val="center"/>
                </w:tcPr>
                <w:p w14:paraId="0287AAA9">
                  <w:pPr>
                    <w:snapToGrid w:val="0"/>
                    <w:spacing w:line="240" w:lineRule="exact"/>
                    <w:jc w:val="center"/>
                    <w:rPr>
                      <w:color w:val="000000" w:themeColor="text1"/>
                      <w:szCs w:val="21"/>
                      <w:highlight w:val="none"/>
                      <w14:textFill>
                        <w14:solidFill>
                          <w14:schemeClr w14:val="tx1"/>
                        </w14:solidFill>
                      </w14:textFill>
                    </w:rPr>
                  </w:pPr>
                </w:p>
              </w:tc>
              <w:tc>
                <w:tcPr>
                  <w:tcW w:w="2616" w:type="pct"/>
                  <w:vAlign w:val="center"/>
                </w:tcPr>
                <w:p w14:paraId="7D438B9A">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10.禁止在太湖流域一、二、三级保护区内开展《江苏省太湖水污染防治条例》禁止的投资建设活动。</w:t>
                  </w:r>
                </w:p>
              </w:tc>
              <w:tc>
                <w:tcPr>
                  <w:tcW w:w="1224" w:type="pct"/>
                  <w:vAlign w:val="center"/>
                </w:tcPr>
                <w:p w14:paraId="77B81748">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不涉及</w:t>
                  </w:r>
                </w:p>
              </w:tc>
              <w:tc>
                <w:tcPr>
                  <w:tcW w:w="631" w:type="pct"/>
                  <w:vAlign w:val="center"/>
                </w:tcPr>
                <w:p w14:paraId="27423766">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w:t>
                  </w:r>
                </w:p>
              </w:tc>
            </w:tr>
            <w:tr w14:paraId="6820FB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7" w:type="pct"/>
                  <w:vMerge w:val="continue"/>
                  <w:vAlign w:val="center"/>
                </w:tcPr>
                <w:p w14:paraId="037B760B">
                  <w:pPr>
                    <w:snapToGrid w:val="0"/>
                    <w:spacing w:line="240" w:lineRule="exact"/>
                    <w:jc w:val="center"/>
                    <w:rPr>
                      <w:color w:val="000000" w:themeColor="text1"/>
                      <w:szCs w:val="21"/>
                      <w:highlight w:val="none"/>
                      <w14:textFill>
                        <w14:solidFill>
                          <w14:schemeClr w14:val="tx1"/>
                        </w14:solidFill>
                      </w14:textFill>
                    </w:rPr>
                  </w:pPr>
                </w:p>
              </w:tc>
              <w:tc>
                <w:tcPr>
                  <w:tcW w:w="2616" w:type="pct"/>
                  <w:vAlign w:val="center"/>
                </w:tcPr>
                <w:p w14:paraId="7C5428ED">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11.禁止在沿江地区新建、扩建未纳入国家和省布局规划的燃煤发电项目。</w:t>
                  </w:r>
                </w:p>
              </w:tc>
              <w:tc>
                <w:tcPr>
                  <w:tcW w:w="1224" w:type="pct"/>
                  <w:vAlign w:val="center"/>
                </w:tcPr>
                <w:p w14:paraId="5452AFF4">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不涉及</w:t>
                  </w:r>
                </w:p>
              </w:tc>
              <w:tc>
                <w:tcPr>
                  <w:tcW w:w="631" w:type="pct"/>
                  <w:vAlign w:val="center"/>
                </w:tcPr>
                <w:p w14:paraId="378CB20F">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w:t>
                  </w:r>
                </w:p>
              </w:tc>
            </w:tr>
            <w:tr w14:paraId="58FD6D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7" w:type="pct"/>
                  <w:vMerge w:val="continue"/>
                  <w:vAlign w:val="center"/>
                </w:tcPr>
                <w:p w14:paraId="2016EE6E">
                  <w:pPr>
                    <w:snapToGrid w:val="0"/>
                    <w:spacing w:line="240" w:lineRule="exact"/>
                    <w:jc w:val="center"/>
                    <w:rPr>
                      <w:color w:val="000000" w:themeColor="text1"/>
                      <w:szCs w:val="21"/>
                      <w:highlight w:val="none"/>
                      <w14:textFill>
                        <w14:solidFill>
                          <w14:schemeClr w14:val="tx1"/>
                        </w14:solidFill>
                      </w14:textFill>
                    </w:rPr>
                  </w:pPr>
                </w:p>
              </w:tc>
              <w:tc>
                <w:tcPr>
                  <w:tcW w:w="2616" w:type="pct"/>
                  <w:vAlign w:val="center"/>
                </w:tcPr>
                <w:p w14:paraId="7F8FDA83">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12.禁止在合规园区外新建、扩建钢铁、石化、化工、焦化、建材、有色、制浆造纸等高污染项目。合规园区名录按照《〈长江经济带发展负面清单指南（试行，2022年版）〉江苏省实施细则合规园区名录》执行。</w:t>
                  </w:r>
                </w:p>
              </w:tc>
              <w:tc>
                <w:tcPr>
                  <w:tcW w:w="1224" w:type="pct"/>
                  <w:vAlign w:val="center"/>
                </w:tcPr>
                <w:p w14:paraId="191AF860">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本项目位于江宁经济技术开发区，</w:t>
                  </w:r>
                  <w:r>
                    <w:rPr>
                      <w:rFonts w:hint="eastAsia"/>
                      <w:color w:val="000000" w:themeColor="text1"/>
                      <w:szCs w:val="21"/>
                      <w:highlight w:val="none"/>
                      <w:lang w:eastAsia="zh-CN"/>
                      <w14:textFill>
                        <w14:solidFill>
                          <w14:schemeClr w14:val="tx1"/>
                        </w14:solidFill>
                      </w14:textFill>
                    </w:rPr>
                    <w:t>从事橡胶零件制造</w:t>
                  </w:r>
                  <w:r>
                    <w:rPr>
                      <w:color w:val="000000" w:themeColor="text1"/>
                      <w:szCs w:val="21"/>
                      <w:highlight w:val="none"/>
                      <w14:textFill>
                        <w14:solidFill>
                          <w14:schemeClr w14:val="tx1"/>
                        </w14:solidFill>
                      </w14:textFill>
                    </w:rPr>
                    <w:t>，属于</w:t>
                  </w:r>
                  <w:r>
                    <w:rPr>
                      <w:rFonts w:hint="eastAsia"/>
                      <w:color w:val="000000" w:themeColor="text1"/>
                      <w:szCs w:val="21"/>
                      <w:highlight w:val="none"/>
                      <w:lang w:eastAsia="zh-CN"/>
                      <w14:textFill>
                        <w14:solidFill>
                          <w14:schemeClr w14:val="tx1"/>
                        </w14:solidFill>
                      </w14:textFill>
                    </w:rPr>
                    <w:t>C2913橡胶零件制造、C2929塑料零件及其他塑料制品制造、C3670汽车零部件及配件制造，</w:t>
                  </w:r>
                  <w:r>
                    <w:rPr>
                      <w:color w:val="000000" w:themeColor="text1"/>
                      <w:szCs w:val="21"/>
                      <w:highlight w:val="none"/>
                      <w14:textFill>
                        <w14:solidFill>
                          <w14:schemeClr w14:val="tx1"/>
                        </w14:solidFill>
                      </w14:textFill>
                    </w:rPr>
                    <w:t>不属于禁止和限制项目，</w:t>
                  </w:r>
                  <w:r>
                    <w:rPr>
                      <w:rFonts w:hint="eastAsia"/>
                      <w:color w:val="000000" w:themeColor="text1"/>
                      <w:szCs w:val="21"/>
                      <w:highlight w:val="none"/>
                      <w:lang w:eastAsia="zh-CN"/>
                      <w14:textFill>
                        <w14:solidFill>
                          <w14:schemeClr w14:val="tx1"/>
                        </w14:solidFill>
                      </w14:textFill>
                    </w:rPr>
                    <w:t>属于允许类</w:t>
                  </w:r>
                  <w:r>
                    <w:rPr>
                      <w:color w:val="000000" w:themeColor="text1"/>
                      <w:szCs w:val="21"/>
                      <w:highlight w:val="none"/>
                      <w14:textFill>
                        <w14:solidFill>
                          <w14:schemeClr w14:val="tx1"/>
                        </w14:solidFill>
                      </w14:textFill>
                    </w:rPr>
                    <w:t>。</w:t>
                  </w:r>
                </w:p>
              </w:tc>
              <w:tc>
                <w:tcPr>
                  <w:tcW w:w="631" w:type="pct"/>
                  <w:vAlign w:val="center"/>
                </w:tcPr>
                <w:p w14:paraId="1F985651">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相符</w:t>
                  </w:r>
                </w:p>
              </w:tc>
            </w:tr>
            <w:tr w14:paraId="447FC4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7" w:type="pct"/>
                  <w:vMerge w:val="continue"/>
                  <w:vAlign w:val="center"/>
                </w:tcPr>
                <w:p w14:paraId="1117A0F8">
                  <w:pPr>
                    <w:snapToGrid w:val="0"/>
                    <w:spacing w:line="240" w:lineRule="exact"/>
                    <w:jc w:val="center"/>
                    <w:rPr>
                      <w:color w:val="000000" w:themeColor="text1"/>
                      <w:szCs w:val="21"/>
                      <w:highlight w:val="none"/>
                      <w14:textFill>
                        <w14:solidFill>
                          <w14:schemeClr w14:val="tx1"/>
                        </w14:solidFill>
                      </w14:textFill>
                    </w:rPr>
                  </w:pPr>
                </w:p>
              </w:tc>
              <w:tc>
                <w:tcPr>
                  <w:tcW w:w="2616" w:type="pct"/>
                  <w:vAlign w:val="center"/>
                </w:tcPr>
                <w:p w14:paraId="1864FFAE">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13.禁止在取消化工定位的园区（集中区）内新建化工项目。</w:t>
                  </w:r>
                </w:p>
              </w:tc>
              <w:tc>
                <w:tcPr>
                  <w:tcW w:w="1224" w:type="pct"/>
                  <w:vAlign w:val="center"/>
                </w:tcPr>
                <w:p w14:paraId="42561F4F">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不涉及</w:t>
                  </w:r>
                </w:p>
              </w:tc>
              <w:tc>
                <w:tcPr>
                  <w:tcW w:w="631" w:type="pct"/>
                  <w:vAlign w:val="center"/>
                </w:tcPr>
                <w:p w14:paraId="4CD09A4C">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w:t>
                  </w:r>
                </w:p>
              </w:tc>
            </w:tr>
            <w:tr w14:paraId="3B29FA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7" w:type="pct"/>
                  <w:vMerge w:val="continue"/>
                  <w:vAlign w:val="center"/>
                </w:tcPr>
                <w:p w14:paraId="29083C37">
                  <w:pPr>
                    <w:snapToGrid w:val="0"/>
                    <w:spacing w:line="240" w:lineRule="exact"/>
                    <w:jc w:val="center"/>
                    <w:rPr>
                      <w:color w:val="000000" w:themeColor="text1"/>
                      <w:szCs w:val="21"/>
                      <w:highlight w:val="none"/>
                      <w14:textFill>
                        <w14:solidFill>
                          <w14:schemeClr w14:val="tx1"/>
                        </w14:solidFill>
                      </w14:textFill>
                    </w:rPr>
                  </w:pPr>
                </w:p>
              </w:tc>
              <w:tc>
                <w:tcPr>
                  <w:tcW w:w="2616" w:type="pct"/>
                  <w:vAlign w:val="center"/>
                </w:tcPr>
                <w:p w14:paraId="6CCD1AE0">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14.禁止在化工企业周边建设不符合安全距离规定的劳动密集型的非化工项目和其他人员密集的公共设施项目。</w:t>
                  </w:r>
                </w:p>
              </w:tc>
              <w:tc>
                <w:tcPr>
                  <w:tcW w:w="1224" w:type="pct"/>
                  <w:vAlign w:val="center"/>
                </w:tcPr>
                <w:p w14:paraId="74DCE2C8">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不涉及</w:t>
                  </w:r>
                </w:p>
              </w:tc>
              <w:tc>
                <w:tcPr>
                  <w:tcW w:w="631" w:type="pct"/>
                  <w:vAlign w:val="center"/>
                </w:tcPr>
                <w:p w14:paraId="33B4F6A3">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78E38D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7" w:type="pct"/>
                  <w:vMerge w:val="restart"/>
                  <w:vAlign w:val="center"/>
                </w:tcPr>
                <w:p w14:paraId="484CA64C">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三、产业发展</w:t>
                  </w:r>
                </w:p>
              </w:tc>
              <w:tc>
                <w:tcPr>
                  <w:tcW w:w="2616" w:type="pct"/>
                  <w:vAlign w:val="center"/>
                </w:tcPr>
                <w:p w14:paraId="2766B149">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15.禁止新建、扩建不符合国家和省产业政策的尿素、磷铵、电石、烧碱、聚氯乙烯、纯碱等行业新增产能项目。</w:t>
                  </w:r>
                </w:p>
              </w:tc>
              <w:tc>
                <w:tcPr>
                  <w:tcW w:w="1224" w:type="pct"/>
                  <w:vAlign w:val="center"/>
                </w:tcPr>
                <w:p w14:paraId="6DBD5793">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不涉及</w:t>
                  </w:r>
                </w:p>
              </w:tc>
              <w:tc>
                <w:tcPr>
                  <w:tcW w:w="631" w:type="pct"/>
                  <w:vAlign w:val="center"/>
                </w:tcPr>
                <w:p w14:paraId="01758AB5">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743A81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7" w:type="pct"/>
                  <w:vMerge w:val="continue"/>
                  <w:vAlign w:val="center"/>
                </w:tcPr>
                <w:p w14:paraId="4230780A">
                  <w:pPr>
                    <w:snapToGrid w:val="0"/>
                    <w:spacing w:line="240" w:lineRule="exact"/>
                    <w:jc w:val="center"/>
                    <w:rPr>
                      <w:color w:val="000000" w:themeColor="text1"/>
                      <w:szCs w:val="21"/>
                      <w:highlight w:val="none"/>
                      <w14:textFill>
                        <w14:solidFill>
                          <w14:schemeClr w14:val="tx1"/>
                        </w14:solidFill>
                      </w14:textFill>
                    </w:rPr>
                  </w:pPr>
                </w:p>
              </w:tc>
              <w:tc>
                <w:tcPr>
                  <w:tcW w:w="2616" w:type="pct"/>
                  <w:vAlign w:val="center"/>
                </w:tcPr>
                <w:p w14:paraId="6CD1DFEB">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16.禁止新建、改建、扩建高毒、高残留以及对环境影响大的农药原药（化学合成类）项目，禁止新建、扩建不符合国家和省产业政策的农药、医药和染料中间体化工项目。</w:t>
                  </w:r>
                </w:p>
              </w:tc>
              <w:tc>
                <w:tcPr>
                  <w:tcW w:w="1224" w:type="pct"/>
                  <w:vAlign w:val="center"/>
                </w:tcPr>
                <w:p w14:paraId="63899BB0">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不涉及</w:t>
                  </w:r>
                </w:p>
              </w:tc>
              <w:tc>
                <w:tcPr>
                  <w:tcW w:w="631" w:type="pct"/>
                  <w:vAlign w:val="center"/>
                </w:tcPr>
                <w:p w14:paraId="28AF1C7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4DDE94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7" w:type="pct"/>
                  <w:vMerge w:val="continue"/>
                  <w:vAlign w:val="center"/>
                </w:tcPr>
                <w:p w14:paraId="40089850">
                  <w:pPr>
                    <w:snapToGrid w:val="0"/>
                    <w:spacing w:line="240" w:lineRule="exact"/>
                    <w:jc w:val="center"/>
                    <w:rPr>
                      <w:color w:val="000000" w:themeColor="text1"/>
                      <w:szCs w:val="21"/>
                      <w:highlight w:val="none"/>
                      <w14:textFill>
                        <w14:solidFill>
                          <w14:schemeClr w14:val="tx1"/>
                        </w14:solidFill>
                      </w14:textFill>
                    </w:rPr>
                  </w:pPr>
                </w:p>
              </w:tc>
              <w:tc>
                <w:tcPr>
                  <w:tcW w:w="2616" w:type="pct"/>
                  <w:vAlign w:val="center"/>
                </w:tcPr>
                <w:p w14:paraId="551B5F8F">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17.禁止新建、扩建不符合国家石化、现代煤化工等产业布局规划的项目，禁止新建独立焦化项目。</w:t>
                  </w:r>
                </w:p>
              </w:tc>
              <w:tc>
                <w:tcPr>
                  <w:tcW w:w="1224" w:type="pct"/>
                  <w:vAlign w:val="center"/>
                </w:tcPr>
                <w:p w14:paraId="41C10338">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不涉及</w:t>
                  </w:r>
                </w:p>
              </w:tc>
              <w:tc>
                <w:tcPr>
                  <w:tcW w:w="631" w:type="pct"/>
                  <w:vAlign w:val="center"/>
                </w:tcPr>
                <w:p w14:paraId="0789546E">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65DA6E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7" w:type="pct"/>
                  <w:vMerge w:val="continue"/>
                  <w:vAlign w:val="center"/>
                </w:tcPr>
                <w:p w14:paraId="18D11C6C">
                  <w:pPr>
                    <w:snapToGrid w:val="0"/>
                    <w:spacing w:line="240" w:lineRule="exact"/>
                    <w:jc w:val="center"/>
                    <w:rPr>
                      <w:color w:val="000000" w:themeColor="text1"/>
                      <w:szCs w:val="21"/>
                      <w:highlight w:val="none"/>
                      <w14:textFill>
                        <w14:solidFill>
                          <w14:schemeClr w14:val="tx1"/>
                        </w14:solidFill>
                      </w14:textFill>
                    </w:rPr>
                  </w:pPr>
                </w:p>
              </w:tc>
              <w:tc>
                <w:tcPr>
                  <w:tcW w:w="2616" w:type="pct"/>
                  <w:vAlign w:val="center"/>
                </w:tcPr>
                <w:p w14:paraId="67F1E326">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18.禁止新建、扩建国家《产业结构调整指导目录》《江苏省产业结构调整限制、淘汰和禁止目录》明确的限制类、淘汰类、禁止类项目，法律法规和相关政策明令禁止的落后产能项目，以及明令淘汰的安全生产落后工艺及装备项目。</w:t>
                  </w:r>
                </w:p>
              </w:tc>
              <w:tc>
                <w:tcPr>
                  <w:tcW w:w="1224" w:type="pct"/>
                  <w:vAlign w:val="center"/>
                </w:tcPr>
                <w:p w14:paraId="107C30C8">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不涉及</w:t>
                  </w:r>
                </w:p>
              </w:tc>
              <w:tc>
                <w:tcPr>
                  <w:tcW w:w="631" w:type="pct"/>
                  <w:vAlign w:val="center"/>
                </w:tcPr>
                <w:p w14:paraId="2322A876">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6A295D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7" w:type="pct"/>
                  <w:vMerge w:val="continue"/>
                  <w:vAlign w:val="center"/>
                </w:tcPr>
                <w:p w14:paraId="58B8A7F3">
                  <w:pPr>
                    <w:snapToGrid w:val="0"/>
                    <w:spacing w:line="240" w:lineRule="exact"/>
                    <w:jc w:val="center"/>
                    <w:rPr>
                      <w:color w:val="000000" w:themeColor="text1"/>
                      <w:szCs w:val="21"/>
                      <w:highlight w:val="none"/>
                      <w14:textFill>
                        <w14:solidFill>
                          <w14:schemeClr w14:val="tx1"/>
                        </w14:solidFill>
                      </w14:textFill>
                    </w:rPr>
                  </w:pPr>
                </w:p>
              </w:tc>
              <w:tc>
                <w:tcPr>
                  <w:tcW w:w="2616" w:type="pct"/>
                  <w:vAlign w:val="center"/>
                </w:tcPr>
                <w:p w14:paraId="7AE143DB">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19.禁止新建、扩建不符合国家产能置换要求的严重过剩产能行业的项目。禁止新建、扩建不符合要求的高耗能高排放项目。</w:t>
                  </w:r>
                </w:p>
              </w:tc>
              <w:tc>
                <w:tcPr>
                  <w:tcW w:w="1224" w:type="pct"/>
                  <w:vAlign w:val="center"/>
                </w:tcPr>
                <w:p w14:paraId="67EB19C3">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不涉及</w:t>
                  </w:r>
                </w:p>
              </w:tc>
              <w:tc>
                <w:tcPr>
                  <w:tcW w:w="631" w:type="pct"/>
                  <w:vAlign w:val="center"/>
                </w:tcPr>
                <w:p w14:paraId="0FF03CFE">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41D479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7" w:type="pct"/>
                  <w:vMerge w:val="continue"/>
                  <w:vAlign w:val="center"/>
                </w:tcPr>
                <w:p w14:paraId="58347C94">
                  <w:pPr>
                    <w:snapToGrid w:val="0"/>
                    <w:spacing w:line="240" w:lineRule="exact"/>
                    <w:jc w:val="center"/>
                    <w:rPr>
                      <w:color w:val="000000" w:themeColor="text1"/>
                      <w:szCs w:val="21"/>
                      <w:highlight w:val="none"/>
                      <w14:textFill>
                        <w14:solidFill>
                          <w14:schemeClr w14:val="tx1"/>
                        </w14:solidFill>
                      </w14:textFill>
                    </w:rPr>
                  </w:pPr>
                </w:p>
              </w:tc>
              <w:tc>
                <w:tcPr>
                  <w:tcW w:w="2616" w:type="pct"/>
                  <w:vAlign w:val="center"/>
                </w:tcPr>
                <w:p w14:paraId="08F342F6">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20.法律法规及相关政策文件有更加严格规定的从其规定。</w:t>
                  </w:r>
                </w:p>
              </w:tc>
              <w:tc>
                <w:tcPr>
                  <w:tcW w:w="1224" w:type="pct"/>
                  <w:vAlign w:val="center"/>
                </w:tcPr>
                <w:p w14:paraId="012C2343">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不涉及</w:t>
                  </w:r>
                </w:p>
              </w:tc>
              <w:tc>
                <w:tcPr>
                  <w:tcW w:w="631" w:type="pct"/>
                  <w:vAlign w:val="center"/>
                </w:tcPr>
                <w:p w14:paraId="51F18760">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bl>
          <w:p w14:paraId="56226C19">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8</w:t>
            </w:r>
            <w:r>
              <w:rPr>
                <w:color w:val="000000" w:themeColor="text1"/>
                <w:sz w:val="24"/>
                <w:highlight w:val="none"/>
                <w14:textFill>
                  <w14:solidFill>
                    <w14:schemeClr w14:val="tx1"/>
                  </w14:solidFill>
                </w14:textFill>
              </w:rPr>
              <w:t>、安全风险辨识内容</w:t>
            </w:r>
          </w:p>
          <w:p w14:paraId="390DBC0A">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根据《关于做好生态环境和应急管理部门联动工作的意见》</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苏环办</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2020</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101号</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的要求：</w:t>
            </w:r>
          </w:p>
          <w:p w14:paraId="0D291C2C">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企业要对脱硫脱硝、煤改气、挥发性有机物回收、污水处理、粉尘治理、RTO焚烧炉等六类环境治理设施开展安全风险辨识管控，要健全内部污染防治措施稳定运行和管理责任制度，严格依据标准规范建设环境治理设施，确保环境治理设施安全、稳定、有效运行。</w:t>
            </w:r>
          </w:p>
          <w:p w14:paraId="458B61B9">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本项目不涉及脱硫脱硝、煤改气、RTO焚烧炉等环境治理设施，本项目涉及污水处理。</w:t>
            </w:r>
          </w:p>
          <w:p w14:paraId="4A3F6DBB">
            <w:pPr>
              <w:adjustRightInd w:val="0"/>
              <w:snapToGrid w:val="0"/>
              <w:spacing w:line="440" w:lineRule="exact"/>
              <w:ind w:firstLine="480" w:firstLineChars="20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9、新污染物</w:t>
            </w:r>
          </w:p>
          <w:p w14:paraId="143F8CD4">
            <w:pPr>
              <w:adjustRightInd w:val="0"/>
              <w:snapToGrid w:val="0"/>
              <w:spacing w:line="440" w:lineRule="exact"/>
              <w:ind w:firstLine="480" w:firstLineChars="200"/>
              <w:rPr>
                <w:rFonts w:hint="eastAsia"/>
                <w:color w:val="000000" w:themeColor="text1"/>
                <w:highlight w:val="none"/>
                <w:lang w:val="en-US" w:eastAsia="zh-CN"/>
                <w14:textFill>
                  <w14:solidFill>
                    <w14:schemeClr w14:val="tx1"/>
                  </w14:solidFill>
                </w14:textFill>
              </w:rPr>
            </w:pPr>
            <w:r>
              <w:rPr>
                <w:rFonts w:hint="default"/>
                <w:color w:val="000000" w:themeColor="text1"/>
                <w:sz w:val="24"/>
                <w:szCs w:val="24"/>
                <w:highlight w:val="none"/>
                <w14:textFill>
                  <w14:solidFill>
                    <w14:schemeClr w14:val="tx1"/>
                  </w14:solidFill>
                </w14:textFill>
              </w:rPr>
              <w:t>对照《江苏省重点管控新污染物补充清单（第一批）》《重点管控新污染物清单（2023年版）》《优先控制化学品名录（第一批）》《优先控制化学品名录（第</w:t>
            </w:r>
            <w:r>
              <w:rPr>
                <w:rFonts w:hint="eastAsia"/>
                <w:color w:val="000000" w:themeColor="text1"/>
                <w:sz w:val="24"/>
                <w:szCs w:val="24"/>
                <w:highlight w:val="none"/>
                <w:lang w:val="en-US" w:eastAsia="zh-CN"/>
                <w14:textFill>
                  <w14:solidFill>
                    <w14:schemeClr w14:val="tx1"/>
                  </w14:solidFill>
                </w14:textFill>
              </w:rPr>
              <w:t>二</w:t>
            </w:r>
            <w:r>
              <w:rPr>
                <w:rFonts w:hint="default"/>
                <w:color w:val="000000" w:themeColor="text1"/>
                <w:sz w:val="24"/>
                <w:szCs w:val="24"/>
                <w:highlight w:val="none"/>
                <w14:textFill>
                  <w14:solidFill>
                    <w14:schemeClr w14:val="tx1"/>
                  </w14:solidFill>
                </w14:textFill>
              </w:rPr>
              <w:t>批）》《优先控制化学品名录（第</w:t>
            </w:r>
            <w:r>
              <w:rPr>
                <w:rFonts w:hint="eastAsia"/>
                <w:color w:val="000000" w:themeColor="text1"/>
                <w:sz w:val="24"/>
                <w:szCs w:val="24"/>
                <w:highlight w:val="none"/>
                <w:lang w:val="en-US" w:eastAsia="zh-CN"/>
                <w14:textFill>
                  <w14:solidFill>
                    <w14:schemeClr w14:val="tx1"/>
                  </w14:solidFill>
                </w14:textFill>
              </w:rPr>
              <w:t>三</w:t>
            </w:r>
            <w:r>
              <w:rPr>
                <w:rFonts w:hint="default"/>
                <w:color w:val="000000" w:themeColor="text1"/>
                <w:sz w:val="24"/>
                <w:szCs w:val="24"/>
                <w:highlight w:val="none"/>
                <w14:textFill>
                  <w14:solidFill>
                    <w14:schemeClr w14:val="tx1"/>
                  </w14:solidFill>
                </w14:textFill>
              </w:rPr>
              <w:t>批）》《省生态环境厅关于加强重点管控新污染物及优先控制化学品环境管理工作的通知》</w:t>
            </w:r>
            <w:r>
              <w:rPr>
                <w:rFonts w:hint="eastAsia"/>
                <w:color w:val="000000" w:themeColor="text1"/>
                <w:sz w:val="24"/>
                <w:szCs w:val="24"/>
                <w:highlight w:val="none"/>
                <w:lang w:eastAsia="zh-CN"/>
                <w14:textFill>
                  <w14:solidFill>
                    <w14:schemeClr w14:val="tx1"/>
                  </w14:solidFill>
                </w14:textFill>
              </w:rPr>
              <w:t>（苏环办〔202</w:t>
            </w:r>
            <w:r>
              <w:rPr>
                <w:rFonts w:hint="eastAsia"/>
                <w:color w:val="000000" w:themeColor="text1"/>
                <w:sz w:val="24"/>
                <w:szCs w:val="24"/>
                <w:highlight w:val="none"/>
                <w:lang w:val="en-US" w:eastAsia="zh-CN"/>
                <w14:textFill>
                  <w14:solidFill>
                    <w14:schemeClr w14:val="tx1"/>
                  </w14:solidFill>
                </w14:textFill>
              </w:rPr>
              <w:t>3</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314</w:t>
            </w:r>
            <w:r>
              <w:rPr>
                <w:rFonts w:hint="eastAsia"/>
                <w:color w:val="000000" w:themeColor="text1"/>
                <w:sz w:val="24"/>
                <w:szCs w:val="24"/>
                <w:highlight w:val="none"/>
                <w:lang w:eastAsia="zh-CN"/>
                <w14:textFill>
                  <w14:solidFill>
                    <w14:schemeClr w14:val="tx1"/>
                  </w14:solidFill>
                </w14:textFill>
              </w:rPr>
              <w:t>号）</w:t>
            </w:r>
            <w:r>
              <w:rPr>
                <w:rFonts w:hint="default"/>
                <w:color w:val="000000" w:themeColor="text1"/>
                <w:sz w:val="24"/>
                <w:szCs w:val="24"/>
                <w:highlight w:val="none"/>
                <w14:textFill>
                  <w14:solidFill>
                    <w14:schemeClr w14:val="tx1"/>
                  </w14:solidFill>
                </w14:textFill>
              </w:rPr>
              <w:t>、有毒有害物质名录</w:t>
            </w:r>
            <w:r>
              <w:rPr>
                <w:rFonts w:hint="eastAsia"/>
                <w:color w:val="000000" w:themeColor="text1"/>
                <w:sz w:val="24"/>
                <w:szCs w:val="24"/>
                <w:highlight w:val="none"/>
                <w:lang w:val="en-US" w:eastAsia="zh-CN"/>
                <w14:textFill>
                  <w14:solidFill>
                    <w14:schemeClr w14:val="tx1"/>
                  </w14:solidFill>
                </w14:textFill>
              </w:rPr>
              <w:t>等文件，</w:t>
            </w:r>
            <w:r>
              <w:rPr>
                <w:color w:val="000000" w:themeColor="text1"/>
                <w:sz w:val="24"/>
                <w:highlight w:val="none"/>
                <w14:textFill>
                  <w14:solidFill>
                    <w14:schemeClr w14:val="tx1"/>
                  </w14:solidFill>
                </w14:textFill>
              </w:rPr>
              <w:t>本项目不涉及</w:t>
            </w:r>
            <w:r>
              <w:rPr>
                <w:rFonts w:hint="eastAsia"/>
                <w:color w:val="000000" w:themeColor="text1"/>
                <w:sz w:val="24"/>
                <w:highlight w:val="none"/>
                <w:lang w:val="en-US" w:eastAsia="zh-CN"/>
                <w14:textFill>
                  <w14:solidFill>
                    <w14:schemeClr w14:val="tx1"/>
                  </w14:solidFill>
                </w14:textFill>
              </w:rPr>
              <w:t>新污染物</w:t>
            </w:r>
            <w:r>
              <w:rPr>
                <w:color w:val="000000" w:themeColor="text1"/>
                <w:sz w:val="24"/>
                <w:highlight w:val="none"/>
                <w:lang w:val="zh-CN"/>
                <w14:textFill>
                  <w14:solidFill>
                    <w14:schemeClr w14:val="tx1"/>
                  </w14:solidFill>
                </w14:textFill>
              </w:rPr>
              <w:t>。</w:t>
            </w:r>
          </w:p>
        </w:tc>
      </w:tr>
    </w:tbl>
    <w:p w14:paraId="02C6A427">
      <w:pPr>
        <w:pStyle w:val="34"/>
        <w:keepNext/>
        <w:jc w:val="center"/>
        <w:outlineLvl w:val="0"/>
        <w:rPr>
          <w:rFonts w:ascii="黑体" w:hAnsi="黑体" w:eastAsia="黑体" w:cs="黑体"/>
          <w:snapToGrid w:val="0"/>
          <w:color w:val="000000" w:themeColor="text1"/>
          <w:sz w:val="30"/>
          <w:szCs w:val="30"/>
          <w:highlight w:val="none"/>
          <w14:textFill>
            <w14:solidFill>
              <w14:schemeClr w14:val="tx1"/>
            </w14:solidFill>
          </w14:textFill>
        </w:rPr>
      </w:pPr>
      <w:r>
        <w:rPr>
          <w:rFonts w:ascii="Times New Roman" w:hAnsi="Times New Roman"/>
          <w:color w:val="000000" w:themeColor="text1"/>
          <w:sz w:val="30"/>
          <w:highlight w:val="none"/>
          <w14:textFill>
            <w14:solidFill>
              <w14:schemeClr w14:val="tx1"/>
            </w14:solidFill>
          </w14:textFill>
        </w:rPr>
        <w:br w:type="page"/>
      </w:r>
      <w:r>
        <w:rPr>
          <w:rFonts w:ascii="黑体" w:hAnsi="黑体" w:eastAsia="黑体" w:cs="黑体"/>
          <w:snapToGrid w:val="0"/>
          <w:color w:val="000000" w:themeColor="text1"/>
          <w:sz w:val="30"/>
          <w:szCs w:val="30"/>
          <w:highlight w:val="none"/>
          <w14:textFill>
            <w14:solidFill>
              <w14:schemeClr w14:val="tx1"/>
            </w14:solidFill>
          </w14:textFill>
        </w:rPr>
        <w:t>二、建设项目工程分析</w:t>
      </w:r>
    </w:p>
    <w:tbl>
      <w:tblPr>
        <w:tblStyle w:val="3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24"/>
        <w:gridCol w:w="8636"/>
      </w:tblGrid>
      <w:tr w14:paraId="3C6715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712" w:hRule="atLeast"/>
          <w:jc w:val="center"/>
        </w:trPr>
        <w:tc>
          <w:tcPr>
            <w:tcW w:w="234" w:type="pct"/>
            <w:vAlign w:val="center"/>
          </w:tcPr>
          <w:p w14:paraId="65D3888D">
            <w:pPr>
              <w:pStyle w:val="34"/>
              <w:adjustRightInd w:val="0"/>
              <w:snapToGrid w:val="0"/>
              <w:spacing w:before="0" w:beforeAutospacing="0" w:after="0" w:afterAutospacing="0" w:line="440" w:lineRule="exact"/>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Cs w:val="24"/>
                <w:highlight w:val="none"/>
                <w14:textFill>
                  <w14:solidFill>
                    <w14:schemeClr w14:val="tx1"/>
                  </w14:solidFill>
                </w14:textFill>
              </w:rPr>
              <w:t>建设内容</w:t>
            </w:r>
          </w:p>
        </w:tc>
        <w:tc>
          <w:tcPr>
            <w:tcW w:w="4765" w:type="pct"/>
          </w:tcPr>
          <w:p w14:paraId="6499BEF7">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1、项目由来</w:t>
            </w:r>
          </w:p>
          <w:p w14:paraId="4D9F3F21">
            <w:pPr>
              <w:adjustRightInd w:val="0"/>
              <w:snapToGrid w:val="0"/>
              <w:spacing w:line="440" w:lineRule="exact"/>
              <w:ind w:firstLine="480" w:firstLineChars="200"/>
              <w:rPr>
                <w:rFonts w:hint="eastAsia" w:ascii="Times New Roman" w:hAnsi="Times New Roman" w:cs="Times New Roman"/>
                <w:b w:val="0"/>
                <w:bCs/>
                <w:color w:val="000000" w:themeColor="text1"/>
                <w:sz w:val="24"/>
                <w:highlight w:val="none"/>
                <w:lang w:val="en-US" w:eastAsia="zh-CN"/>
                <w14:textFill>
                  <w14:solidFill>
                    <w14:schemeClr w14:val="tx1"/>
                  </w14:solidFill>
                </w14:textFill>
              </w:rPr>
            </w:pPr>
            <w:r>
              <w:rPr>
                <w:rFonts w:hint="eastAsia" w:cs="Times New Roman"/>
                <w:b w:val="0"/>
                <w:bCs/>
                <w:color w:val="000000" w:themeColor="text1"/>
                <w:sz w:val="24"/>
                <w:highlight w:val="none"/>
                <w:lang w:val="en-US" w:eastAsia="zh-CN"/>
                <w14:textFill>
                  <w14:solidFill>
                    <w14:schemeClr w14:val="tx1"/>
                  </w14:solidFill>
                </w14:textFill>
              </w:rPr>
              <w:t>南京富长盛自动化设备有限公司</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（以下简称“企业”）成立于</w:t>
            </w:r>
            <w:r>
              <w:rPr>
                <w:rFonts w:hint="eastAsia" w:cs="Times New Roman"/>
                <w:b w:val="0"/>
                <w:bCs/>
                <w:color w:val="000000" w:themeColor="text1"/>
                <w:sz w:val="24"/>
                <w:highlight w:val="none"/>
                <w:lang w:val="en-US" w:eastAsia="zh-CN"/>
                <w14:textFill>
                  <w14:solidFill>
                    <w14:schemeClr w14:val="tx1"/>
                  </w14:solidFill>
                </w14:textFill>
              </w:rPr>
              <w:t>2023年8月16日</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，注册地位于南京市江宁区禄口街道</w:t>
            </w:r>
            <w:r>
              <w:rPr>
                <w:rFonts w:hint="eastAsia" w:cs="Times New Roman"/>
                <w:b w:val="0"/>
                <w:bCs/>
                <w:color w:val="000000" w:themeColor="text1"/>
                <w:sz w:val="24"/>
                <w:highlight w:val="none"/>
                <w:lang w:val="en-US" w:eastAsia="zh-CN"/>
                <w14:textFill>
                  <w14:solidFill>
                    <w14:schemeClr w14:val="tx1"/>
                  </w14:solidFill>
                </w14:textFill>
              </w:rPr>
              <w:t>蓝天路218号</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A102，法定代表人为何特。企业租赁</w:t>
            </w:r>
            <w:r>
              <w:rPr>
                <w:rFonts w:hint="eastAsia" w:cs="Times New Roman"/>
                <w:b w:val="0"/>
                <w:bCs/>
                <w:color w:val="000000" w:themeColor="text1"/>
                <w:sz w:val="24"/>
                <w:highlight w:val="none"/>
                <w:lang w:val="en-US" w:eastAsia="zh-CN"/>
                <w14:textFill>
                  <w14:solidFill>
                    <w14:schemeClr w14:val="tx1"/>
                  </w14:solidFill>
                </w14:textFill>
              </w:rPr>
              <w:t>南京亚泰汽车部件制造有限公司</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已建厂房，建筑面积为</w:t>
            </w:r>
            <w:r>
              <w:rPr>
                <w:rFonts w:hint="eastAsia" w:cs="Times New Roman"/>
                <w:b w:val="0"/>
                <w:bCs/>
                <w:color w:val="000000" w:themeColor="text1"/>
                <w:sz w:val="24"/>
                <w:highlight w:val="none"/>
                <w:lang w:val="en-US" w:eastAsia="zh-CN"/>
                <w14:textFill>
                  <w14:solidFill>
                    <w14:schemeClr w14:val="tx1"/>
                  </w14:solidFill>
                </w14:textFill>
              </w:rPr>
              <w:t>825</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m</w:t>
            </w:r>
            <w:r>
              <w:rPr>
                <w:rFonts w:hint="eastAsia" w:ascii="Times New Roman" w:hAnsi="Times New Roman" w:cs="Times New Roman"/>
                <w:b w:val="0"/>
                <w:bCs/>
                <w:color w:val="000000" w:themeColor="text1"/>
                <w:sz w:val="24"/>
                <w:highlight w:val="none"/>
                <w:vertAlign w:val="superscript"/>
                <w:lang w:val="en-US" w:eastAsia="zh-CN"/>
                <w14:textFill>
                  <w14:solidFill>
                    <w14:schemeClr w14:val="tx1"/>
                  </w14:solidFill>
                </w14:textFill>
              </w:rPr>
              <w:t>2</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w:t>
            </w:r>
          </w:p>
          <w:p w14:paraId="018BB437">
            <w:pPr>
              <w:adjustRightInd w:val="0"/>
              <w:snapToGrid w:val="0"/>
              <w:spacing w:line="440" w:lineRule="exact"/>
              <w:ind w:firstLine="480" w:firstLineChars="200"/>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pPr>
            <w:r>
              <w:rPr>
                <w:rFonts w:hint="eastAsia" w:cs="Times New Roman"/>
                <w:b w:val="0"/>
                <w:bCs/>
                <w:color w:val="000000" w:themeColor="text1"/>
                <w:sz w:val="24"/>
                <w:highlight w:val="none"/>
                <w:lang w:val="en-US" w:eastAsia="zh-CN"/>
                <w14:textFill>
                  <w14:solidFill>
                    <w14:schemeClr w14:val="tx1"/>
                  </w14:solidFill>
                </w14:textFill>
              </w:rPr>
              <w:t>南京富长盛自动化设备有限公司</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购置油压机等国产设备</w:t>
            </w:r>
            <w:r>
              <w:rPr>
                <w:rFonts w:hint="eastAsia" w:cs="Times New Roman"/>
                <w:b w:val="0"/>
                <w:bCs/>
                <w:color w:val="000000" w:themeColor="text1"/>
                <w:sz w:val="24"/>
                <w:highlight w:val="none"/>
                <w:lang w:val="en-US" w:eastAsia="zh-CN"/>
                <w14:textFill>
                  <w14:solidFill>
                    <w14:schemeClr w14:val="tx1"/>
                  </w14:solidFill>
                </w14:textFill>
              </w:rPr>
              <w:t>12</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台，新建11条汽车连接件生产线，并对厂房进行装修改造</w:t>
            </w:r>
            <w:r>
              <w:rPr>
                <w:rFonts w:hint="eastAsia" w:cs="Times New Roman"/>
                <w:b w:val="0"/>
                <w:bCs/>
                <w:color w:val="000000" w:themeColor="text1"/>
                <w:sz w:val="24"/>
                <w:highlight w:val="none"/>
                <w:lang w:val="en-US" w:eastAsia="zh-CN"/>
                <w14:textFill>
                  <w14:solidFill>
                    <w14:schemeClr w14:val="tx1"/>
                  </w14:solidFill>
                </w14:textFill>
              </w:rPr>
              <w:t>。</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项目完成后，年产汽车连接件2000万套</w:t>
            </w:r>
            <w:r>
              <w:rPr>
                <w:rFonts w:hint="eastAsia"/>
                <w:color w:val="000000" w:themeColor="text1"/>
                <w:sz w:val="24"/>
                <w:highlight w:val="none"/>
                <w14:textFill>
                  <w14:solidFill>
                    <w14:schemeClr w14:val="tx1"/>
                  </w14:solidFill>
                </w14:textFill>
              </w:rPr>
              <w:t>。该项目已于202</w:t>
            </w:r>
            <w:r>
              <w:rPr>
                <w:rFonts w:hint="eastAsia"/>
                <w:color w:val="000000" w:themeColor="text1"/>
                <w:sz w:val="24"/>
                <w:highlight w:val="none"/>
                <w:lang w:val="en-US" w:eastAsia="zh-CN"/>
                <w14:textFill>
                  <w14:solidFill>
                    <w14:schemeClr w14:val="tx1"/>
                  </w14:solidFill>
                </w14:textFill>
              </w:rPr>
              <w:t>6</w:t>
            </w:r>
            <w:r>
              <w:rPr>
                <w:rFonts w:hint="eastAsia"/>
                <w:color w:val="000000" w:themeColor="text1"/>
                <w:sz w:val="24"/>
                <w:highlight w:val="none"/>
                <w14:textFill>
                  <w14:solidFill>
                    <w14:schemeClr w14:val="tx1"/>
                  </w14:solidFill>
                </w14:textFill>
              </w:rPr>
              <w:t>年</w:t>
            </w:r>
            <w:r>
              <w:rPr>
                <w:rFonts w:hint="eastAsia"/>
                <w:color w:val="000000" w:themeColor="text1"/>
                <w:sz w:val="24"/>
                <w:highlight w:val="none"/>
                <w:lang w:val="en-US" w:eastAsia="zh-CN"/>
                <w14:textFill>
                  <w14:solidFill>
                    <w14:schemeClr w14:val="tx1"/>
                  </w14:solidFill>
                </w14:textFill>
              </w:rPr>
              <w:t>7</w:t>
            </w:r>
            <w:r>
              <w:rPr>
                <w:rFonts w:hint="eastAsia"/>
                <w:color w:val="000000" w:themeColor="text1"/>
                <w:sz w:val="24"/>
                <w:highlight w:val="none"/>
                <w14:textFill>
                  <w14:solidFill>
                    <w14:schemeClr w14:val="tx1"/>
                  </w14:solidFill>
                </w14:textFill>
              </w:rPr>
              <w:t>月</w:t>
            </w:r>
            <w:r>
              <w:rPr>
                <w:rFonts w:hint="eastAsia"/>
                <w:color w:val="000000" w:themeColor="text1"/>
                <w:sz w:val="24"/>
                <w:highlight w:val="none"/>
                <w:lang w:val="en-US" w:eastAsia="zh-CN"/>
                <w14:textFill>
                  <w14:solidFill>
                    <w14:schemeClr w14:val="tx1"/>
                  </w14:solidFill>
                </w14:textFill>
              </w:rPr>
              <w:t>6日通过</w:t>
            </w:r>
            <w:r>
              <w:rPr>
                <w:rFonts w:hint="eastAsia"/>
                <w:color w:val="000000" w:themeColor="text1"/>
                <w:sz w:val="24"/>
                <w:highlight w:val="none"/>
                <w14:textFill>
                  <w14:solidFill>
                    <w14:schemeClr w14:val="tx1"/>
                  </w14:solidFill>
                </w14:textFill>
              </w:rPr>
              <w:t>南京江宁经济技术开发区管理委员会政务服务中心</w:t>
            </w:r>
            <w:r>
              <w:rPr>
                <w:rFonts w:hint="default" w:ascii="Times New Roman" w:hAnsi="Times New Roman" w:cs="Times New Roman"/>
                <w:color w:val="000000" w:themeColor="text1"/>
                <w:sz w:val="24"/>
                <w:highlight w:val="none"/>
                <w:lang w:val="zh-CN"/>
                <w14:textFill>
                  <w14:solidFill>
                    <w14:schemeClr w14:val="tx1"/>
                  </w14:solidFill>
                </w14:textFill>
              </w:rPr>
              <w:t>备案，</w:t>
            </w:r>
            <w:r>
              <w:rPr>
                <w:rFonts w:hint="default" w:ascii="Times New Roman" w:hAnsi="Times New Roman" w:cs="Times New Roman"/>
                <w:color w:val="000000" w:themeColor="text1"/>
                <w:sz w:val="24"/>
                <w:highlight w:val="none"/>
                <w:lang w:val="en-US" w:eastAsia="zh-CN"/>
                <w14:textFill>
                  <w14:solidFill>
                    <w14:schemeClr w14:val="tx1"/>
                  </w14:solidFill>
                </w14:textFill>
              </w:rPr>
              <w:t>备案号为：</w:t>
            </w:r>
            <w:r>
              <w:rPr>
                <w:rFonts w:hint="eastAsia" w:cs="Times New Roman"/>
                <w:color w:val="000000" w:themeColor="text1"/>
                <w:sz w:val="24"/>
                <w:highlight w:val="none"/>
                <w:lang w:val="zh-CN"/>
                <w14:textFill>
                  <w14:solidFill>
                    <w14:schemeClr w14:val="tx1"/>
                  </w14:solidFill>
                </w14:textFill>
              </w:rPr>
              <w:t>宁经政服备〔2026〕395号</w:t>
            </w:r>
            <w:r>
              <w:rPr>
                <w:rFonts w:hint="eastAsia"/>
                <w:color w:val="000000" w:themeColor="text1"/>
                <w:sz w:val="24"/>
                <w:highlight w:val="none"/>
                <w14:textFill>
                  <w14:solidFill>
                    <w14:schemeClr w14:val="tx1"/>
                  </w14:solidFill>
                </w14:textFill>
              </w:rPr>
              <w:t>。</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11</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条</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汽车连接件生产线包括3条防水栓生产线和8条护套生产线。</w:t>
            </w:r>
          </w:p>
          <w:p w14:paraId="7BCE2659">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对照《国民经济行业分类》</w:t>
            </w:r>
            <w:r>
              <w:rPr>
                <w:rFonts w:hint="eastAsia"/>
                <w:color w:val="000000" w:themeColor="text1"/>
                <w:sz w:val="24"/>
                <w:highlight w:val="none"/>
                <w14:textFill>
                  <w14:solidFill>
                    <w14:schemeClr w14:val="tx1"/>
                  </w14:solidFill>
                </w14:textFill>
              </w:rPr>
              <w:t>（GB</w:t>
            </w:r>
            <w:r>
              <w:rPr>
                <w:color w:val="000000" w:themeColor="text1"/>
                <w:sz w:val="24"/>
                <w:highlight w:val="none"/>
                <w14:textFill>
                  <w14:solidFill>
                    <w14:schemeClr w14:val="tx1"/>
                  </w14:solidFill>
                </w14:textFill>
              </w:rPr>
              <w:t>/T4754-2017）及《关于执行国民经济行业分类第1号修改单的通知》</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国统字</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2019</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66号），</w:t>
            </w:r>
            <w:r>
              <w:rPr>
                <w:rFonts w:hint="eastAsia"/>
                <w:color w:val="000000" w:themeColor="text1"/>
                <w:sz w:val="24"/>
                <w:highlight w:val="none"/>
                <w14:textFill>
                  <w14:solidFill>
                    <w14:schemeClr w14:val="tx1"/>
                  </w14:solidFill>
                </w14:textFill>
              </w:rPr>
              <w:t>本</w:t>
            </w:r>
            <w:r>
              <w:rPr>
                <w:color w:val="000000" w:themeColor="text1"/>
                <w:sz w:val="24"/>
                <w:highlight w:val="none"/>
                <w14:textFill>
                  <w14:solidFill>
                    <w14:schemeClr w14:val="tx1"/>
                  </w14:solidFill>
                </w14:textFill>
              </w:rPr>
              <w:t>项目属于</w:t>
            </w:r>
            <w:r>
              <w:rPr>
                <w:rFonts w:hint="eastAsia"/>
                <w:color w:val="000000" w:themeColor="text1"/>
                <w:sz w:val="24"/>
                <w:highlight w:val="none"/>
                <w:lang w:eastAsia="zh-CN"/>
                <w14:textFill>
                  <w14:solidFill>
                    <w14:schemeClr w14:val="tx1"/>
                  </w14:solidFill>
                </w14:textFill>
              </w:rPr>
              <w:t>C2913橡胶零件制造、C2929塑料零件及其他塑料制品制造、C3670汽车零部件及配件制造</w:t>
            </w:r>
            <w:r>
              <w:rPr>
                <w:color w:val="000000" w:themeColor="text1"/>
                <w:sz w:val="24"/>
                <w:highlight w:val="none"/>
                <w14:textFill>
                  <w14:solidFill>
                    <w14:schemeClr w14:val="tx1"/>
                  </w14:solidFill>
                </w14:textFill>
              </w:rPr>
              <w:t>；对照《建设项目环境影响评价分类管理名录</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2021年版）》</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部令第16号），项目属于名录中</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w:t>
            </w:r>
            <w:r>
              <w:rPr>
                <w:rFonts w:hint="eastAsia" w:cs="Times New Roman"/>
                <w:b w:val="0"/>
                <w:bCs/>
                <w:color w:val="000000" w:themeColor="text1"/>
                <w:sz w:val="24"/>
                <w:highlight w:val="none"/>
                <w:lang w:val="en-US" w:eastAsia="zh-CN"/>
                <w14:textFill>
                  <w14:solidFill>
                    <w14:schemeClr w14:val="tx1"/>
                  </w14:solidFill>
                </w14:textFill>
              </w:rPr>
              <w:t>二十六、橡胶和塑料制品业 29”的“橡胶制品业291</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—其他”</w:t>
            </w:r>
            <w:r>
              <w:rPr>
                <w:rFonts w:hint="eastAsia" w:cs="Times New Roman"/>
                <w:b w:val="0"/>
                <w:bCs/>
                <w:color w:val="000000" w:themeColor="text1"/>
                <w:sz w:val="24"/>
                <w:highlight w:val="none"/>
                <w:lang w:val="en-US" w:eastAsia="zh-CN"/>
                <w14:textFill>
                  <w14:solidFill>
                    <w14:schemeClr w14:val="tx1"/>
                  </w14:solidFill>
                </w14:textFill>
              </w:rPr>
              <w:t>和“塑料制品业292</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—其他”</w:t>
            </w:r>
            <w:r>
              <w:rPr>
                <w:rFonts w:hint="eastAsia"/>
                <w:color w:val="000000" w:themeColor="text1"/>
                <w:sz w:val="24"/>
                <w:highlight w:val="none"/>
                <w:lang w:val="en-US" w:eastAsia="zh-CN"/>
                <w14:textFill>
                  <w14:solidFill>
                    <w14:schemeClr w14:val="tx1"/>
                  </w14:solidFill>
                </w14:textFill>
              </w:rPr>
              <w:t>和</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“三十三、汽车制造业36—汽车零部件及配件制造367—其他”，</w:t>
            </w:r>
            <w:r>
              <w:rPr>
                <w:color w:val="000000" w:themeColor="text1"/>
                <w:sz w:val="24"/>
                <w:highlight w:val="none"/>
                <w14:textFill>
                  <w14:solidFill>
                    <w14:schemeClr w14:val="tx1"/>
                  </w14:solidFill>
                </w14:textFill>
              </w:rPr>
              <w:t>需编制环境影响报告表。</w:t>
            </w:r>
          </w:p>
          <w:p w14:paraId="37526D3D">
            <w:pPr>
              <w:widowControl/>
              <w:spacing w:line="440" w:lineRule="exact"/>
              <w:jc w:val="center"/>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表2-</w:t>
            </w:r>
            <w:r>
              <w:rPr>
                <w:rFonts w:hint="eastAsia"/>
                <w:b/>
                <w:bCs/>
                <w:color w:val="000000" w:themeColor="text1"/>
                <w:sz w:val="24"/>
                <w:highlight w:val="none"/>
                <w:lang w:val="en-US" w:eastAsia="zh-CN"/>
                <w14:textFill>
                  <w14:solidFill>
                    <w14:schemeClr w14:val="tx1"/>
                  </w14:solidFill>
                </w14:textFill>
              </w:rPr>
              <w:t xml:space="preserve">1  </w:t>
            </w:r>
            <w:r>
              <w:rPr>
                <w:b/>
                <w:bCs/>
                <w:color w:val="000000" w:themeColor="text1"/>
                <w:sz w:val="24"/>
                <w:highlight w:val="none"/>
                <w14:textFill>
                  <w14:solidFill>
                    <w14:schemeClr w14:val="tx1"/>
                  </w14:solidFill>
                </w14:textFill>
              </w:rPr>
              <w:t>环评类别判定表</w:t>
            </w:r>
          </w:p>
          <w:tbl>
            <w:tblPr>
              <w:tblStyle w:val="38"/>
              <w:tblW w:w="8300"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577"/>
              <w:gridCol w:w="2428"/>
              <w:gridCol w:w="2882"/>
              <w:gridCol w:w="1540"/>
              <w:gridCol w:w="873"/>
            </w:tblGrid>
            <w:tr w14:paraId="4B873D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27" w:hRule="atLeast"/>
                <w:jc w:val="center"/>
              </w:trPr>
              <w:tc>
                <w:tcPr>
                  <w:tcW w:w="3005" w:type="dxa"/>
                  <w:gridSpan w:val="2"/>
                  <w:shd w:val="clear" w:color="auto" w:fill="auto"/>
                  <w:noWrap/>
                  <w:tcMar>
                    <w:top w:w="15" w:type="dxa"/>
                    <w:left w:w="15" w:type="dxa"/>
                    <w:right w:w="15" w:type="dxa"/>
                  </w:tcMar>
                  <w:vAlign w:val="center"/>
                </w:tcPr>
                <w:p w14:paraId="2AC1A2E2">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column">
                              <wp:posOffset>-14605</wp:posOffset>
                            </wp:positionH>
                            <wp:positionV relativeFrom="paragraph">
                              <wp:posOffset>-20320</wp:posOffset>
                            </wp:positionV>
                            <wp:extent cx="1899285" cy="450850"/>
                            <wp:effectExtent l="1270" t="4445" r="4445" b="20955"/>
                            <wp:wrapNone/>
                            <wp:docPr id="4" name="直接箭头连接符 4"/>
                            <wp:cNvGraphicFramePr/>
                            <a:graphic xmlns:a="http://schemas.openxmlformats.org/drawingml/2006/main">
                              <a:graphicData uri="http://schemas.microsoft.com/office/word/2010/wordprocessingShape">
                                <wps:wsp>
                                  <wps:cNvCnPr/>
                                  <wps:spPr>
                                    <a:xfrm>
                                      <a:off x="0" y="0"/>
                                      <a:ext cx="1899285" cy="45085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15pt;margin-top:-1.6pt;height:35.5pt;width:149.55pt;z-index:251671552;mso-width-relative:page;mso-height-relative:page;" filled="f" stroked="t" coordsize="21600,21600" o:gfxdata="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Jg6+rXXAAAACAEAAA8AAAAAAAAAAQAgAAAAIgAAAGRycy9k&#10;b3ducmV2LnhtbFBLAQIUABQAAAAIAIdO4kAwY8j0AwIAAPEDAAAOAAAAAAAAAAEAIAAAACYBAABk&#10;cnMvZTJvRG9jLnhtbFBLBQYAAAAABgAGAFkBAACbBQAAAAA=&#10;">
                            <v:fill on="f" focussize="0,0"/>
                            <v:stroke color="#000000" joinstyle="round"/>
                            <v:imagedata o:title=""/>
                            <o:lock v:ext="edit" aspectratio="f"/>
                          </v:shape>
                        </w:pict>
                      </mc:Fallback>
                    </mc:AlternateContent>
                  </w:r>
                </w:p>
                <w:p w14:paraId="6EBE3626">
                  <w:pPr>
                    <w:pStyle w:val="2"/>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70528" behindDoc="0" locked="0" layoutInCell="1" allowOverlap="1">
                            <wp:simplePos x="0" y="0"/>
                            <wp:positionH relativeFrom="column">
                              <wp:posOffset>71120</wp:posOffset>
                            </wp:positionH>
                            <wp:positionV relativeFrom="paragraph">
                              <wp:posOffset>17145</wp:posOffset>
                            </wp:positionV>
                            <wp:extent cx="838200" cy="333375"/>
                            <wp:effectExtent l="0" t="0" r="0" b="0"/>
                            <wp:wrapNone/>
                            <wp:docPr id="3" name="文本框 3"/>
                            <wp:cNvGraphicFramePr/>
                            <a:graphic xmlns:a="http://schemas.openxmlformats.org/drawingml/2006/main">
                              <a:graphicData uri="http://schemas.microsoft.com/office/word/2010/wordprocessingShape">
                                <wps:wsp>
                                  <wps:cNvSpPr txBox="1"/>
                                  <wps:spPr>
                                    <a:xfrm>
                                      <a:off x="0" y="0"/>
                                      <a:ext cx="838200" cy="333375"/>
                                    </a:xfrm>
                                    <a:prstGeom prst="rect">
                                      <a:avLst/>
                                    </a:prstGeom>
                                    <a:noFill/>
                                    <a:ln w="6350">
                                      <a:noFill/>
                                    </a:ln>
                                    <a:effectLst/>
                                  </wps:spPr>
                                  <wps:txbx>
                                    <w:txbxContent>
                                      <w:p w14:paraId="3EDA04B6">
                                        <w:pPr>
                                          <w:rPr>
                                            <w:b/>
                                            <w:bCs/>
                                          </w:rPr>
                                        </w:pPr>
                                        <w:r>
                                          <w:rPr>
                                            <w:rFonts w:hint="eastAsia"/>
                                            <w:b/>
                                            <w:bCs/>
                                          </w:rPr>
                                          <w:t>项目类别</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6pt;margin-top:1.35pt;height:26.25pt;width:66pt;z-index:251670528;mso-width-relative:page;mso-height-relative:page;" filled="f" stroked="f" coordsize="21600,21600" o:gfxdata="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&#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HB58LLWAAAABwEAAA8AAAAAAAAAAQAgAAAAIgAAAGRy&#10;cy9kb3ducmV2LnhtbFBLAQIUABQAAAAIAIdO4kAG4Rp8QAIAAHMEAAAOAAAAAAAAAAEAIAAAACUB&#10;AABkcnMvZTJvRG9jLnhtbFBLBQYAAAAABgAGAFkBAADXBQAAAAA=&#10;">
                            <v:fill on="f" focussize="0,0"/>
                            <v:stroke on="f" weight="0.5pt"/>
                            <v:imagedata o:title=""/>
                            <o:lock v:ext="edit" aspectratio="f"/>
                            <v:textbox>
                              <w:txbxContent>
                                <w:p w14:paraId="3EDA04B6">
                                  <w:pPr>
                                    <w:rPr>
                                      <w:b/>
                                      <w:bCs/>
                                    </w:rPr>
                                  </w:pPr>
                                  <w:r>
                                    <w:rPr>
                                      <w:rFonts w:hint="eastAsia"/>
                                      <w:b/>
                                      <w:bCs/>
                                    </w:rPr>
                                    <w:t>项目类别</w:t>
                                  </w:r>
                                </w:p>
                              </w:txbxContent>
                            </v:textbox>
                          </v:shape>
                        </w:pict>
                      </mc:Fallback>
                    </mc:AlternateContent>
                  </w:r>
                </w:p>
              </w:tc>
              <w:tc>
                <w:tcPr>
                  <w:tcW w:w="2882" w:type="dxa"/>
                  <w:shd w:val="clear" w:color="auto" w:fill="auto"/>
                  <w:noWrap/>
                  <w:tcMar>
                    <w:top w:w="15" w:type="dxa"/>
                    <w:left w:w="15" w:type="dxa"/>
                    <w:right w:w="15" w:type="dxa"/>
                  </w:tcMar>
                  <w:vAlign w:val="center"/>
                </w:tcPr>
                <w:p w14:paraId="4B451A44">
                  <w:pPr>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报告书</w:t>
                  </w:r>
                </w:p>
              </w:tc>
              <w:tc>
                <w:tcPr>
                  <w:tcW w:w="1540" w:type="dxa"/>
                  <w:shd w:val="clear" w:color="auto" w:fill="auto"/>
                  <w:noWrap/>
                  <w:tcMar>
                    <w:top w:w="15" w:type="dxa"/>
                    <w:left w:w="15" w:type="dxa"/>
                    <w:right w:w="15" w:type="dxa"/>
                  </w:tcMar>
                  <w:vAlign w:val="center"/>
                </w:tcPr>
                <w:p w14:paraId="7A262D2B">
                  <w:pPr>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报告表</w:t>
                  </w:r>
                </w:p>
              </w:tc>
              <w:tc>
                <w:tcPr>
                  <w:tcW w:w="873" w:type="dxa"/>
                  <w:shd w:val="clear" w:color="auto" w:fill="auto"/>
                  <w:noWrap/>
                  <w:tcMar>
                    <w:top w:w="15" w:type="dxa"/>
                    <w:left w:w="15" w:type="dxa"/>
                    <w:right w:w="15" w:type="dxa"/>
                  </w:tcMar>
                  <w:vAlign w:val="center"/>
                </w:tcPr>
                <w:p w14:paraId="1ED521FF">
                  <w:pPr>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登记表</w:t>
                  </w:r>
                </w:p>
              </w:tc>
            </w:tr>
            <w:tr w14:paraId="55E9BA9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4" w:hRule="atLeast"/>
                <w:jc w:val="center"/>
              </w:trPr>
              <w:tc>
                <w:tcPr>
                  <w:tcW w:w="8300" w:type="dxa"/>
                  <w:gridSpan w:val="5"/>
                  <w:shd w:val="clear" w:color="auto" w:fill="auto"/>
                  <w:noWrap/>
                  <w:tcMar>
                    <w:top w:w="15" w:type="dxa"/>
                    <w:left w:w="15" w:type="dxa"/>
                    <w:right w:w="15" w:type="dxa"/>
                  </w:tcMar>
                  <w:vAlign w:val="center"/>
                </w:tcPr>
                <w:p w14:paraId="49484B1E">
                  <w:pPr>
                    <w:jc w:val="left"/>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二十六、橡胶和塑料制品业 29</w:t>
                  </w:r>
                </w:p>
              </w:tc>
            </w:tr>
            <w:tr w14:paraId="1520277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76" w:hRule="atLeast"/>
                <w:jc w:val="center"/>
              </w:trPr>
              <w:tc>
                <w:tcPr>
                  <w:tcW w:w="577" w:type="dxa"/>
                  <w:shd w:val="clear" w:color="auto" w:fill="auto"/>
                  <w:noWrap/>
                  <w:tcMar>
                    <w:top w:w="15" w:type="dxa"/>
                    <w:left w:w="15" w:type="dxa"/>
                    <w:right w:w="15" w:type="dxa"/>
                  </w:tcMar>
                  <w:vAlign w:val="center"/>
                </w:tcPr>
                <w:p w14:paraId="0491C4F4">
                  <w:pPr>
                    <w:adjustRightInd w:val="0"/>
                    <w:snapToGrid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w:t>
                  </w:r>
                </w:p>
              </w:tc>
              <w:tc>
                <w:tcPr>
                  <w:tcW w:w="2428" w:type="dxa"/>
                  <w:shd w:val="clear" w:color="auto" w:fill="auto"/>
                  <w:noWrap/>
                  <w:tcMar>
                    <w:top w:w="15" w:type="dxa"/>
                    <w:left w:w="15" w:type="dxa"/>
                    <w:right w:w="15" w:type="dxa"/>
                  </w:tcMar>
                  <w:vAlign w:val="center"/>
                </w:tcPr>
                <w:p w14:paraId="7D0C116B">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橡胶制品业291</w:t>
                  </w:r>
                </w:p>
              </w:tc>
              <w:tc>
                <w:tcPr>
                  <w:tcW w:w="2882" w:type="dxa"/>
                  <w:shd w:val="clear" w:color="auto" w:fill="auto"/>
                  <w:tcMar>
                    <w:top w:w="15" w:type="dxa"/>
                    <w:left w:w="15" w:type="dxa"/>
                    <w:right w:w="15" w:type="dxa"/>
                  </w:tcMar>
                  <w:vAlign w:val="center"/>
                </w:tcPr>
                <w:p w14:paraId="5668F3A9">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轮胎制造；再生橡胶制造（常压连续脱硫工艺除外）</w:t>
                  </w:r>
                </w:p>
              </w:tc>
              <w:tc>
                <w:tcPr>
                  <w:tcW w:w="1540" w:type="dxa"/>
                  <w:shd w:val="clear" w:color="auto" w:fill="D7D7D7" w:themeFill="background1" w:themeFillShade="D8"/>
                  <w:tcMar>
                    <w:top w:w="15" w:type="dxa"/>
                    <w:left w:w="15" w:type="dxa"/>
                    <w:right w:w="15" w:type="dxa"/>
                  </w:tcMar>
                  <w:vAlign w:val="center"/>
                </w:tcPr>
                <w:p w14:paraId="07E335AF">
                  <w:pPr>
                    <w:adjustRightInd w:val="0"/>
                    <w:snapToGrid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shd w:val="clear" w:fill="D7D7D7" w:themeFill="background1" w:themeFillShade="D8"/>
                      <w:lang w:val="en-US" w:eastAsia="zh-CN"/>
                      <w14:textFill>
                        <w14:solidFill>
                          <w14:schemeClr w14:val="tx1"/>
                        </w14:solidFill>
                      </w14:textFill>
                    </w:rPr>
                    <w:t>其他</w:t>
                  </w:r>
                </w:p>
              </w:tc>
              <w:tc>
                <w:tcPr>
                  <w:tcW w:w="873" w:type="dxa"/>
                  <w:shd w:val="clear" w:color="auto" w:fill="auto"/>
                  <w:tcMar>
                    <w:top w:w="15" w:type="dxa"/>
                    <w:left w:w="15" w:type="dxa"/>
                    <w:right w:w="15" w:type="dxa"/>
                  </w:tcMar>
                  <w:vAlign w:val="center"/>
                </w:tcPr>
                <w:p w14:paraId="2F94CAC1">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r w14:paraId="69AF6BD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76" w:hRule="atLeast"/>
                <w:jc w:val="center"/>
              </w:trPr>
              <w:tc>
                <w:tcPr>
                  <w:tcW w:w="577" w:type="dxa"/>
                  <w:shd w:val="clear" w:color="auto" w:fill="auto"/>
                  <w:noWrap/>
                  <w:tcMar>
                    <w:top w:w="15" w:type="dxa"/>
                    <w:left w:w="15" w:type="dxa"/>
                    <w:right w:w="15" w:type="dxa"/>
                  </w:tcMar>
                  <w:vAlign w:val="center"/>
                </w:tcPr>
                <w:p w14:paraId="7E8EA0FC">
                  <w:pPr>
                    <w:adjustRightInd w:val="0"/>
                    <w:snapToGrid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53</w:t>
                  </w:r>
                </w:p>
              </w:tc>
              <w:tc>
                <w:tcPr>
                  <w:tcW w:w="2428" w:type="dxa"/>
                  <w:shd w:val="clear" w:color="auto" w:fill="auto"/>
                  <w:noWrap/>
                  <w:tcMar>
                    <w:top w:w="15" w:type="dxa"/>
                    <w:left w:w="15" w:type="dxa"/>
                    <w:right w:w="15" w:type="dxa"/>
                  </w:tcMar>
                  <w:vAlign w:val="center"/>
                </w:tcPr>
                <w:p w14:paraId="2E6985D4">
                  <w:pPr>
                    <w:snapToGrid w:val="0"/>
                    <w:spacing w:line="240" w:lineRule="exact"/>
                    <w:jc w:val="center"/>
                    <w:rPr>
                      <w:rFonts w:hint="eastAsia" w:ascii="Times New Roman" w:hAnsi="Times New Roman" w:eastAsia="宋体" w:cs="Times New Roman"/>
                      <w:color w:val="000000" w:themeColor="text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塑料制品业292</w:t>
                  </w:r>
                </w:p>
              </w:tc>
              <w:tc>
                <w:tcPr>
                  <w:tcW w:w="2882" w:type="dxa"/>
                  <w:shd w:val="clear" w:color="auto" w:fill="auto"/>
                  <w:tcMar>
                    <w:top w:w="15" w:type="dxa"/>
                    <w:left w:w="15" w:type="dxa"/>
                    <w:right w:w="15" w:type="dxa"/>
                  </w:tcMar>
                  <w:vAlign w:val="center"/>
                </w:tcPr>
                <w:p w14:paraId="6EA72D4A">
                  <w:pPr>
                    <w:snapToGrid w:val="0"/>
                    <w:spacing w:line="240" w:lineRule="exact"/>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以再生塑料为原料生产的；有电镀工艺的；年用溶剂型胶粘剂10吨及以上的；年用溶剂型涂料（含稀释剂）10吨及以上的</w:t>
                  </w:r>
                </w:p>
              </w:tc>
              <w:tc>
                <w:tcPr>
                  <w:tcW w:w="1540" w:type="dxa"/>
                  <w:shd w:val="clear" w:color="auto" w:fill="D7D7D7" w:themeFill="background1" w:themeFillShade="D8"/>
                  <w:tcMar>
                    <w:top w:w="15" w:type="dxa"/>
                    <w:left w:w="15" w:type="dxa"/>
                    <w:right w:w="15" w:type="dxa"/>
                  </w:tcMar>
                  <w:vAlign w:val="center"/>
                </w:tcPr>
                <w:p w14:paraId="21B5D110">
                  <w:pPr>
                    <w:snapToGrid w:val="0"/>
                    <w:spacing w:line="240" w:lineRule="exact"/>
                    <w:jc w:val="center"/>
                    <w:rPr>
                      <w:rFonts w:hint="default"/>
                      <w:color w:val="000000" w:themeColor="text1"/>
                      <w:highlight w:val="none"/>
                      <w:shd w:val="clear" w:fill="D7D7D7" w:themeFill="background1" w:themeFillShade="D8"/>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其他（年用非溶剂型低VOCs含量涂料10吨以下的除外）</w:t>
                  </w:r>
                </w:p>
              </w:tc>
              <w:tc>
                <w:tcPr>
                  <w:tcW w:w="873" w:type="dxa"/>
                  <w:shd w:val="clear" w:color="auto" w:fill="auto"/>
                  <w:tcMar>
                    <w:top w:w="15" w:type="dxa"/>
                    <w:left w:w="15" w:type="dxa"/>
                    <w:right w:w="15" w:type="dxa"/>
                  </w:tcMar>
                  <w:vAlign w:val="center"/>
                </w:tcPr>
                <w:p w14:paraId="32A297CE">
                  <w:pPr>
                    <w:snapToGrid w:val="0"/>
                    <w:spacing w:line="240" w:lineRule="exact"/>
                    <w:jc w:val="center"/>
                    <w:rPr>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023A5E0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76" w:hRule="atLeast"/>
                <w:jc w:val="center"/>
              </w:trPr>
              <w:tc>
                <w:tcPr>
                  <w:tcW w:w="8300" w:type="dxa"/>
                  <w:gridSpan w:val="5"/>
                  <w:shd w:val="clear" w:color="auto" w:fill="auto"/>
                  <w:noWrap/>
                  <w:tcMar>
                    <w:top w:w="15" w:type="dxa"/>
                    <w:left w:w="15" w:type="dxa"/>
                    <w:right w:w="15" w:type="dxa"/>
                  </w:tcMar>
                  <w:vAlign w:val="center"/>
                </w:tcPr>
                <w:p w14:paraId="2DA0DC5B">
                  <w:pPr>
                    <w:jc w:val="left"/>
                    <w:rPr>
                      <w:color w:val="000000" w:themeColor="text1"/>
                      <w:szCs w:val="21"/>
                      <w:highlight w:val="none"/>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三十三、汽车制造业36</w:t>
                  </w:r>
                </w:p>
              </w:tc>
            </w:tr>
            <w:tr w14:paraId="7568BD5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76" w:hRule="atLeast"/>
                <w:jc w:val="center"/>
              </w:trPr>
              <w:tc>
                <w:tcPr>
                  <w:tcW w:w="577" w:type="dxa"/>
                  <w:shd w:val="clear" w:color="auto" w:fill="auto"/>
                  <w:noWrap/>
                  <w:tcMar>
                    <w:top w:w="15" w:type="dxa"/>
                    <w:left w:w="15" w:type="dxa"/>
                    <w:right w:w="15" w:type="dxa"/>
                  </w:tcMar>
                  <w:vAlign w:val="center"/>
                </w:tcPr>
                <w:p w14:paraId="58BBB7B3">
                  <w:pPr>
                    <w:adjustRightInd w:val="0"/>
                    <w:snapToGrid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71</w:t>
                  </w:r>
                </w:p>
              </w:tc>
              <w:tc>
                <w:tcPr>
                  <w:tcW w:w="2428" w:type="dxa"/>
                  <w:shd w:val="clear" w:color="auto" w:fill="auto"/>
                  <w:noWrap/>
                  <w:tcMar>
                    <w:top w:w="15" w:type="dxa"/>
                    <w:left w:w="15" w:type="dxa"/>
                    <w:right w:w="15" w:type="dxa"/>
                  </w:tcMar>
                  <w:vAlign w:val="center"/>
                </w:tcPr>
                <w:p w14:paraId="119460F4">
                  <w:pPr>
                    <w:adjustRightInd w:val="0"/>
                    <w:snapToGrid w:val="0"/>
                    <w:jc w:val="center"/>
                    <w:rPr>
                      <w:rFonts w:hint="eastAsia"/>
                      <w:color w:val="000000" w:themeColor="text1"/>
                      <w:szCs w:val="21"/>
                      <w:highlight w:val="none"/>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汽车整车制造361；汽车用发动机制造362；改装汽车制造363；低速汽车制造364；电车制造365；汽车车身、挂车制造366；汽车零部件及配件制造367</w:t>
                  </w:r>
                </w:p>
              </w:tc>
              <w:tc>
                <w:tcPr>
                  <w:tcW w:w="2882" w:type="dxa"/>
                  <w:shd w:val="clear" w:color="auto" w:fill="auto"/>
                  <w:tcMar>
                    <w:top w:w="15" w:type="dxa"/>
                    <w:left w:w="15" w:type="dxa"/>
                    <w:right w:w="15" w:type="dxa"/>
                  </w:tcMar>
                  <w:vAlign w:val="center"/>
                </w:tcPr>
                <w:p w14:paraId="4E365F3A">
                  <w:pPr>
                    <w:adjustRightInd w:val="0"/>
                    <w:snapToGrid w:val="0"/>
                    <w:jc w:val="center"/>
                    <w:rPr>
                      <w:rFonts w:hint="eastAsia"/>
                      <w:color w:val="000000" w:themeColor="text1"/>
                      <w:szCs w:val="2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汽车整车制造（仅组装的除外）；汽车用发动机制造（仅组装的除外）；有电镀工艺的；年用溶剂型涂料（含稀释剂）10吨及以上的</w:t>
                  </w:r>
                </w:p>
              </w:tc>
              <w:tc>
                <w:tcPr>
                  <w:tcW w:w="1540" w:type="dxa"/>
                  <w:shd w:val="clear" w:color="auto" w:fill="D7D7D7" w:themeFill="background1" w:themeFillShade="D8"/>
                  <w:tcMar>
                    <w:top w:w="15" w:type="dxa"/>
                    <w:left w:w="15" w:type="dxa"/>
                    <w:right w:w="15" w:type="dxa"/>
                  </w:tcMar>
                  <w:vAlign w:val="center"/>
                </w:tcPr>
                <w:p w14:paraId="6C2DA514">
                  <w:pPr>
                    <w:adjustRightInd w:val="0"/>
                    <w:snapToGrid w:val="0"/>
                    <w:jc w:val="center"/>
                    <w:rPr>
                      <w:rFonts w:hint="eastAsia"/>
                      <w:color w:val="000000" w:themeColor="text1"/>
                      <w:szCs w:val="21"/>
                      <w:highlight w:val="none"/>
                      <w14:textFill>
                        <w14:solidFill>
                          <w14:schemeClr w14:val="tx1"/>
                        </w14:solidFill>
                      </w14:textFill>
                    </w:rPr>
                  </w:pPr>
                  <w:r>
                    <w:rPr>
                      <w:rFonts w:hint="default"/>
                      <w:color w:val="000000" w:themeColor="text1"/>
                      <w:highlight w:val="none"/>
                      <w:shd w:val="clear" w:fill="D7D7D7" w:themeFill="background1" w:themeFillShade="D8"/>
                      <w:lang w:val="en-US" w:eastAsia="zh-CN"/>
                      <w14:textFill>
                        <w14:solidFill>
                          <w14:schemeClr w14:val="tx1"/>
                        </w14:solidFill>
                      </w14:textFill>
                    </w:rPr>
                    <w:t>其他（年用非溶剂型低VOCs含量涂料10吨以下的除外）</w:t>
                  </w:r>
                </w:p>
              </w:tc>
              <w:tc>
                <w:tcPr>
                  <w:tcW w:w="873" w:type="dxa"/>
                  <w:shd w:val="clear" w:color="auto" w:fill="auto"/>
                  <w:tcMar>
                    <w:top w:w="15" w:type="dxa"/>
                    <w:left w:w="15" w:type="dxa"/>
                    <w:right w:w="15" w:type="dxa"/>
                  </w:tcMar>
                  <w:vAlign w:val="center"/>
                </w:tcPr>
                <w:p w14:paraId="4ACF377B">
                  <w:pPr>
                    <w:jc w:val="center"/>
                    <w:rPr>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t>/</w:t>
                  </w:r>
                </w:p>
              </w:tc>
            </w:tr>
          </w:tbl>
          <w:p w14:paraId="7C310409">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2、工程概况</w:t>
            </w:r>
          </w:p>
          <w:p w14:paraId="5F00AB90">
            <w:pPr>
              <w:adjustRightInd w:val="0"/>
              <w:snapToGrid w:val="0"/>
              <w:spacing w:line="440" w:lineRule="exact"/>
              <w:ind w:firstLine="480" w:firstLineChars="200"/>
              <w:rPr>
                <w:rFonts w:hint="eastAsia" w:eastAsia="宋体"/>
                <w:color w:val="000000" w:themeColor="text1"/>
                <w:sz w:val="24"/>
                <w:highlight w:val="none"/>
                <w:lang w:val="zh-CN" w:eastAsia="zh-CN"/>
                <w14:textFill>
                  <w14:solidFill>
                    <w14:schemeClr w14:val="tx1"/>
                  </w14:solidFill>
                </w14:textFill>
              </w:rPr>
            </w:pPr>
            <w:r>
              <w:rPr>
                <w:color w:val="000000" w:themeColor="text1"/>
                <w:sz w:val="24"/>
                <w:highlight w:val="none"/>
                <w:lang w:val="zh-CN"/>
                <w14:textFill>
                  <w14:solidFill>
                    <w14:schemeClr w14:val="tx1"/>
                  </w14:solidFill>
                </w14:textFill>
              </w:rPr>
              <w:t>项目名称：</w:t>
            </w:r>
            <w:r>
              <w:rPr>
                <w:rFonts w:hint="eastAsia"/>
                <w:color w:val="000000" w:themeColor="text1"/>
                <w:sz w:val="24"/>
                <w:highlight w:val="none"/>
                <w:lang w:eastAsia="zh-CN"/>
                <w14:textFill>
                  <w14:solidFill>
                    <w14:schemeClr w14:val="tx1"/>
                  </w14:solidFill>
                </w14:textFill>
              </w:rPr>
              <w:t>汽车连接件生产项目</w:t>
            </w:r>
          </w:p>
          <w:p w14:paraId="3D741A0A">
            <w:pPr>
              <w:adjustRightInd w:val="0"/>
              <w:snapToGrid w:val="0"/>
              <w:spacing w:line="440" w:lineRule="exact"/>
              <w:ind w:firstLine="480" w:firstLineChars="200"/>
              <w:rPr>
                <w:rFonts w:hint="eastAsia" w:eastAsia="宋体"/>
                <w:color w:val="000000" w:themeColor="text1"/>
                <w:sz w:val="24"/>
                <w:highlight w:val="none"/>
                <w:lang w:val="zh-CN" w:eastAsia="zh-CN"/>
                <w14:textFill>
                  <w14:solidFill>
                    <w14:schemeClr w14:val="tx1"/>
                  </w14:solidFill>
                </w14:textFill>
              </w:rPr>
            </w:pPr>
            <w:r>
              <w:rPr>
                <w:color w:val="000000" w:themeColor="text1"/>
                <w:sz w:val="24"/>
                <w:highlight w:val="none"/>
                <w:lang w:val="zh-CN"/>
                <w14:textFill>
                  <w14:solidFill>
                    <w14:schemeClr w14:val="tx1"/>
                  </w14:solidFill>
                </w14:textFill>
              </w:rPr>
              <w:t>建设单位：</w:t>
            </w:r>
            <w:r>
              <w:rPr>
                <w:rFonts w:hint="eastAsia"/>
                <w:color w:val="000000" w:themeColor="text1"/>
                <w:sz w:val="24"/>
                <w:highlight w:val="none"/>
                <w:lang w:eastAsia="zh-CN"/>
                <w14:textFill>
                  <w14:solidFill>
                    <w14:schemeClr w14:val="tx1"/>
                  </w14:solidFill>
                </w14:textFill>
              </w:rPr>
              <w:t>南京富长盛自动化设备有限公司</w:t>
            </w:r>
          </w:p>
          <w:p w14:paraId="77D87ABB">
            <w:pPr>
              <w:adjustRightInd w:val="0"/>
              <w:snapToGrid w:val="0"/>
              <w:spacing w:line="440" w:lineRule="exact"/>
              <w:ind w:firstLine="480" w:firstLineChars="200"/>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lang w:val="zh-CN"/>
                <w14:textFill>
                  <w14:solidFill>
                    <w14:schemeClr w14:val="tx1"/>
                  </w14:solidFill>
                </w14:textFill>
              </w:rPr>
              <w:t>行业类别：</w:t>
            </w:r>
            <w:r>
              <w:rPr>
                <w:rFonts w:hint="eastAsia"/>
                <w:color w:val="000000" w:themeColor="text1"/>
                <w:sz w:val="24"/>
                <w:highlight w:val="none"/>
                <w:lang w:eastAsia="zh-CN"/>
                <w14:textFill>
                  <w14:solidFill>
                    <w14:schemeClr w14:val="tx1"/>
                  </w14:solidFill>
                </w14:textFill>
              </w:rPr>
              <w:t>C2913橡胶零件制造、C2929塑料零件及其他塑料制品制造、C3670汽车零部件及配件制造</w:t>
            </w:r>
          </w:p>
          <w:p w14:paraId="12B3FF4A">
            <w:pPr>
              <w:adjustRightInd w:val="0"/>
              <w:snapToGrid w:val="0"/>
              <w:spacing w:line="440" w:lineRule="exact"/>
              <w:ind w:firstLine="480" w:firstLineChars="200"/>
              <w:rPr>
                <w:rFonts w:hint="default"/>
                <w:color w:val="000000" w:themeColor="text1"/>
                <w:sz w:val="24"/>
                <w:highlight w:val="none"/>
                <w:lang w:val="en-US"/>
                <w14:textFill>
                  <w14:solidFill>
                    <w14:schemeClr w14:val="tx1"/>
                  </w14:solidFill>
                </w14:textFill>
              </w:rPr>
            </w:pPr>
            <w:r>
              <w:rPr>
                <w:color w:val="000000" w:themeColor="text1"/>
                <w:sz w:val="24"/>
                <w:highlight w:val="none"/>
                <w:lang w:val="zh-CN"/>
                <w14:textFill>
                  <w14:solidFill>
                    <w14:schemeClr w14:val="tx1"/>
                  </w14:solidFill>
                </w14:textFill>
              </w:rPr>
              <w:t>项目性质：</w:t>
            </w:r>
            <w:r>
              <w:rPr>
                <w:rFonts w:hint="eastAsia"/>
                <w:color w:val="000000" w:themeColor="text1"/>
                <w:sz w:val="24"/>
                <w:highlight w:val="none"/>
                <w:lang w:val="en-US" w:eastAsia="zh-CN"/>
                <w14:textFill>
                  <w14:solidFill>
                    <w14:schemeClr w14:val="tx1"/>
                  </w14:solidFill>
                </w14:textFill>
              </w:rPr>
              <w:t>新建</w:t>
            </w:r>
          </w:p>
          <w:p w14:paraId="4324ED0D">
            <w:pPr>
              <w:adjustRightInd w:val="0"/>
              <w:snapToGrid w:val="0"/>
              <w:spacing w:line="440" w:lineRule="exact"/>
              <w:ind w:firstLine="480" w:firstLineChars="200"/>
              <w:rPr>
                <w:rFonts w:hint="eastAsia" w:eastAsia="宋体"/>
                <w:color w:val="000000" w:themeColor="text1"/>
                <w:sz w:val="24"/>
                <w:highlight w:val="none"/>
                <w:lang w:val="zh-CN" w:eastAsia="zh-CN"/>
                <w14:textFill>
                  <w14:solidFill>
                    <w14:schemeClr w14:val="tx1"/>
                  </w14:solidFill>
                </w14:textFill>
              </w:rPr>
            </w:pPr>
            <w:r>
              <w:rPr>
                <w:color w:val="000000" w:themeColor="text1"/>
                <w:sz w:val="24"/>
                <w:highlight w:val="none"/>
                <w:lang w:val="zh-CN"/>
                <w14:textFill>
                  <w14:solidFill>
                    <w14:schemeClr w14:val="tx1"/>
                  </w14:solidFill>
                </w14:textFill>
              </w:rPr>
              <w:t>建设地点：</w:t>
            </w:r>
            <w:r>
              <w:rPr>
                <w:rFonts w:hint="eastAsia"/>
                <w:color w:val="000000" w:themeColor="text1"/>
                <w:sz w:val="24"/>
                <w:highlight w:val="none"/>
                <w:lang w:eastAsia="zh-CN"/>
                <w14:textFill>
                  <w14:solidFill>
                    <w14:schemeClr w14:val="tx1"/>
                  </w14:solidFill>
                </w14:textFill>
              </w:rPr>
              <w:t>南京市江宁区禄口街道蓝天路218号</w:t>
            </w:r>
          </w:p>
          <w:p w14:paraId="23AF2451">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lang w:val="zh-CN"/>
                <w14:textFill>
                  <w14:solidFill>
                    <w14:schemeClr w14:val="tx1"/>
                  </w14:solidFill>
                </w14:textFill>
              </w:rPr>
              <w:t>投资总额：</w:t>
            </w:r>
            <w:r>
              <w:rPr>
                <w:rFonts w:hint="eastAsia"/>
                <w:color w:val="000000" w:themeColor="text1"/>
                <w:sz w:val="24"/>
                <w:highlight w:val="none"/>
                <w:lang w:val="en-US" w:eastAsia="zh-CN"/>
                <w14:textFill>
                  <w14:solidFill>
                    <w14:schemeClr w14:val="tx1"/>
                  </w14:solidFill>
                </w14:textFill>
              </w:rPr>
              <w:t>1050</w:t>
            </w:r>
            <w:r>
              <w:rPr>
                <w:rFonts w:hint="eastAsia"/>
                <w:color w:val="000000" w:themeColor="text1"/>
                <w:sz w:val="24"/>
                <w:highlight w:val="none"/>
                <w14:textFill>
                  <w14:solidFill>
                    <w14:schemeClr w14:val="tx1"/>
                  </w14:solidFill>
                </w14:textFill>
              </w:rPr>
              <w:t>万元</w:t>
            </w:r>
          </w:p>
          <w:p w14:paraId="60D309E9">
            <w:pPr>
              <w:adjustRightInd w:val="0"/>
              <w:snapToGrid w:val="0"/>
              <w:spacing w:line="440" w:lineRule="exact"/>
              <w:ind w:firstLine="480" w:firstLineChars="200"/>
              <w:rPr>
                <w:rFonts w:hint="default" w:eastAsia="宋体"/>
                <w:color w:val="000000" w:themeColor="text1"/>
                <w:sz w:val="24"/>
                <w:highlight w:val="none"/>
                <w:lang w:val="en-US" w:eastAsia="zh-CN"/>
                <w14:textFill>
                  <w14:solidFill>
                    <w14:schemeClr w14:val="tx1"/>
                  </w14:solidFill>
                </w14:textFill>
              </w:rPr>
            </w:pPr>
            <w:r>
              <w:rPr>
                <w:color w:val="000000" w:themeColor="text1"/>
                <w:sz w:val="24"/>
                <w:highlight w:val="none"/>
                <w:lang w:val="zh-CN"/>
                <w14:textFill>
                  <w14:solidFill>
                    <w14:schemeClr w14:val="tx1"/>
                  </w14:solidFill>
                </w14:textFill>
              </w:rPr>
              <w:t>职工人数：</w:t>
            </w:r>
            <w:r>
              <w:rPr>
                <w:snapToGrid w:val="0"/>
                <w:color w:val="000000" w:themeColor="text1"/>
                <w:kern w:val="0"/>
                <w:sz w:val="24"/>
                <w:highlight w:val="none"/>
                <w14:textFill>
                  <w14:solidFill>
                    <w14:schemeClr w14:val="tx1"/>
                  </w14:solidFill>
                </w14:textFill>
              </w:rPr>
              <w:t>本项目</w:t>
            </w:r>
            <w:r>
              <w:rPr>
                <w:rFonts w:hint="eastAsia"/>
                <w:snapToGrid w:val="0"/>
                <w:color w:val="000000" w:themeColor="text1"/>
                <w:kern w:val="0"/>
                <w:sz w:val="24"/>
                <w:highlight w:val="none"/>
                <w:lang w:val="en-US" w:eastAsia="zh-CN"/>
                <w14:textFill>
                  <w14:solidFill>
                    <w14:schemeClr w14:val="tx1"/>
                  </w14:solidFill>
                </w14:textFill>
              </w:rPr>
              <w:t>新增人员16人</w:t>
            </w:r>
          </w:p>
          <w:p w14:paraId="7EF00F05">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lang w:val="zh-CN"/>
                <w14:textFill>
                  <w14:solidFill>
                    <w14:schemeClr w14:val="tx1"/>
                  </w14:solidFill>
                </w14:textFill>
              </w:rPr>
              <w:t>工作制度：工作</w:t>
            </w:r>
            <w:r>
              <w:rPr>
                <w:color w:val="000000" w:themeColor="text1"/>
                <w:sz w:val="24"/>
                <w:highlight w:val="none"/>
                <w14:textFill>
                  <w14:solidFill>
                    <w14:schemeClr w14:val="tx1"/>
                  </w14:solidFill>
                </w14:textFill>
              </w:rPr>
              <w:t>3</w:t>
            </w:r>
            <w:r>
              <w:rPr>
                <w:rFonts w:hint="eastAsia"/>
                <w:color w:val="000000" w:themeColor="text1"/>
                <w:sz w:val="24"/>
                <w:highlight w:val="none"/>
                <w:lang w:val="en-US" w:eastAsia="zh-CN"/>
                <w14:textFill>
                  <w14:solidFill>
                    <w14:schemeClr w14:val="tx1"/>
                  </w14:solidFill>
                </w14:textFill>
              </w:rPr>
              <w:t>0</w:t>
            </w:r>
            <w:r>
              <w:rPr>
                <w:color w:val="000000" w:themeColor="text1"/>
                <w:sz w:val="24"/>
                <w:highlight w:val="none"/>
                <w14:textFill>
                  <w14:solidFill>
                    <w14:schemeClr w14:val="tx1"/>
                  </w14:solidFill>
                </w14:textFill>
              </w:rPr>
              <w:t>0天，</w:t>
            </w:r>
            <w:r>
              <w:rPr>
                <w:rFonts w:hint="eastAsia"/>
                <w:color w:val="000000" w:themeColor="text1"/>
                <w:sz w:val="24"/>
                <w:highlight w:val="none"/>
                <w:lang w:val="en-US" w:eastAsia="zh-CN"/>
                <w14:textFill>
                  <w14:solidFill>
                    <w14:schemeClr w14:val="tx1"/>
                  </w14:solidFill>
                </w14:textFill>
              </w:rPr>
              <w:t>2</w:t>
            </w:r>
            <w:r>
              <w:rPr>
                <w:color w:val="000000" w:themeColor="text1"/>
                <w:sz w:val="24"/>
                <w:highlight w:val="none"/>
                <w:lang w:val="zh-CN"/>
                <w14:textFill>
                  <w14:solidFill>
                    <w14:schemeClr w14:val="tx1"/>
                  </w14:solidFill>
                </w14:textFill>
              </w:rPr>
              <w:t>班制，每班</w:t>
            </w:r>
            <w:r>
              <w:rPr>
                <w:color w:val="000000" w:themeColor="text1"/>
                <w:sz w:val="24"/>
                <w:highlight w:val="none"/>
                <w14:textFill>
                  <w14:solidFill>
                    <w14:schemeClr w14:val="tx1"/>
                  </w14:solidFill>
                </w14:textFill>
              </w:rPr>
              <w:t>8小时，</w:t>
            </w:r>
            <w:r>
              <w:rPr>
                <w:rFonts w:hint="eastAsia"/>
                <w:color w:val="000000" w:themeColor="text1"/>
                <w:sz w:val="24"/>
                <w:highlight w:val="none"/>
                <w14:textFill>
                  <w14:solidFill>
                    <w14:schemeClr w14:val="tx1"/>
                  </w14:solidFill>
                </w14:textFill>
              </w:rPr>
              <w:t>不设食宿</w:t>
            </w:r>
          </w:p>
          <w:p w14:paraId="264BA4C6">
            <w:pPr>
              <w:numPr>
                <w:ilvl w:val="0"/>
                <w:numId w:val="12"/>
              </w:num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产品方案</w:t>
            </w:r>
          </w:p>
          <w:p w14:paraId="7650714B">
            <w:pPr>
              <w:adjustRightInd w:val="0"/>
              <w:snapToGrid w:val="0"/>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本项目建设完成后产品方案如下表。</w:t>
            </w:r>
          </w:p>
          <w:p w14:paraId="5083901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color w:val="000000" w:themeColor="text1"/>
                <w:sz w:val="24"/>
                <w:highlight w:val="none"/>
                <w:lang w:val="zh-CN"/>
                <w14:textFill>
                  <w14:solidFill>
                    <w14:schemeClr w14:val="tx1"/>
                  </w14:solidFill>
                </w14:textFill>
              </w:rPr>
            </w:pPr>
            <w:r>
              <w:rPr>
                <w:b/>
                <w:color w:val="000000" w:themeColor="text1"/>
                <w:sz w:val="24"/>
                <w:highlight w:val="none"/>
                <w:lang w:val="zh-CN"/>
                <w14:textFill>
                  <w14:solidFill>
                    <w14:schemeClr w14:val="tx1"/>
                  </w14:solidFill>
                </w14:textFill>
              </w:rPr>
              <w:t>表</w:t>
            </w:r>
            <w:r>
              <w:rPr>
                <w:b/>
                <w:color w:val="000000" w:themeColor="text1"/>
                <w:sz w:val="24"/>
                <w:highlight w:val="none"/>
                <w14:textFill>
                  <w14:solidFill>
                    <w14:schemeClr w14:val="tx1"/>
                  </w14:solidFill>
                </w14:textFill>
              </w:rPr>
              <w:t>2-</w:t>
            </w:r>
            <w:r>
              <w:rPr>
                <w:rFonts w:hint="eastAsia"/>
                <w:b/>
                <w:color w:val="000000" w:themeColor="text1"/>
                <w:sz w:val="24"/>
                <w:highlight w:val="none"/>
                <w:lang w:val="en-US" w:eastAsia="zh-CN"/>
                <w14:textFill>
                  <w14:solidFill>
                    <w14:schemeClr w14:val="tx1"/>
                  </w14:solidFill>
                </w14:textFill>
              </w:rPr>
              <w:t xml:space="preserve">2  </w:t>
            </w:r>
            <w:r>
              <w:rPr>
                <w:rFonts w:hint="eastAsia"/>
                <w:b/>
                <w:bCs/>
                <w:color w:val="000000" w:themeColor="text1"/>
                <w:sz w:val="24"/>
                <w:highlight w:val="none"/>
                <w14:textFill>
                  <w14:solidFill>
                    <w14:schemeClr w14:val="tx1"/>
                  </w14:solidFill>
                </w14:textFill>
              </w:rPr>
              <w:t>建设项目产品方案一览表</w:t>
            </w:r>
          </w:p>
          <w:tbl>
            <w:tblPr>
              <w:tblStyle w:val="3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445"/>
              <w:gridCol w:w="1487"/>
              <w:gridCol w:w="1436"/>
              <w:gridCol w:w="840"/>
              <w:gridCol w:w="596"/>
              <w:gridCol w:w="2583"/>
              <w:gridCol w:w="1030"/>
            </w:tblGrid>
            <w:tr w14:paraId="7DF706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264" w:type="pct"/>
                  <w:tcBorders>
                    <w:tl2br w:val="nil"/>
                    <w:tr2bl w:val="nil"/>
                  </w:tcBorders>
                  <w:vAlign w:val="center"/>
                </w:tcPr>
                <w:p w14:paraId="5B42C168">
                  <w:pPr>
                    <w:jc w:val="center"/>
                    <w:rPr>
                      <w:b/>
                      <w:bCs/>
                      <w:color w:val="000000" w:themeColor="text1"/>
                      <w:szCs w:val="21"/>
                      <w:highlight w:val="none"/>
                      <w14:textFill>
                        <w14:solidFill>
                          <w14:schemeClr w14:val="tx1"/>
                        </w14:solidFill>
                      </w14:textFill>
                    </w:rPr>
                  </w:pPr>
                  <w:r>
                    <w:rPr>
                      <w:rFonts w:hAnsi="宋体"/>
                      <w:b/>
                      <w:bCs/>
                      <w:color w:val="000000" w:themeColor="text1"/>
                      <w:szCs w:val="21"/>
                      <w:highlight w:val="none"/>
                      <w14:textFill>
                        <w14:solidFill>
                          <w14:schemeClr w14:val="tx1"/>
                        </w14:solidFill>
                      </w14:textFill>
                    </w:rPr>
                    <w:t>序号</w:t>
                  </w:r>
                </w:p>
              </w:tc>
              <w:tc>
                <w:tcPr>
                  <w:tcW w:w="883" w:type="pct"/>
                  <w:tcBorders>
                    <w:tl2br w:val="nil"/>
                    <w:tr2bl w:val="nil"/>
                  </w:tcBorders>
                  <w:vAlign w:val="center"/>
                </w:tcPr>
                <w:p w14:paraId="5BBA543B">
                  <w:pPr>
                    <w:jc w:val="center"/>
                    <w:rPr>
                      <w:rFonts w:hint="default" w:eastAsia="宋体"/>
                      <w:b/>
                      <w:bCs/>
                      <w:color w:val="000000" w:themeColor="text1"/>
                      <w:szCs w:val="21"/>
                      <w:highlight w:val="none"/>
                      <w:lang w:val="en-US" w:eastAsia="zh-CN"/>
                      <w14:textFill>
                        <w14:solidFill>
                          <w14:schemeClr w14:val="tx1"/>
                        </w14:solidFill>
                      </w14:textFill>
                    </w:rPr>
                  </w:pPr>
                  <w:r>
                    <w:rPr>
                      <w:rFonts w:hint="eastAsia" w:hAnsi="宋体"/>
                      <w:b/>
                      <w:bCs/>
                      <w:color w:val="000000" w:themeColor="text1"/>
                      <w:szCs w:val="21"/>
                      <w:highlight w:val="none"/>
                      <w:lang w:val="en-US" w:eastAsia="zh-CN"/>
                      <w14:textFill>
                        <w14:solidFill>
                          <w14:schemeClr w14:val="tx1"/>
                        </w14:solidFill>
                      </w14:textFill>
                    </w:rPr>
                    <w:t>产品</w:t>
                  </w:r>
                  <w:r>
                    <w:rPr>
                      <w:rFonts w:hAnsi="宋体"/>
                      <w:b/>
                      <w:bCs/>
                      <w:color w:val="000000" w:themeColor="text1"/>
                      <w:szCs w:val="21"/>
                      <w:highlight w:val="none"/>
                      <w14:textFill>
                        <w14:solidFill>
                          <w14:schemeClr w14:val="tx1"/>
                        </w14:solidFill>
                      </w14:textFill>
                    </w:rPr>
                    <w:t>名称</w:t>
                  </w:r>
                </w:p>
              </w:tc>
              <w:tc>
                <w:tcPr>
                  <w:tcW w:w="853" w:type="pct"/>
                  <w:tcBorders>
                    <w:tl2br w:val="nil"/>
                    <w:tr2bl w:val="nil"/>
                  </w:tcBorders>
                  <w:vAlign w:val="center"/>
                </w:tcPr>
                <w:p w14:paraId="290699A7">
                  <w:pPr>
                    <w:jc w:val="center"/>
                    <w:rPr>
                      <w:rFonts w:hAnsi="宋体"/>
                      <w:b/>
                      <w:bCs/>
                      <w:color w:val="000000" w:themeColor="text1"/>
                      <w:szCs w:val="21"/>
                      <w:highlight w:val="none"/>
                      <w14:textFill>
                        <w14:solidFill>
                          <w14:schemeClr w14:val="tx1"/>
                        </w14:solidFill>
                      </w14:textFill>
                    </w:rPr>
                  </w:pPr>
                  <w:r>
                    <w:rPr>
                      <w:rFonts w:hint="eastAsia" w:hAnsi="宋体"/>
                      <w:b/>
                      <w:bCs/>
                      <w:color w:val="000000" w:themeColor="text1"/>
                      <w:szCs w:val="21"/>
                      <w:highlight w:val="none"/>
                      <w14:textFill>
                        <w14:solidFill>
                          <w14:schemeClr w14:val="tx1"/>
                        </w14:solidFill>
                      </w14:textFill>
                    </w:rPr>
                    <w:t>型号</w:t>
                  </w:r>
                </w:p>
              </w:tc>
              <w:tc>
                <w:tcPr>
                  <w:tcW w:w="853" w:type="pct"/>
                  <w:gridSpan w:val="2"/>
                  <w:tcBorders>
                    <w:tl2br w:val="nil"/>
                    <w:tr2bl w:val="nil"/>
                  </w:tcBorders>
                  <w:vAlign w:val="center"/>
                </w:tcPr>
                <w:p w14:paraId="07C1BBD5">
                  <w:pPr>
                    <w:jc w:val="center"/>
                    <w:rPr>
                      <w:rFonts w:hint="eastAsia" w:hAnsi="宋体" w:eastAsia="宋体"/>
                      <w:b/>
                      <w:bCs/>
                      <w:color w:val="000000" w:themeColor="text1"/>
                      <w:szCs w:val="21"/>
                      <w:highlight w:val="none"/>
                      <w:lang w:val="en-US" w:eastAsia="zh-CN"/>
                      <w14:textFill>
                        <w14:solidFill>
                          <w14:schemeClr w14:val="tx1"/>
                        </w14:solidFill>
                      </w14:textFill>
                    </w:rPr>
                  </w:pPr>
                  <w:r>
                    <w:rPr>
                      <w:rFonts w:hint="eastAsia" w:hAnsi="宋体"/>
                      <w:b/>
                      <w:bCs/>
                      <w:color w:val="000000" w:themeColor="text1"/>
                      <w:szCs w:val="21"/>
                      <w:highlight w:val="none"/>
                      <w:lang w:val="en-US" w:eastAsia="zh-CN"/>
                      <w14:textFill>
                        <w14:solidFill>
                          <w14:schemeClr w14:val="tx1"/>
                        </w14:solidFill>
                      </w14:textFill>
                    </w:rPr>
                    <w:t>规格</w:t>
                  </w:r>
                </w:p>
              </w:tc>
              <w:tc>
                <w:tcPr>
                  <w:tcW w:w="1534" w:type="pct"/>
                  <w:tcBorders>
                    <w:tl2br w:val="nil"/>
                    <w:tr2bl w:val="nil"/>
                  </w:tcBorders>
                  <w:vAlign w:val="center"/>
                </w:tcPr>
                <w:p w14:paraId="777F4677">
                  <w:pPr>
                    <w:jc w:val="center"/>
                    <w:rPr>
                      <w:rFonts w:hint="default"/>
                      <w:color w:val="000000" w:themeColor="text1"/>
                      <w:szCs w:val="21"/>
                      <w:highlight w:val="none"/>
                      <w:lang w:val="en-US" w:eastAsia="zh-CN"/>
                      <w14:textFill>
                        <w14:solidFill>
                          <w14:schemeClr w14:val="tx1"/>
                        </w14:solidFill>
                      </w14:textFill>
                    </w:rPr>
                  </w:pPr>
                  <w:r>
                    <w:rPr>
                      <w:rFonts w:hint="eastAsia" w:hAnsi="宋体"/>
                      <w:b/>
                      <w:bCs/>
                      <w:color w:val="000000" w:themeColor="text1"/>
                      <w:szCs w:val="21"/>
                      <w:highlight w:val="none"/>
                      <w:lang w:val="en-US" w:eastAsia="zh-CN"/>
                      <w14:textFill>
                        <w14:solidFill>
                          <w14:schemeClr w14:val="tx1"/>
                        </w14:solidFill>
                      </w14:textFill>
                    </w:rPr>
                    <w:t>年生产能力</w:t>
                  </w:r>
                </w:p>
              </w:tc>
              <w:tc>
                <w:tcPr>
                  <w:tcW w:w="611" w:type="pct"/>
                  <w:tcBorders>
                    <w:tl2br w:val="nil"/>
                    <w:tr2bl w:val="nil"/>
                  </w:tcBorders>
                  <w:vAlign w:val="center"/>
                </w:tcPr>
                <w:p w14:paraId="60F941BE">
                  <w:pPr>
                    <w:jc w:val="center"/>
                    <w:rPr>
                      <w:rFonts w:hint="eastAsia" w:hAnsi="宋体"/>
                      <w:b/>
                      <w:bCs/>
                      <w:color w:val="000000" w:themeColor="text1"/>
                      <w:szCs w:val="21"/>
                      <w:highlight w:val="none"/>
                      <w:lang w:val="en-US" w:eastAsia="zh-CN"/>
                      <w14:textFill>
                        <w14:solidFill>
                          <w14:schemeClr w14:val="tx1"/>
                        </w14:solidFill>
                      </w14:textFill>
                    </w:rPr>
                  </w:pPr>
                  <w:r>
                    <w:rPr>
                      <w:rFonts w:hint="eastAsia" w:hAnsi="宋体"/>
                      <w:b/>
                      <w:bCs/>
                      <w:color w:val="000000" w:themeColor="text1"/>
                      <w:szCs w:val="21"/>
                      <w:highlight w:val="none"/>
                      <w:lang w:val="en-US" w:eastAsia="zh-CN"/>
                      <w14:textFill>
                        <w14:solidFill>
                          <w14:schemeClr w14:val="tx1"/>
                        </w14:solidFill>
                      </w14:textFill>
                    </w:rPr>
                    <w:t>去向</w:t>
                  </w:r>
                </w:p>
              </w:tc>
            </w:tr>
            <w:tr w14:paraId="5EED5E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264" w:type="pct"/>
                  <w:tcBorders>
                    <w:tl2br w:val="nil"/>
                    <w:tr2bl w:val="nil"/>
                  </w:tcBorders>
                  <w:vAlign w:val="center"/>
                </w:tcPr>
                <w:p w14:paraId="519D0AB7">
                  <w:pPr>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w:t>
                  </w:r>
                </w:p>
              </w:tc>
              <w:tc>
                <w:tcPr>
                  <w:tcW w:w="883" w:type="pct"/>
                  <w:tcBorders>
                    <w:tl2br w:val="nil"/>
                    <w:tr2bl w:val="nil"/>
                  </w:tcBorders>
                  <w:vAlign w:val="center"/>
                </w:tcPr>
                <w:p w14:paraId="01FBFC36">
                  <w:pPr>
                    <w:adjustRightInd w:val="0"/>
                    <w:snapToGrid w:val="0"/>
                    <w:jc w:val="center"/>
                    <w:rPr>
                      <w:rFonts w:hint="eastAsia"/>
                      <w:color w:val="000000" w:themeColor="text1"/>
                      <w:szCs w:val="21"/>
                      <w:highlight w:val="none"/>
                      <w:lang w:val="en-US" w:eastAsia="zh-CN"/>
                      <w14:textFill>
                        <w14:solidFill>
                          <w14:schemeClr w14:val="tx1"/>
                        </w14:solidFill>
                      </w14:textFill>
                    </w:rPr>
                  </w:pPr>
                  <w:r>
                    <w:rPr>
                      <w:rFonts w:hint="eastAsia" w:cs="Times New Roman"/>
                      <w:b w:val="0"/>
                      <w:bCs/>
                      <w:color w:val="000000" w:themeColor="text1"/>
                      <w:sz w:val="22"/>
                      <w:szCs w:val="22"/>
                      <w:highlight w:val="none"/>
                      <w:lang w:val="en-US" w:eastAsia="zh-CN"/>
                      <w14:textFill>
                        <w14:solidFill>
                          <w14:schemeClr w14:val="tx1"/>
                        </w14:solidFill>
                      </w14:textFill>
                    </w:rPr>
                    <w:t>汽车连接器</w:t>
                  </w:r>
                </w:p>
              </w:tc>
              <w:tc>
                <w:tcPr>
                  <w:tcW w:w="853" w:type="pct"/>
                  <w:tcBorders>
                    <w:tl2br w:val="nil"/>
                    <w:tr2bl w:val="nil"/>
                  </w:tcBorders>
                  <w:vAlign w:val="center"/>
                </w:tcPr>
                <w:p w14:paraId="7BFC0592">
                  <w:pPr>
                    <w:adjustRightInd w:val="0"/>
                    <w:snapToGrid w:val="0"/>
                    <w:jc w:val="center"/>
                    <w:rPr>
                      <w:rFonts w:hint="eastAsia"/>
                      <w:color w:val="000000" w:themeColor="text1"/>
                      <w:szCs w:val="21"/>
                      <w:highlight w:val="none"/>
                      <w:lang w:val="en-US" w:eastAsia="zh-CN"/>
                      <w14:textFill>
                        <w14:solidFill>
                          <w14:schemeClr w14:val="tx1"/>
                        </w14:solidFill>
                      </w14:textFill>
                    </w:rPr>
                  </w:pPr>
                  <w:r>
                    <w:rPr>
                      <w:rFonts w:hint="eastAsia" w:cs="Times New Roman"/>
                      <w:b w:val="0"/>
                      <w:bCs/>
                      <w:color w:val="000000" w:themeColor="text1"/>
                      <w:sz w:val="22"/>
                      <w:szCs w:val="22"/>
                      <w:highlight w:val="none"/>
                      <w:lang w:val="en-US" w:eastAsia="zh-CN"/>
                      <w14:textFill>
                        <w14:solidFill>
                          <w14:schemeClr w14:val="tx1"/>
                        </w14:solidFill>
                      </w14:textFill>
                    </w:rPr>
                    <w:t>防水栓</w:t>
                  </w:r>
                </w:p>
              </w:tc>
              <w:tc>
                <w:tcPr>
                  <w:tcW w:w="853" w:type="pct"/>
                  <w:gridSpan w:val="2"/>
                  <w:tcBorders>
                    <w:tl2br w:val="nil"/>
                    <w:tr2bl w:val="nil"/>
                  </w:tcBorders>
                  <w:vAlign w:val="center"/>
                </w:tcPr>
                <w:p w14:paraId="6E6DCB9C">
                  <w:pPr>
                    <w:adjustRightInd w:val="0"/>
                    <w:snapToGrid w:val="0"/>
                    <w:jc w:val="center"/>
                    <w:rPr>
                      <w:rFonts w:hint="default" w:cs="Times New Roman"/>
                      <w:b w:val="0"/>
                      <w:bCs/>
                      <w:color w:val="000000" w:themeColor="text1"/>
                      <w:sz w:val="22"/>
                      <w:szCs w:val="22"/>
                      <w:highlight w:val="none"/>
                      <w:lang w:val="en-US" w:eastAsia="zh-CN"/>
                      <w14:textFill>
                        <w14:solidFill>
                          <w14:schemeClr w14:val="tx1"/>
                        </w14:solidFill>
                      </w14:textFill>
                    </w:rPr>
                  </w:pPr>
                  <w:r>
                    <w:rPr>
                      <w:rFonts w:hint="eastAsia" w:cs="Times New Roman"/>
                      <w:b w:val="0"/>
                      <w:bCs/>
                      <w:color w:val="000000" w:themeColor="text1"/>
                      <w:sz w:val="22"/>
                      <w:szCs w:val="22"/>
                      <w:highlight w:val="none"/>
                      <w:lang w:val="en-US" w:eastAsia="zh-CN"/>
                      <w14:textFill>
                        <w14:solidFill>
                          <w14:schemeClr w14:val="tx1"/>
                        </w14:solidFill>
                      </w14:textFill>
                    </w:rPr>
                    <w:t>2-8mm</w:t>
                  </w:r>
                </w:p>
              </w:tc>
              <w:tc>
                <w:tcPr>
                  <w:tcW w:w="1534" w:type="pct"/>
                  <w:tcBorders>
                    <w:tl2br w:val="nil"/>
                    <w:tr2bl w:val="nil"/>
                  </w:tcBorders>
                  <w:vAlign w:val="center"/>
                </w:tcPr>
                <w:p w14:paraId="56948DFD">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1000万套/a</w:t>
                  </w:r>
                </w:p>
              </w:tc>
              <w:tc>
                <w:tcPr>
                  <w:tcW w:w="611" w:type="pct"/>
                  <w:vMerge w:val="restart"/>
                  <w:tcBorders>
                    <w:tl2br w:val="nil"/>
                    <w:tr2bl w:val="nil"/>
                  </w:tcBorders>
                  <w:vAlign w:val="center"/>
                </w:tcPr>
                <w:p w14:paraId="695085E5">
                  <w:pPr>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外售</w:t>
                  </w:r>
                </w:p>
              </w:tc>
            </w:tr>
            <w:tr w14:paraId="0CBB0E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264" w:type="pct"/>
                  <w:tcBorders>
                    <w:tl2br w:val="nil"/>
                    <w:tr2bl w:val="nil"/>
                  </w:tcBorders>
                  <w:vAlign w:val="center"/>
                </w:tcPr>
                <w:p w14:paraId="43C61C96">
                  <w:pPr>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w:t>
                  </w:r>
                </w:p>
              </w:tc>
              <w:tc>
                <w:tcPr>
                  <w:tcW w:w="883" w:type="pct"/>
                  <w:tcBorders>
                    <w:tl2br w:val="nil"/>
                    <w:tr2bl w:val="nil"/>
                  </w:tcBorders>
                  <w:vAlign w:val="center"/>
                </w:tcPr>
                <w:p w14:paraId="30723CDB">
                  <w:pPr>
                    <w:adjustRightInd w:val="0"/>
                    <w:snapToGrid w:val="0"/>
                    <w:jc w:val="center"/>
                    <w:rPr>
                      <w:rFonts w:hint="eastAsia"/>
                      <w:color w:val="000000" w:themeColor="text1"/>
                      <w:szCs w:val="21"/>
                      <w:highlight w:val="none"/>
                      <w:lang w:val="en-US" w:eastAsia="zh-CN"/>
                      <w14:textFill>
                        <w14:solidFill>
                          <w14:schemeClr w14:val="tx1"/>
                        </w14:solidFill>
                      </w14:textFill>
                    </w:rPr>
                  </w:pPr>
                  <w:r>
                    <w:rPr>
                      <w:rFonts w:hint="eastAsia" w:cs="Times New Roman"/>
                      <w:b w:val="0"/>
                      <w:bCs/>
                      <w:color w:val="000000" w:themeColor="text1"/>
                      <w:sz w:val="22"/>
                      <w:szCs w:val="22"/>
                      <w:highlight w:val="none"/>
                      <w:lang w:val="en-US" w:eastAsia="zh-CN"/>
                      <w14:textFill>
                        <w14:solidFill>
                          <w14:schemeClr w14:val="tx1"/>
                        </w14:solidFill>
                      </w14:textFill>
                    </w:rPr>
                    <w:t>汽车连接器</w:t>
                  </w:r>
                </w:p>
              </w:tc>
              <w:tc>
                <w:tcPr>
                  <w:tcW w:w="853" w:type="pct"/>
                  <w:tcBorders>
                    <w:tl2br w:val="nil"/>
                    <w:tr2bl w:val="nil"/>
                  </w:tcBorders>
                  <w:vAlign w:val="center"/>
                </w:tcPr>
                <w:p w14:paraId="19253FAE">
                  <w:pPr>
                    <w:adjustRightInd w:val="0"/>
                    <w:snapToGrid w:val="0"/>
                    <w:jc w:val="center"/>
                    <w:rPr>
                      <w:rFonts w:hint="default"/>
                      <w:color w:val="000000" w:themeColor="text1"/>
                      <w:szCs w:val="21"/>
                      <w:highlight w:val="none"/>
                      <w:lang w:val="en-US" w:eastAsia="zh-CN"/>
                      <w14:textFill>
                        <w14:solidFill>
                          <w14:schemeClr w14:val="tx1"/>
                        </w14:solidFill>
                      </w14:textFill>
                    </w:rPr>
                  </w:pPr>
                  <w:r>
                    <w:rPr>
                      <w:rFonts w:hint="eastAsia" w:cs="Times New Roman"/>
                      <w:b w:val="0"/>
                      <w:bCs/>
                      <w:color w:val="000000" w:themeColor="text1"/>
                      <w:sz w:val="22"/>
                      <w:szCs w:val="22"/>
                      <w:highlight w:val="none"/>
                      <w:lang w:val="en-US" w:eastAsia="zh-CN"/>
                      <w14:textFill>
                        <w14:solidFill>
                          <w14:schemeClr w14:val="tx1"/>
                        </w14:solidFill>
                      </w14:textFill>
                    </w:rPr>
                    <w:t>护套</w:t>
                  </w:r>
                </w:p>
              </w:tc>
              <w:tc>
                <w:tcPr>
                  <w:tcW w:w="853" w:type="pct"/>
                  <w:gridSpan w:val="2"/>
                  <w:tcBorders>
                    <w:tl2br w:val="nil"/>
                    <w:tr2bl w:val="nil"/>
                  </w:tcBorders>
                  <w:vAlign w:val="center"/>
                </w:tcPr>
                <w:p w14:paraId="0075CB3D">
                  <w:pPr>
                    <w:adjustRightInd w:val="0"/>
                    <w:snapToGrid w:val="0"/>
                    <w:jc w:val="center"/>
                    <w:rPr>
                      <w:rFonts w:hint="eastAsia" w:cs="Times New Roman"/>
                      <w:b w:val="0"/>
                      <w:bCs/>
                      <w:color w:val="000000" w:themeColor="text1"/>
                      <w:sz w:val="22"/>
                      <w:szCs w:val="22"/>
                      <w:highlight w:val="none"/>
                      <w:lang w:val="en-US" w:eastAsia="zh-CN"/>
                      <w14:textFill>
                        <w14:solidFill>
                          <w14:schemeClr w14:val="tx1"/>
                        </w14:solidFill>
                      </w14:textFill>
                    </w:rPr>
                  </w:pPr>
                  <w:r>
                    <w:rPr>
                      <w:rFonts w:hint="eastAsia" w:cs="Times New Roman"/>
                      <w:b w:val="0"/>
                      <w:bCs/>
                      <w:color w:val="000000" w:themeColor="text1"/>
                      <w:sz w:val="22"/>
                      <w:szCs w:val="22"/>
                      <w:highlight w:val="none"/>
                      <w:lang w:val="en-US" w:eastAsia="zh-CN"/>
                      <w14:textFill>
                        <w14:solidFill>
                          <w14:schemeClr w14:val="tx1"/>
                        </w14:solidFill>
                      </w14:textFill>
                    </w:rPr>
                    <w:t>2-8mm</w:t>
                  </w:r>
                </w:p>
              </w:tc>
              <w:tc>
                <w:tcPr>
                  <w:tcW w:w="1534" w:type="pct"/>
                  <w:tcBorders>
                    <w:tl2br w:val="nil"/>
                    <w:tr2bl w:val="nil"/>
                  </w:tcBorders>
                  <w:vAlign w:val="center"/>
                </w:tcPr>
                <w:p w14:paraId="5E1502A0">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1000万套/a</w:t>
                  </w:r>
                </w:p>
              </w:tc>
              <w:tc>
                <w:tcPr>
                  <w:tcW w:w="611" w:type="pct"/>
                  <w:vMerge w:val="continue"/>
                  <w:tcBorders>
                    <w:tl2br w:val="nil"/>
                    <w:tr2bl w:val="nil"/>
                  </w:tcBorders>
                  <w:vAlign w:val="center"/>
                </w:tcPr>
                <w:p w14:paraId="24196600">
                  <w:pPr>
                    <w:jc w:val="center"/>
                    <w:rPr>
                      <w:rFonts w:hint="default"/>
                      <w:color w:val="000000" w:themeColor="text1"/>
                      <w:szCs w:val="21"/>
                      <w:highlight w:val="none"/>
                      <w:lang w:val="en-US" w:eastAsia="zh-CN"/>
                      <w14:textFill>
                        <w14:solidFill>
                          <w14:schemeClr w14:val="tx1"/>
                        </w14:solidFill>
                      </w14:textFill>
                    </w:rPr>
                  </w:pPr>
                </w:p>
              </w:tc>
            </w:tr>
            <w:tr w14:paraId="51DBA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1" w:hRule="atLeast"/>
                <w:jc w:val="center"/>
              </w:trPr>
              <w:tc>
                <w:tcPr>
                  <w:tcW w:w="2499" w:type="pct"/>
                  <w:gridSpan w:val="4"/>
                  <w:vAlign w:val="top"/>
                </w:tcPr>
                <w:p w14:paraId="1D51FB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1969770" cy="1440180"/>
                        <wp:effectExtent l="0" t="0" r="0" b="0"/>
                        <wp:docPr id="2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8"/>
                                <pic:cNvPicPr>
                                  <a:picLocks noChangeAspect="1"/>
                                </pic:cNvPicPr>
                              </pic:nvPicPr>
                              <pic:blipFill>
                                <a:blip r:embed="rId14"/>
                                <a:srcRect r="34488"/>
                                <a:stretch>
                                  <a:fillRect/>
                                </a:stretch>
                              </pic:blipFill>
                              <pic:spPr>
                                <a:xfrm>
                                  <a:off x="0" y="0"/>
                                  <a:ext cx="1969770" cy="1440180"/>
                                </a:xfrm>
                                <a:prstGeom prst="rect">
                                  <a:avLst/>
                                </a:prstGeom>
                                <a:noFill/>
                                <a:ln>
                                  <a:noFill/>
                                </a:ln>
                              </pic:spPr>
                            </pic:pic>
                          </a:graphicData>
                        </a:graphic>
                      </wp:inline>
                    </w:drawing>
                  </w:r>
                </w:p>
                <w:p w14:paraId="78F410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b w:val="0"/>
                      <w:bCs/>
                      <w:color w:val="000000" w:themeColor="text1"/>
                      <w:sz w:val="22"/>
                      <w:szCs w:val="22"/>
                      <w:highlight w:val="none"/>
                      <w:lang w:val="en-US" w:eastAsia="zh-CN"/>
                      <w14:textFill>
                        <w14:solidFill>
                          <w14:schemeClr w14:val="tx1"/>
                        </w14:solidFill>
                      </w14:textFill>
                    </w:rPr>
                    <w:t>防水栓</w:t>
                  </w:r>
                </w:p>
              </w:tc>
              <w:tc>
                <w:tcPr>
                  <w:tcW w:w="2500" w:type="pct"/>
                  <w:gridSpan w:val="3"/>
                  <w:vAlign w:val="top"/>
                </w:tcPr>
                <w:p w14:paraId="147ABC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1769110" cy="1440180"/>
                        <wp:effectExtent l="0" t="0" r="2540" b="7620"/>
                        <wp:docPr id="2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9"/>
                                <pic:cNvPicPr>
                                  <a:picLocks noChangeAspect="1"/>
                                </pic:cNvPicPr>
                              </pic:nvPicPr>
                              <pic:blipFill>
                                <a:blip r:embed="rId15"/>
                                <a:stretch>
                                  <a:fillRect/>
                                </a:stretch>
                              </pic:blipFill>
                              <pic:spPr>
                                <a:xfrm>
                                  <a:off x="0" y="0"/>
                                  <a:ext cx="1769110" cy="1440180"/>
                                </a:xfrm>
                                <a:prstGeom prst="rect">
                                  <a:avLst/>
                                </a:prstGeom>
                                <a:noFill/>
                                <a:ln>
                                  <a:noFill/>
                                </a:ln>
                              </pic:spPr>
                            </pic:pic>
                          </a:graphicData>
                        </a:graphic>
                      </wp:inline>
                    </w:drawing>
                  </w:r>
                </w:p>
                <w:p w14:paraId="6FC691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b w:val="0"/>
                      <w:bCs/>
                      <w:color w:val="000000" w:themeColor="text1"/>
                      <w:sz w:val="22"/>
                      <w:szCs w:val="22"/>
                      <w:highlight w:val="none"/>
                      <w:lang w:val="en-US" w:eastAsia="zh-CN"/>
                      <w14:textFill>
                        <w14:solidFill>
                          <w14:schemeClr w14:val="tx1"/>
                        </w14:solidFill>
                      </w14:textFill>
                    </w:rPr>
                    <w:t>护套</w:t>
                  </w:r>
                </w:p>
              </w:tc>
            </w:tr>
          </w:tbl>
          <w:p w14:paraId="7E26A9CF">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4、公用及辅助工程</w:t>
            </w:r>
          </w:p>
          <w:p w14:paraId="59399C3A">
            <w:pPr>
              <w:adjustRightInd w:val="0"/>
              <w:snapToGrid w:val="0"/>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本项目公用工程均依托所在建筑物。</w:t>
            </w:r>
          </w:p>
          <w:p w14:paraId="3821DF06">
            <w:pPr>
              <w:adjustRightInd w:val="0"/>
              <w:snapToGrid w:val="0"/>
              <w:spacing w:line="46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1）给水：本项目总用水量</w:t>
            </w:r>
            <w:r>
              <w:rPr>
                <w:rFonts w:hint="eastAsia"/>
                <w:color w:val="000000" w:themeColor="text1"/>
                <w:sz w:val="24"/>
                <w:highlight w:val="none"/>
                <w:lang w:val="en-US" w:eastAsia="zh-CN"/>
                <w14:textFill>
                  <w14:solidFill>
                    <w14:schemeClr w14:val="tx1"/>
                  </w14:solidFill>
                </w14:textFill>
              </w:rPr>
              <w:t>1032</w:t>
            </w:r>
            <w:r>
              <w:rPr>
                <w:color w:val="000000" w:themeColor="text1"/>
                <w:sz w:val="24"/>
                <w:highlight w:val="none"/>
                <w14:textFill>
                  <w14:solidFill>
                    <w14:schemeClr w14:val="tx1"/>
                  </w14:solidFill>
                </w14:textFill>
              </w:rPr>
              <w:t>t/a，均来自自来水。用水主要包括</w:t>
            </w:r>
            <w:r>
              <w:rPr>
                <w:rFonts w:hint="eastAsia"/>
                <w:color w:val="000000" w:themeColor="text1"/>
                <w:sz w:val="24"/>
                <w:highlight w:val="none"/>
                <w:lang w:val="en-US" w:eastAsia="zh-CN"/>
                <w14:textFill>
                  <w14:solidFill>
                    <w14:schemeClr w14:val="tx1"/>
                  </w14:solidFill>
                </w14:textFill>
              </w:rPr>
              <w:t>生活用水、冷却</w:t>
            </w:r>
            <w:r>
              <w:rPr>
                <w:rFonts w:hint="eastAsia"/>
                <w:color w:val="000000" w:themeColor="text1"/>
                <w:sz w:val="24"/>
                <w:highlight w:val="none"/>
                <w14:textFill>
                  <w14:solidFill>
                    <w14:schemeClr w14:val="tx1"/>
                  </w14:solidFill>
                </w14:textFill>
              </w:rPr>
              <w:t>用水</w:t>
            </w:r>
            <w:r>
              <w:rPr>
                <w:color w:val="000000" w:themeColor="text1"/>
                <w:sz w:val="24"/>
                <w:highlight w:val="none"/>
                <w14:textFill>
                  <w14:solidFill>
                    <w14:schemeClr w14:val="tx1"/>
                  </w14:solidFill>
                </w14:textFill>
              </w:rPr>
              <w:t>。</w:t>
            </w:r>
          </w:p>
          <w:p w14:paraId="38E44D96">
            <w:pPr>
              <w:adjustRightInd w:val="0"/>
              <w:snapToGrid w:val="0"/>
              <w:spacing w:line="46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2）排水：本项目废水主要为</w:t>
            </w:r>
            <w:r>
              <w:rPr>
                <w:rFonts w:hint="eastAsia"/>
                <w:color w:val="000000" w:themeColor="text1"/>
                <w:sz w:val="24"/>
                <w:highlight w:val="none"/>
                <w:lang w:val="en-US" w:eastAsia="zh-CN"/>
                <w14:textFill>
                  <w14:solidFill>
                    <w14:schemeClr w14:val="tx1"/>
                  </w14:solidFill>
                </w14:textFill>
              </w:rPr>
              <w:t>生活污水</w:t>
            </w:r>
            <w:r>
              <w:rPr>
                <w:color w:val="000000" w:themeColor="text1"/>
                <w:sz w:val="24"/>
                <w:highlight w:val="none"/>
                <w14:textFill>
                  <w14:solidFill>
                    <w14:schemeClr w14:val="tx1"/>
                  </w14:solidFill>
                </w14:textFill>
              </w:rPr>
              <w:t>。</w:t>
            </w:r>
            <w:r>
              <w:rPr>
                <w:rFonts w:hint="eastAsia"/>
                <w:color w:val="000000" w:themeColor="text1"/>
                <w:sz w:val="24"/>
                <w:highlight w:val="none"/>
                <w:lang w:eastAsia="zh-CN"/>
                <w14:textFill>
                  <w14:solidFill>
                    <w14:schemeClr w14:val="tx1"/>
                  </w14:solidFill>
                </w14:textFill>
              </w:rPr>
              <w:t>本项目生活污水经化粪池预处理后接管至禄口污水处理厂</w:t>
            </w:r>
            <w:r>
              <w:rPr>
                <w:color w:val="000000" w:themeColor="text1"/>
                <w:sz w:val="24"/>
                <w:highlight w:val="none"/>
                <w14:textFill>
                  <w14:solidFill>
                    <w14:schemeClr w14:val="tx1"/>
                  </w14:solidFill>
                </w14:textFill>
              </w:rPr>
              <w:t>，尾水排入</w:t>
            </w:r>
            <w:r>
              <w:rPr>
                <w:rFonts w:hint="eastAsia"/>
                <w:color w:val="000000" w:themeColor="text1"/>
                <w:sz w:val="24"/>
                <w:highlight w:val="none"/>
                <w:lang w:eastAsia="zh-CN"/>
                <w14:textFill>
                  <w14:solidFill>
                    <w14:schemeClr w14:val="tx1"/>
                  </w14:solidFill>
                </w14:textFill>
              </w:rPr>
              <w:t>横溪河</w:t>
            </w:r>
            <w:r>
              <w:rPr>
                <w:color w:val="000000" w:themeColor="text1"/>
                <w:sz w:val="24"/>
                <w:highlight w:val="none"/>
                <w14:textFill>
                  <w14:solidFill>
                    <w14:schemeClr w14:val="tx1"/>
                  </w14:solidFill>
                </w14:textFill>
              </w:rPr>
              <w:t>。</w:t>
            </w:r>
          </w:p>
          <w:p w14:paraId="0EFB2EC7">
            <w:pPr>
              <w:adjustRightInd w:val="0"/>
              <w:snapToGrid w:val="0"/>
              <w:spacing w:line="440" w:lineRule="exact"/>
              <w:ind w:firstLine="480" w:firstLineChars="200"/>
              <w:rPr>
                <w:color w:val="000000" w:themeColor="text1"/>
                <w:highlight w:val="none"/>
                <w14:textFill>
                  <w14:solidFill>
                    <w14:schemeClr w14:val="tx1"/>
                  </w14:solidFill>
                </w14:textFill>
              </w:rPr>
            </w:pPr>
            <w:r>
              <w:rPr>
                <w:color w:val="000000" w:themeColor="text1"/>
                <w:sz w:val="24"/>
                <w:highlight w:val="none"/>
                <w14:textFill>
                  <w14:solidFill>
                    <w14:schemeClr w14:val="tx1"/>
                  </w14:solidFill>
                </w14:textFill>
              </w:rPr>
              <w:t>（3）供电：来自市政电网。</w:t>
            </w:r>
          </w:p>
          <w:p w14:paraId="1FEA2F7A">
            <w:pPr>
              <w:rPr>
                <w:color w:val="000000" w:themeColor="text1"/>
                <w:highlight w:val="none"/>
                <w14:textFill>
                  <w14:solidFill>
                    <w14:schemeClr w14:val="tx1"/>
                  </w14:solidFill>
                </w14:textFill>
              </w:rPr>
            </w:pPr>
          </w:p>
        </w:tc>
      </w:tr>
    </w:tbl>
    <w:p w14:paraId="4C1D62F5">
      <w:pPr>
        <w:pStyle w:val="34"/>
        <w:keepNext/>
        <w:jc w:val="center"/>
        <w:outlineLvl w:val="0"/>
        <w:rPr>
          <w:rFonts w:ascii="Times New Roman" w:hAnsi="Times New Roman"/>
          <w:snapToGrid w:val="0"/>
          <w:color w:val="000000" w:themeColor="text1"/>
          <w:sz w:val="30"/>
          <w:szCs w:val="30"/>
          <w:highlight w:val="none"/>
          <w14:textFill>
            <w14:solidFill>
              <w14:schemeClr w14:val="tx1"/>
            </w14:solidFill>
          </w14:textFill>
        </w:rPr>
        <w:sectPr>
          <w:footerReference r:id="rId5" w:type="default"/>
          <w:pgSz w:w="11906" w:h="16838"/>
          <w:pgMar w:top="1701" w:right="1531" w:bottom="1701" w:left="1531" w:header="851" w:footer="851" w:gutter="0"/>
          <w:pgBorders>
            <w:top w:val="none" w:sz="0" w:space="0"/>
            <w:left w:val="none" w:sz="0" w:space="0"/>
            <w:bottom w:val="none" w:sz="0" w:space="0"/>
            <w:right w:val="none" w:sz="0" w:space="0"/>
          </w:pgBorders>
          <w:pgNumType w:fmt="numberInDash" w:start="1"/>
          <w:cols w:space="720" w:num="1"/>
          <w:docGrid w:linePitch="312" w:charSpace="0"/>
        </w:sectPr>
      </w:pPr>
    </w:p>
    <w:p w14:paraId="3CF34187">
      <w:pPr>
        <w:widowControl/>
        <w:spacing w:line="440" w:lineRule="exact"/>
        <w:ind w:firstLine="480" w:firstLineChars="200"/>
        <w:jc w:val="both"/>
        <w:rPr>
          <w:b/>
          <w:bCs/>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本项目建设工程见</w:t>
      </w:r>
      <w:r>
        <w:rPr>
          <w:rFonts w:hint="eastAsia"/>
          <w:color w:val="000000" w:themeColor="text1"/>
          <w:sz w:val="24"/>
          <w:highlight w:val="none"/>
          <w:lang w:val="en-US" w:eastAsia="zh-CN"/>
          <w14:textFill>
            <w14:solidFill>
              <w14:schemeClr w14:val="tx1"/>
            </w14:solidFill>
          </w14:textFill>
        </w:rPr>
        <w:t>下表</w:t>
      </w:r>
      <w:r>
        <w:rPr>
          <w:color w:val="000000" w:themeColor="text1"/>
          <w:sz w:val="24"/>
          <w:highlight w:val="none"/>
          <w14:textFill>
            <w14:solidFill>
              <w14:schemeClr w14:val="tx1"/>
            </w14:solidFill>
          </w14:textFill>
        </w:rPr>
        <w:t>。</w:t>
      </w:r>
    </w:p>
    <w:p w14:paraId="3BDE89A2">
      <w:pPr>
        <w:widowControl/>
        <w:spacing w:line="440" w:lineRule="exact"/>
        <w:jc w:val="center"/>
        <w:rPr>
          <w:b/>
          <w:bCs/>
          <w:color w:val="000000" w:themeColor="text1"/>
          <w:sz w:val="24"/>
          <w:highlight w:val="none"/>
          <w:lang w:val="zh-CN"/>
          <w14:textFill>
            <w14:solidFill>
              <w14:schemeClr w14:val="tx1"/>
            </w14:solidFill>
          </w14:textFill>
        </w:rPr>
      </w:pPr>
      <w:r>
        <w:rPr>
          <w:b/>
          <w:bCs/>
          <w:color w:val="000000" w:themeColor="text1"/>
          <w:sz w:val="24"/>
          <w:highlight w:val="none"/>
          <w:lang w:val="zh-CN"/>
          <w14:textFill>
            <w14:solidFill>
              <w14:schemeClr w14:val="tx1"/>
            </w14:solidFill>
          </w14:textFill>
        </w:rPr>
        <w:t>表2-</w:t>
      </w:r>
      <w:r>
        <w:rPr>
          <w:rFonts w:hint="eastAsia"/>
          <w:b/>
          <w:bCs/>
          <w:color w:val="000000" w:themeColor="text1"/>
          <w:sz w:val="24"/>
          <w:highlight w:val="none"/>
          <w:lang w:val="en-US" w:eastAsia="zh-CN"/>
          <w14:textFill>
            <w14:solidFill>
              <w14:schemeClr w14:val="tx1"/>
            </w14:solidFill>
          </w14:textFill>
        </w:rPr>
        <w:t xml:space="preserve">3  </w:t>
      </w:r>
      <w:r>
        <w:rPr>
          <w:b/>
          <w:bCs/>
          <w:color w:val="000000" w:themeColor="text1"/>
          <w:sz w:val="24"/>
          <w:highlight w:val="none"/>
          <w:lang w:val="zh-CN"/>
          <w14:textFill>
            <w14:solidFill>
              <w14:schemeClr w14:val="tx1"/>
            </w14:solidFill>
          </w14:textFill>
        </w:rPr>
        <w:t>工程组成一览表</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98"/>
        <w:gridCol w:w="2103"/>
        <w:gridCol w:w="1721"/>
        <w:gridCol w:w="5153"/>
        <w:gridCol w:w="3277"/>
      </w:tblGrid>
      <w:tr w14:paraId="668141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2" w:type="pct"/>
            <w:vAlign w:val="center"/>
          </w:tcPr>
          <w:p w14:paraId="52AB26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类别</w:t>
            </w:r>
          </w:p>
        </w:tc>
        <w:tc>
          <w:tcPr>
            <w:tcW w:w="770" w:type="pct"/>
            <w:vAlign w:val="center"/>
          </w:tcPr>
          <w:p w14:paraId="3BE589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建设内容</w:t>
            </w:r>
          </w:p>
        </w:tc>
        <w:tc>
          <w:tcPr>
            <w:tcW w:w="2517" w:type="pct"/>
            <w:gridSpan w:val="2"/>
            <w:vAlign w:val="center"/>
          </w:tcPr>
          <w:p w14:paraId="6F0923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设计能力</w:t>
            </w:r>
          </w:p>
        </w:tc>
        <w:tc>
          <w:tcPr>
            <w:tcW w:w="1200" w:type="pct"/>
            <w:vAlign w:val="center"/>
          </w:tcPr>
          <w:p w14:paraId="36BBE08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备注</w:t>
            </w:r>
          </w:p>
        </w:tc>
      </w:tr>
      <w:tr w14:paraId="086E8D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2" w:type="pct"/>
            <w:vAlign w:val="center"/>
          </w:tcPr>
          <w:p w14:paraId="561AC6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主体工程</w:t>
            </w:r>
          </w:p>
        </w:tc>
        <w:tc>
          <w:tcPr>
            <w:tcW w:w="770" w:type="pct"/>
            <w:vAlign w:val="center"/>
          </w:tcPr>
          <w:p w14:paraId="7BD3999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生产车间</w:t>
            </w:r>
          </w:p>
        </w:tc>
        <w:tc>
          <w:tcPr>
            <w:tcW w:w="2517" w:type="pct"/>
            <w:gridSpan w:val="2"/>
            <w:vAlign w:val="center"/>
          </w:tcPr>
          <w:p w14:paraId="52A193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建筑面积</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825</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，设置</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条</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汽车连接件生产线</w:t>
            </w:r>
            <w:r>
              <w:rPr>
                <w:rFonts w:hint="eastAsia" w:cs="Times New Roman"/>
                <w:color w:val="000000" w:themeColor="text1"/>
                <w:sz w:val="21"/>
                <w:szCs w:val="21"/>
                <w:highlight w:val="none"/>
                <w:lang w:val="en-US" w:eastAsia="zh-CN"/>
                <w14:textFill>
                  <w14:solidFill>
                    <w14:schemeClr w14:val="tx1"/>
                  </w14:solidFill>
                </w14:textFill>
              </w:rPr>
              <w:t>（3条</w:t>
            </w:r>
            <w:r>
              <w:rPr>
                <w:rFonts w:hint="eastAsia" w:cs="Times New Roman"/>
                <w:b w:val="0"/>
                <w:bCs/>
                <w:color w:val="000000" w:themeColor="text1"/>
                <w:sz w:val="21"/>
                <w:szCs w:val="21"/>
                <w:highlight w:val="none"/>
                <w:lang w:val="en-US" w:eastAsia="zh-CN"/>
                <w14:textFill>
                  <w14:solidFill>
                    <w14:schemeClr w14:val="tx1"/>
                  </w14:solidFill>
                </w14:textFill>
              </w:rPr>
              <w:t>防水栓生产线+8条护套生产线</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，包括检验室、办公室、原料仓库等</w:t>
            </w:r>
          </w:p>
        </w:tc>
        <w:tc>
          <w:tcPr>
            <w:tcW w:w="1200" w:type="pct"/>
            <w:vAlign w:val="center"/>
          </w:tcPr>
          <w:p w14:paraId="77F286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依托现有已建生产车间，新增生产线</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条</w:t>
            </w:r>
          </w:p>
        </w:tc>
      </w:tr>
      <w:tr w14:paraId="34D1E6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2" w:type="pct"/>
            <w:vAlign w:val="center"/>
          </w:tcPr>
          <w:p w14:paraId="60F7570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辅助工程</w:t>
            </w:r>
          </w:p>
        </w:tc>
        <w:tc>
          <w:tcPr>
            <w:tcW w:w="770" w:type="pct"/>
            <w:shd w:val="clear" w:color="auto" w:fill="auto"/>
            <w:vAlign w:val="center"/>
          </w:tcPr>
          <w:p w14:paraId="735747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办公室</w:t>
            </w:r>
          </w:p>
        </w:tc>
        <w:tc>
          <w:tcPr>
            <w:tcW w:w="2517" w:type="pct"/>
            <w:gridSpan w:val="2"/>
            <w:shd w:val="clear" w:color="auto" w:fill="auto"/>
            <w:vAlign w:val="center"/>
          </w:tcPr>
          <w:p w14:paraId="7EAC61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建筑面积</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p>
        </w:tc>
        <w:tc>
          <w:tcPr>
            <w:tcW w:w="1200" w:type="pct"/>
            <w:shd w:val="clear" w:color="auto" w:fill="auto"/>
            <w:vAlign w:val="center"/>
          </w:tcPr>
          <w:p w14:paraId="02E6D0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位于生产车间</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东南</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侧</w:t>
            </w:r>
          </w:p>
        </w:tc>
      </w:tr>
      <w:tr w14:paraId="572F5F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2" w:type="pct"/>
            <w:vAlign w:val="center"/>
          </w:tcPr>
          <w:p w14:paraId="4B034F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储运工程</w:t>
            </w:r>
          </w:p>
        </w:tc>
        <w:tc>
          <w:tcPr>
            <w:tcW w:w="770" w:type="pct"/>
            <w:vAlign w:val="center"/>
          </w:tcPr>
          <w:p w14:paraId="3A69A4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bidi="ar"/>
                <w14:textFill>
                  <w14:solidFill>
                    <w14:schemeClr w14:val="tx1"/>
                  </w14:solidFill>
                </w14:textFill>
              </w:rPr>
              <w:t>原料仓库</w:t>
            </w:r>
          </w:p>
        </w:tc>
        <w:tc>
          <w:tcPr>
            <w:tcW w:w="2517" w:type="pct"/>
            <w:gridSpan w:val="2"/>
            <w:vAlign w:val="center"/>
          </w:tcPr>
          <w:p w14:paraId="5498B1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建筑面积</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储存</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原辅料</w:t>
            </w:r>
          </w:p>
        </w:tc>
        <w:tc>
          <w:tcPr>
            <w:tcW w:w="1200" w:type="pct"/>
            <w:vAlign w:val="center"/>
          </w:tcPr>
          <w:p w14:paraId="67D583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位于生产车间南</w:t>
            </w:r>
            <w:r>
              <w:rPr>
                <w:rFonts w:hint="default" w:ascii="Times New Roman" w:hAnsi="Times New Roman" w:eastAsia="宋体" w:cs="Times New Roman"/>
                <w:color w:val="000000" w:themeColor="text1"/>
                <w:sz w:val="21"/>
                <w:szCs w:val="21"/>
                <w:highlight w:val="none"/>
                <w14:textFill>
                  <w14:solidFill>
                    <w14:schemeClr w14:val="tx1"/>
                  </w14:solidFill>
                </w14:textFill>
              </w:rPr>
              <w:t>侧</w:t>
            </w:r>
          </w:p>
        </w:tc>
      </w:tr>
      <w:tr w14:paraId="415859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2" w:type="pct"/>
            <w:vMerge w:val="restart"/>
            <w:vAlign w:val="center"/>
          </w:tcPr>
          <w:p w14:paraId="177ACC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公用工程</w:t>
            </w:r>
          </w:p>
        </w:tc>
        <w:tc>
          <w:tcPr>
            <w:tcW w:w="770" w:type="pct"/>
            <w:vAlign w:val="center"/>
          </w:tcPr>
          <w:p w14:paraId="54809A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给水</w:t>
            </w:r>
          </w:p>
        </w:tc>
        <w:tc>
          <w:tcPr>
            <w:tcW w:w="2517" w:type="pct"/>
            <w:gridSpan w:val="2"/>
            <w:vAlign w:val="center"/>
          </w:tcPr>
          <w:p w14:paraId="7AE07E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自来水</w:t>
            </w:r>
            <w:r>
              <w:rPr>
                <w:rFonts w:hint="eastAsia" w:cs="Times New Roman"/>
                <w:color w:val="000000" w:themeColor="text1"/>
                <w:sz w:val="21"/>
                <w:szCs w:val="21"/>
                <w:highlight w:val="none"/>
                <w:lang w:val="en-US" w:eastAsia="zh-CN"/>
                <w14:textFill>
                  <w14:solidFill>
                    <w14:schemeClr w14:val="tx1"/>
                  </w14:solidFill>
                </w14:textFill>
              </w:rPr>
              <w:t>1032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t/a</w:t>
            </w:r>
          </w:p>
        </w:tc>
        <w:tc>
          <w:tcPr>
            <w:tcW w:w="1200" w:type="pct"/>
            <w:vAlign w:val="center"/>
          </w:tcPr>
          <w:p w14:paraId="761112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来自市政给水管网</w:t>
            </w:r>
          </w:p>
        </w:tc>
      </w:tr>
      <w:tr w14:paraId="119D6D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2" w:type="pct"/>
            <w:vMerge w:val="continue"/>
            <w:vAlign w:val="center"/>
          </w:tcPr>
          <w:p w14:paraId="6DCC8D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70" w:type="pct"/>
            <w:vAlign w:val="center"/>
          </w:tcPr>
          <w:p w14:paraId="6C43F4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排水</w:t>
            </w:r>
          </w:p>
        </w:tc>
        <w:tc>
          <w:tcPr>
            <w:tcW w:w="2517" w:type="pct"/>
            <w:gridSpan w:val="2"/>
            <w:vAlign w:val="center"/>
          </w:tcPr>
          <w:p w14:paraId="5393C9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192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t/a</w:t>
            </w:r>
          </w:p>
        </w:tc>
        <w:tc>
          <w:tcPr>
            <w:tcW w:w="1200" w:type="pct"/>
            <w:vAlign w:val="center"/>
          </w:tcPr>
          <w:p w14:paraId="5D36A6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接管</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禄口污水处理厂</w:t>
            </w:r>
          </w:p>
        </w:tc>
      </w:tr>
      <w:tr w14:paraId="2758B7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2" w:type="pct"/>
            <w:vMerge w:val="continue"/>
            <w:vAlign w:val="center"/>
          </w:tcPr>
          <w:p w14:paraId="0FDCE1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70" w:type="pct"/>
            <w:vAlign w:val="center"/>
          </w:tcPr>
          <w:p w14:paraId="7C067DA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冷却水</w:t>
            </w:r>
          </w:p>
        </w:tc>
        <w:tc>
          <w:tcPr>
            <w:tcW w:w="2517" w:type="pct"/>
            <w:gridSpan w:val="2"/>
            <w:vAlign w:val="center"/>
          </w:tcPr>
          <w:p w14:paraId="0882EE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循环水量为</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/h</w:t>
            </w:r>
          </w:p>
        </w:tc>
        <w:tc>
          <w:tcPr>
            <w:tcW w:w="1200" w:type="pct"/>
            <w:vAlign w:val="center"/>
          </w:tcPr>
          <w:p w14:paraId="7148FD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新增1台</w:t>
            </w:r>
          </w:p>
        </w:tc>
      </w:tr>
      <w:tr w14:paraId="57923F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2" w:type="pct"/>
            <w:vMerge w:val="continue"/>
            <w:vAlign w:val="center"/>
          </w:tcPr>
          <w:p w14:paraId="501E6D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70" w:type="pct"/>
            <w:vAlign w:val="center"/>
          </w:tcPr>
          <w:p w14:paraId="7677AE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供电</w:t>
            </w:r>
          </w:p>
        </w:tc>
        <w:tc>
          <w:tcPr>
            <w:tcW w:w="2517" w:type="pct"/>
            <w:gridSpan w:val="2"/>
            <w:tcMar>
              <w:left w:w="0" w:type="dxa"/>
              <w:right w:w="0" w:type="dxa"/>
            </w:tcMar>
            <w:vAlign w:val="center"/>
          </w:tcPr>
          <w:p w14:paraId="45A596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24</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万千瓦时/年</w:t>
            </w:r>
          </w:p>
        </w:tc>
        <w:tc>
          <w:tcPr>
            <w:tcW w:w="1200" w:type="pct"/>
            <w:vAlign w:val="center"/>
          </w:tcPr>
          <w:p w14:paraId="136CDE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市政供电</w:t>
            </w:r>
          </w:p>
        </w:tc>
      </w:tr>
      <w:tr w14:paraId="0E38D2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2" w:type="pct"/>
            <w:vMerge w:val="restart"/>
            <w:vAlign w:val="center"/>
          </w:tcPr>
          <w:p w14:paraId="7EF21C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环保工程</w:t>
            </w:r>
          </w:p>
        </w:tc>
        <w:tc>
          <w:tcPr>
            <w:tcW w:w="770" w:type="pct"/>
            <w:vMerge w:val="restart"/>
            <w:vAlign w:val="center"/>
          </w:tcPr>
          <w:p w14:paraId="58E9E2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废水</w:t>
            </w:r>
          </w:p>
        </w:tc>
        <w:tc>
          <w:tcPr>
            <w:tcW w:w="2517" w:type="pct"/>
            <w:gridSpan w:val="2"/>
            <w:vAlign w:val="center"/>
          </w:tcPr>
          <w:p w14:paraId="0E6C3E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排污口规范化设置、雨污分流</w:t>
            </w:r>
          </w:p>
        </w:tc>
        <w:tc>
          <w:tcPr>
            <w:tcW w:w="1200" w:type="pct"/>
            <w:vMerge w:val="restart"/>
            <w:vAlign w:val="center"/>
          </w:tcPr>
          <w:p w14:paraId="7D263D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依托租赁方，满足《江苏省排污口设置及规范化整治管理办法》的要求</w:t>
            </w:r>
          </w:p>
        </w:tc>
      </w:tr>
      <w:tr w14:paraId="3260CF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2" w:type="pct"/>
            <w:vMerge w:val="continue"/>
            <w:vAlign w:val="center"/>
          </w:tcPr>
          <w:p w14:paraId="73815C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70" w:type="pct"/>
            <w:vMerge w:val="continue"/>
            <w:vAlign w:val="center"/>
          </w:tcPr>
          <w:p w14:paraId="06320E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517" w:type="pct"/>
            <w:gridSpan w:val="2"/>
            <w:vAlign w:val="center"/>
          </w:tcPr>
          <w:p w14:paraId="696227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化粪池</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个，体积为5m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p>
        </w:tc>
        <w:tc>
          <w:tcPr>
            <w:tcW w:w="1200" w:type="pct"/>
            <w:vMerge w:val="continue"/>
            <w:vAlign w:val="center"/>
          </w:tcPr>
          <w:p w14:paraId="53A269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79188A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2" w:type="pct"/>
            <w:vMerge w:val="continue"/>
            <w:vAlign w:val="center"/>
          </w:tcPr>
          <w:p w14:paraId="249656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70" w:type="pct"/>
            <w:vMerge w:val="restart"/>
            <w:vAlign w:val="center"/>
          </w:tcPr>
          <w:p w14:paraId="0314E3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废气</w:t>
            </w:r>
          </w:p>
        </w:tc>
        <w:tc>
          <w:tcPr>
            <w:tcW w:w="630" w:type="pct"/>
            <w:shd w:val="clear" w:color="auto" w:fill="auto"/>
            <w:vAlign w:val="center"/>
          </w:tcPr>
          <w:p w14:paraId="053126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硫化废气</w:t>
            </w:r>
          </w:p>
        </w:tc>
        <w:tc>
          <w:tcPr>
            <w:tcW w:w="1887" w:type="pct"/>
            <w:shd w:val="clear" w:color="auto" w:fill="auto"/>
            <w:vAlign w:val="center"/>
          </w:tcPr>
          <w:p w14:paraId="73C5C6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集气罩收集</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二级活性炭吸附装置</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（TA001）+15m高排气筒DA001</w:t>
            </w:r>
            <w:r>
              <w:rPr>
                <w:rFonts w:hint="default" w:ascii="Times New Roman" w:hAnsi="Times New Roman" w:eastAsia="宋体" w:cs="Times New Roman"/>
                <w:color w:val="000000" w:themeColor="text1"/>
                <w:sz w:val="21"/>
                <w:szCs w:val="21"/>
                <w:highlight w:val="none"/>
                <w:lang w:val="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风机风量</w:t>
            </w:r>
            <w:r>
              <w:rPr>
                <w:rFonts w:hint="eastAsia" w:cs="Times New Roman"/>
                <w:color w:val="000000" w:themeColor="text1"/>
                <w:sz w:val="21"/>
                <w:szCs w:val="21"/>
                <w:highlight w:val="none"/>
                <w:lang w:val="en-US" w:eastAsia="zh-CN"/>
                <w14:textFill>
                  <w14:solidFill>
                    <w14:schemeClr w14:val="tx1"/>
                  </w14:solidFill>
                </w14:textFill>
              </w:rPr>
              <w:t>3000m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/h</w:t>
            </w:r>
          </w:p>
        </w:tc>
        <w:tc>
          <w:tcPr>
            <w:tcW w:w="1200" w:type="pct"/>
            <w:vMerge w:val="restart"/>
            <w:vAlign w:val="center"/>
          </w:tcPr>
          <w:p w14:paraId="1A24BF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新增</w:t>
            </w:r>
          </w:p>
        </w:tc>
      </w:tr>
      <w:tr w14:paraId="062397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2" w:type="pct"/>
            <w:vMerge w:val="continue"/>
            <w:vAlign w:val="center"/>
          </w:tcPr>
          <w:p w14:paraId="3C4259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70" w:type="pct"/>
            <w:vMerge w:val="continue"/>
            <w:vAlign w:val="center"/>
          </w:tcPr>
          <w:p w14:paraId="39C666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630" w:type="pct"/>
            <w:shd w:val="clear" w:color="auto" w:fill="auto"/>
            <w:vAlign w:val="center"/>
          </w:tcPr>
          <w:p w14:paraId="1C3AAB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成型</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废气</w:t>
            </w:r>
          </w:p>
        </w:tc>
        <w:tc>
          <w:tcPr>
            <w:tcW w:w="1887" w:type="pct"/>
            <w:shd w:val="clear" w:color="auto" w:fill="auto"/>
            <w:vAlign w:val="center"/>
          </w:tcPr>
          <w:p w14:paraId="5E39F7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集气罩收集</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二级活性炭吸附装置</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（TA00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）+15m高排气筒DA00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风机风量</w:t>
            </w:r>
            <w:r>
              <w:rPr>
                <w:rFonts w:hint="eastAsia" w:cs="Times New Roman"/>
                <w:color w:val="000000" w:themeColor="text1"/>
                <w:sz w:val="21"/>
                <w:szCs w:val="21"/>
                <w:highlight w:val="none"/>
                <w:lang w:val="en-US" w:eastAsia="zh-CN"/>
                <w14:textFill>
                  <w14:solidFill>
                    <w14:schemeClr w14:val="tx1"/>
                  </w14:solidFill>
                </w14:textFill>
              </w:rPr>
              <w:t>4000m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/h</w:t>
            </w:r>
          </w:p>
        </w:tc>
        <w:tc>
          <w:tcPr>
            <w:tcW w:w="1200" w:type="pct"/>
            <w:vMerge w:val="continue"/>
            <w:vAlign w:val="center"/>
          </w:tcPr>
          <w:p w14:paraId="749680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2A2042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2" w:type="pct"/>
            <w:vMerge w:val="continue"/>
            <w:vAlign w:val="center"/>
          </w:tcPr>
          <w:p w14:paraId="0C5CC8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70" w:type="pct"/>
            <w:tcMar>
              <w:left w:w="0" w:type="dxa"/>
              <w:right w:w="0" w:type="dxa"/>
            </w:tcMar>
            <w:vAlign w:val="center"/>
          </w:tcPr>
          <w:p w14:paraId="2617428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噪声</w:t>
            </w:r>
          </w:p>
        </w:tc>
        <w:tc>
          <w:tcPr>
            <w:tcW w:w="2517" w:type="pct"/>
            <w:gridSpan w:val="2"/>
            <w:vAlign w:val="center"/>
          </w:tcPr>
          <w:p w14:paraId="2E465B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设备经厂房隔声、减震底座、距离衰减，降噪量20dB</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A</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tc>
        <w:tc>
          <w:tcPr>
            <w:tcW w:w="1200" w:type="pct"/>
            <w:vAlign w:val="center"/>
          </w:tcPr>
          <w:p w14:paraId="66E300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厂界噪声</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达标</w:t>
            </w:r>
          </w:p>
        </w:tc>
      </w:tr>
      <w:tr w14:paraId="4C3454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2" w:type="pct"/>
            <w:vMerge w:val="continue"/>
            <w:vAlign w:val="center"/>
          </w:tcPr>
          <w:p w14:paraId="3A3868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70" w:type="pct"/>
            <w:vMerge w:val="restart"/>
            <w:tcMar>
              <w:left w:w="0" w:type="dxa"/>
              <w:right w:w="0" w:type="dxa"/>
            </w:tcMar>
            <w:vAlign w:val="center"/>
          </w:tcPr>
          <w:p w14:paraId="623E02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固废</w:t>
            </w:r>
          </w:p>
        </w:tc>
        <w:tc>
          <w:tcPr>
            <w:tcW w:w="2517" w:type="pct"/>
            <w:gridSpan w:val="2"/>
            <w:vAlign w:val="center"/>
          </w:tcPr>
          <w:p w14:paraId="311083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一般工业固废仓库</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eastAsia="宋体" w:cs="Times New Roman"/>
                <w:color w:val="000000" w:themeColor="text1"/>
                <w:sz w:val="21"/>
                <w:szCs w:val="21"/>
                <w:highlight w:val="none"/>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2</w:t>
            </w:r>
            <w:r>
              <w:rPr>
                <w:rFonts w:hint="default" w:ascii="Times New Roman" w:hAnsi="Times New Roman" w:cs="Times New Roman"/>
                <w:color w:val="000000" w:themeColor="text1"/>
                <w:sz w:val="21"/>
                <w:szCs w:val="21"/>
                <w:highlight w:val="none"/>
                <w:vertAlign w:val="baseli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满足防渗漏、防雨淋、防扬尘等要求</w:t>
            </w:r>
          </w:p>
        </w:tc>
        <w:tc>
          <w:tcPr>
            <w:tcW w:w="1200" w:type="pct"/>
            <w:vMerge w:val="restart"/>
            <w:vAlign w:val="center"/>
          </w:tcPr>
          <w:p w14:paraId="654096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新增</w:t>
            </w:r>
          </w:p>
        </w:tc>
      </w:tr>
      <w:tr w14:paraId="187A79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2" w:type="pct"/>
            <w:vMerge w:val="continue"/>
            <w:vAlign w:val="center"/>
          </w:tcPr>
          <w:p w14:paraId="229CFD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70" w:type="pct"/>
            <w:vMerge w:val="continue"/>
            <w:tcMar>
              <w:left w:w="0" w:type="dxa"/>
              <w:right w:w="0" w:type="dxa"/>
            </w:tcMar>
            <w:vAlign w:val="center"/>
          </w:tcPr>
          <w:p w14:paraId="7A3D1D2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517" w:type="pct"/>
            <w:gridSpan w:val="2"/>
            <w:vAlign w:val="center"/>
          </w:tcPr>
          <w:p w14:paraId="013939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危废仓库</w:t>
            </w:r>
            <w:r>
              <w:rPr>
                <w:rFonts w:hint="eastAsia" w:cs="Times New Roman"/>
                <w:color w:val="000000" w:themeColor="text1"/>
                <w:sz w:val="21"/>
                <w:szCs w:val="21"/>
                <w:highlight w:val="none"/>
                <w:lang w:val="en-US" w:eastAsia="zh-CN"/>
                <w14:textFill>
                  <w14:solidFill>
                    <w14:schemeClr w14:val="tx1"/>
                  </w14:solidFill>
                </w14:textFill>
              </w:rPr>
              <w:t>20m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2</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满足《危险废物贮存污染控制标准》（GB18597-2023）要求</w:t>
            </w:r>
          </w:p>
        </w:tc>
        <w:tc>
          <w:tcPr>
            <w:tcW w:w="1200" w:type="pct"/>
            <w:vMerge w:val="continue"/>
            <w:vAlign w:val="center"/>
          </w:tcPr>
          <w:p w14:paraId="0BC918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67A140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2" w:type="pct"/>
            <w:vMerge w:val="continue"/>
            <w:vAlign w:val="center"/>
          </w:tcPr>
          <w:p w14:paraId="4AFFAD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70" w:type="pct"/>
            <w:tcMar>
              <w:left w:w="0" w:type="dxa"/>
              <w:right w:w="0" w:type="dxa"/>
            </w:tcMar>
            <w:vAlign w:val="center"/>
          </w:tcPr>
          <w:p w14:paraId="1C9746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风险</w:t>
            </w:r>
          </w:p>
        </w:tc>
        <w:tc>
          <w:tcPr>
            <w:tcW w:w="3717" w:type="pct"/>
            <w:gridSpan w:val="3"/>
            <w:vAlign w:val="center"/>
          </w:tcPr>
          <w:p w14:paraId="12DE9BC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依托厂区现有</w:t>
            </w:r>
            <w:r>
              <w:rPr>
                <w:rFonts w:hint="default" w:ascii="Times New Roman" w:hAnsi="Times New Roman" w:eastAsia="宋体" w:cs="Times New Roman"/>
                <w:color w:val="000000" w:themeColor="text1"/>
                <w:sz w:val="21"/>
                <w:szCs w:val="21"/>
                <w:highlight w:val="none"/>
                <w14:textFill>
                  <w14:solidFill>
                    <w14:schemeClr w14:val="tx1"/>
                  </w14:solidFill>
                </w14:textFill>
              </w:rPr>
              <w:t>1个</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00m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应急事故池</w:t>
            </w:r>
            <w:r>
              <w:rPr>
                <w:rFonts w:hint="default" w:ascii="Times New Roman" w:hAnsi="Times New Roman" w:eastAsia="宋体" w:cs="Times New Roman"/>
                <w:color w:val="000000" w:themeColor="text1"/>
                <w:sz w:val="21"/>
                <w:szCs w:val="21"/>
                <w:highlight w:val="none"/>
                <w14:textFill>
                  <w14:solidFill>
                    <w14:schemeClr w14:val="tx1"/>
                  </w14:solidFill>
                </w14:textFill>
              </w:rPr>
              <w:t>并设置切换阀，雨污排口</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已</w:t>
            </w:r>
            <w:r>
              <w:rPr>
                <w:rFonts w:hint="default" w:ascii="Times New Roman" w:hAnsi="Times New Roman" w:eastAsia="宋体" w:cs="Times New Roman"/>
                <w:color w:val="000000" w:themeColor="text1"/>
                <w:sz w:val="21"/>
                <w:szCs w:val="21"/>
                <w:highlight w:val="none"/>
                <w14:textFill>
                  <w14:solidFill>
                    <w14:schemeClr w14:val="tx1"/>
                  </w14:solidFill>
                </w14:textFill>
              </w:rPr>
              <w:t>安装截止阀</w:t>
            </w:r>
          </w:p>
        </w:tc>
      </w:tr>
    </w:tbl>
    <w:p w14:paraId="2F954731">
      <w:pPr>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br w:type="page"/>
      </w:r>
    </w:p>
    <w:p w14:paraId="65DBA811">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5</w:t>
      </w:r>
      <w:r>
        <w:rPr>
          <w:color w:val="000000" w:themeColor="text1"/>
          <w:sz w:val="24"/>
          <w:highlight w:val="none"/>
          <w14:textFill>
            <w14:solidFill>
              <w14:schemeClr w14:val="tx1"/>
            </w14:solidFill>
          </w14:textFill>
        </w:rPr>
        <w:t>、设备和原辅料</w:t>
      </w:r>
    </w:p>
    <w:p w14:paraId="795A7EFD">
      <w:pPr>
        <w:widowControl/>
        <w:spacing w:line="440" w:lineRule="exact"/>
        <w:jc w:val="center"/>
        <w:rPr>
          <w:b/>
          <w:bCs/>
          <w:color w:val="000000" w:themeColor="text1"/>
          <w:sz w:val="24"/>
          <w:highlight w:val="none"/>
          <w:lang w:val="zh-CN"/>
          <w14:textFill>
            <w14:solidFill>
              <w14:schemeClr w14:val="tx1"/>
            </w14:solidFill>
          </w14:textFill>
        </w:rPr>
      </w:pPr>
      <w:r>
        <w:rPr>
          <w:b/>
          <w:bCs/>
          <w:color w:val="000000" w:themeColor="text1"/>
          <w:sz w:val="24"/>
          <w:highlight w:val="none"/>
          <w:lang w:val="zh-CN"/>
          <w14:textFill>
            <w14:solidFill>
              <w14:schemeClr w14:val="tx1"/>
            </w14:solidFill>
          </w14:textFill>
        </w:rPr>
        <w:t>表2-</w:t>
      </w:r>
      <w:r>
        <w:rPr>
          <w:rFonts w:hint="eastAsia"/>
          <w:b/>
          <w:bCs/>
          <w:color w:val="000000" w:themeColor="text1"/>
          <w:sz w:val="24"/>
          <w:highlight w:val="none"/>
          <w:lang w:val="en-US" w:eastAsia="zh-CN"/>
          <w14:textFill>
            <w14:solidFill>
              <w14:schemeClr w14:val="tx1"/>
            </w14:solidFill>
          </w14:textFill>
        </w:rPr>
        <w:t xml:space="preserve">4  </w:t>
      </w:r>
      <w:r>
        <w:rPr>
          <w:rFonts w:hint="eastAsia"/>
          <w:b/>
          <w:bCs/>
          <w:color w:val="000000" w:themeColor="text1"/>
          <w:sz w:val="24"/>
          <w:highlight w:val="none"/>
          <w:lang w:eastAsia="zh-CN"/>
          <w14:textFill>
            <w14:solidFill>
              <w14:schemeClr w14:val="tx1"/>
            </w14:solidFill>
          </w14:textFill>
        </w:rPr>
        <w:t>本项目</w:t>
      </w:r>
      <w:r>
        <w:rPr>
          <w:b/>
          <w:bCs/>
          <w:color w:val="000000" w:themeColor="text1"/>
          <w:sz w:val="24"/>
          <w:highlight w:val="none"/>
          <w:lang w:val="zh-CN"/>
          <w14:textFill>
            <w14:solidFill>
              <w14:schemeClr w14:val="tx1"/>
            </w14:solidFill>
          </w14:textFill>
        </w:rPr>
        <w:t>主要原辅材料表</w:t>
      </w:r>
    </w:p>
    <w:tbl>
      <w:tblPr>
        <w:tblStyle w:val="39"/>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97"/>
        <w:gridCol w:w="2316"/>
        <w:gridCol w:w="2428"/>
        <w:gridCol w:w="1857"/>
        <w:gridCol w:w="2739"/>
        <w:gridCol w:w="1652"/>
        <w:gridCol w:w="1658"/>
      </w:tblGrid>
      <w:tr w14:paraId="74E1EC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5" w:type="pct"/>
            <w:tcBorders>
              <w:tl2br w:val="nil"/>
              <w:tr2bl w:val="nil"/>
            </w:tcBorders>
            <w:vAlign w:val="center"/>
          </w:tcPr>
          <w:p w14:paraId="084E03DE">
            <w:pPr>
              <w:jc w:val="center"/>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序号</w:t>
            </w:r>
          </w:p>
        </w:tc>
        <w:tc>
          <w:tcPr>
            <w:tcW w:w="848" w:type="pct"/>
            <w:tcBorders>
              <w:tl2br w:val="nil"/>
              <w:tr2bl w:val="nil"/>
            </w:tcBorders>
            <w:vAlign w:val="center"/>
          </w:tcPr>
          <w:p w14:paraId="6A586425">
            <w:pPr>
              <w:jc w:val="center"/>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原辅材料名称</w:t>
            </w:r>
          </w:p>
        </w:tc>
        <w:tc>
          <w:tcPr>
            <w:tcW w:w="889" w:type="pct"/>
            <w:tcBorders>
              <w:tl2br w:val="nil"/>
              <w:tr2bl w:val="nil"/>
            </w:tcBorders>
            <w:vAlign w:val="center"/>
          </w:tcPr>
          <w:p w14:paraId="3F726CBE">
            <w:pPr>
              <w:jc w:val="center"/>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状态</w:t>
            </w:r>
          </w:p>
        </w:tc>
        <w:tc>
          <w:tcPr>
            <w:tcW w:w="680" w:type="pct"/>
            <w:tcBorders>
              <w:tl2br w:val="nil"/>
              <w:tr2bl w:val="nil"/>
            </w:tcBorders>
            <w:vAlign w:val="center"/>
          </w:tcPr>
          <w:p w14:paraId="44A83E03">
            <w:pPr>
              <w:jc w:val="center"/>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年用量</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t/a</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w:t>
            </w:r>
          </w:p>
        </w:tc>
        <w:tc>
          <w:tcPr>
            <w:tcW w:w="1003" w:type="pct"/>
            <w:tcBorders>
              <w:tl2br w:val="nil"/>
              <w:tr2bl w:val="nil"/>
            </w:tcBorders>
            <w:vAlign w:val="center"/>
          </w:tcPr>
          <w:p w14:paraId="7D3DC7BF">
            <w:pPr>
              <w:jc w:val="center"/>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最大贮存量</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t/a</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w:t>
            </w:r>
          </w:p>
        </w:tc>
        <w:tc>
          <w:tcPr>
            <w:tcW w:w="605" w:type="pct"/>
            <w:tcBorders>
              <w:tl2br w:val="nil"/>
              <w:tr2bl w:val="nil"/>
            </w:tcBorders>
            <w:vAlign w:val="center"/>
          </w:tcPr>
          <w:p w14:paraId="0EB67FB2">
            <w:pPr>
              <w:jc w:val="center"/>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用途</w:t>
            </w:r>
          </w:p>
        </w:tc>
        <w:tc>
          <w:tcPr>
            <w:tcW w:w="607" w:type="pct"/>
            <w:tcBorders>
              <w:tl2br w:val="nil"/>
              <w:tr2bl w:val="nil"/>
            </w:tcBorders>
            <w:vAlign w:val="center"/>
          </w:tcPr>
          <w:p w14:paraId="72E67F71">
            <w:pPr>
              <w:jc w:val="center"/>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存储位置</w:t>
            </w:r>
          </w:p>
        </w:tc>
      </w:tr>
      <w:tr w14:paraId="41155D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5" w:type="pct"/>
            <w:tcBorders>
              <w:tl2br w:val="nil"/>
              <w:tr2bl w:val="nil"/>
            </w:tcBorders>
            <w:shd w:val="clear" w:color="auto" w:fill="auto"/>
            <w:vAlign w:val="center"/>
          </w:tcPr>
          <w:p w14:paraId="32CD6336">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w:t>
            </w:r>
          </w:p>
        </w:tc>
        <w:tc>
          <w:tcPr>
            <w:tcW w:w="848" w:type="pct"/>
            <w:tcBorders>
              <w:tl2br w:val="nil"/>
              <w:tr2bl w:val="nil"/>
            </w:tcBorders>
            <w:vAlign w:val="center"/>
          </w:tcPr>
          <w:p w14:paraId="6DF1596E">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硅胶</w:t>
            </w:r>
          </w:p>
        </w:tc>
        <w:tc>
          <w:tcPr>
            <w:tcW w:w="889" w:type="pct"/>
            <w:tcBorders>
              <w:tl2br w:val="nil"/>
              <w:tr2bl w:val="nil"/>
            </w:tcBorders>
            <w:vAlign w:val="center"/>
          </w:tcPr>
          <w:p w14:paraId="6CBAB475">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胶状</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固体，20L/桶</w:t>
            </w:r>
          </w:p>
        </w:tc>
        <w:tc>
          <w:tcPr>
            <w:tcW w:w="680" w:type="pct"/>
            <w:tcBorders>
              <w:tl2br w:val="nil"/>
              <w:tr2bl w:val="nil"/>
            </w:tcBorders>
            <w:vAlign w:val="center"/>
          </w:tcPr>
          <w:p w14:paraId="7116F657">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50</w:t>
            </w:r>
          </w:p>
        </w:tc>
        <w:tc>
          <w:tcPr>
            <w:tcW w:w="1003" w:type="pct"/>
            <w:tcBorders>
              <w:tl2br w:val="nil"/>
              <w:tr2bl w:val="nil"/>
            </w:tcBorders>
            <w:vAlign w:val="center"/>
          </w:tcPr>
          <w:p w14:paraId="6F1A673F">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0.5</w:t>
            </w:r>
          </w:p>
        </w:tc>
        <w:tc>
          <w:tcPr>
            <w:tcW w:w="605" w:type="pct"/>
            <w:vMerge w:val="restart"/>
            <w:tcBorders>
              <w:tl2br w:val="nil"/>
              <w:tr2bl w:val="nil"/>
            </w:tcBorders>
            <w:vAlign w:val="center"/>
          </w:tcPr>
          <w:p w14:paraId="232291C2">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硫化成型</w:t>
            </w:r>
          </w:p>
        </w:tc>
        <w:tc>
          <w:tcPr>
            <w:tcW w:w="607" w:type="pct"/>
            <w:tcBorders>
              <w:tl2br w:val="nil"/>
              <w:tr2bl w:val="nil"/>
            </w:tcBorders>
            <w:vAlign w:val="center"/>
          </w:tcPr>
          <w:p w14:paraId="484E6FD1">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滚料房</w:t>
            </w:r>
          </w:p>
        </w:tc>
      </w:tr>
      <w:tr w14:paraId="7A14F9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65" w:type="pct"/>
            <w:tcBorders>
              <w:tl2br w:val="nil"/>
              <w:tr2bl w:val="nil"/>
            </w:tcBorders>
            <w:shd w:val="clear" w:color="auto" w:fill="auto"/>
            <w:vAlign w:val="center"/>
          </w:tcPr>
          <w:p w14:paraId="49C846D5">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848" w:type="pct"/>
            <w:tcBorders>
              <w:tl2br w:val="nil"/>
              <w:tr2bl w:val="nil"/>
            </w:tcBorders>
            <w:shd w:val="clear" w:color="auto" w:fill="auto"/>
            <w:vAlign w:val="center"/>
          </w:tcPr>
          <w:p w14:paraId="02DD8505">
            <w:pPr>
              <w:jc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色粉</w:t>
            </w:r>
          </w:p>
        </w:tc>
        <w:tc>
          <w:tcPr>
            <w:tcW w:w="889" w:type="pct"/>
            <w:tcBorders>
              <w:tl2br w:val="nil"/>
              <w:tr2bl w:val="nil"/>
            </w:tcBorders>
            <w:shd w:val="clear" w:color="auto" w:fill="auto"/>
            <w:vAlign w:val="center"/>
          </w:tcPr>
          <w:p w14:paraId="77C87744">
            <w:pPr>
              <w:jc w:val="cente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粉状固体</w:t>
            </w:r>
          </w:p>
        </w:tc>
        <w:tc>
          <w:tcPr>
            <w:tcW w:w="680" w:type="pct"/>
            <w:tcBorders>
              <w:tl2br w:val="nil"/>
              <w:tr2bl w:val="nil"/>
            </w:tcBorders>
            <w:shd w:val="clear" w:color="auto" w:fill="auto"/>
            <w:vAlign w:val="center"/>
          </w:tcPr>
          <w:p w14:paraId="71F73CC1">
            <w:pPr>
              <w:jc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0.01</w:t>
            </w:r>
          </w:p>
        </w:tc>
        <w:tc>
          <w:tcPr>
            <w:tcW w:w="1003" w:type="pct"/>
            <w:tcBorders>
              <w:tl2br w:val="nil"/>
              <w:tr2bl w:val="nil"/>
            </w:tcBorders>
            <w:shd w:val="clear" w:color="auto" w:fill="auto"/>
            <w:vAlign w:val="center"/>
          </w:tcPr>
          <w:p w14:paraId="749C2D4F">
            <w:pPr>
              <w:jc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0.01</w:t>
            </w:r>
          </w:p>
        </w:tc>
        <w:tc>
          <w:tcPr>
            <w:tcW w:w="605" w:type="pct"/>
            <w:vMerge w:val="continue"/>
            <w:tcBorders>
              <w:tl2br w:val="nil"/>
              <w:tr2bl w:val="nil"/>
            </w:tcBorders>
            <w:vAlign w:val="center"/>
          </w:tcPr>
          <w:p w14:paraId="1F7D1427">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607" w:type="pct"/>
            <w:vMerge w:val="restart"/>
            <w:tcBorders>
              <w:tl2br w:val="nil"/>
              <w:tr2bl w:val="nil"/>
            </w:tcBorders>
            <w:vAlign w:val="center"/>
          </w:tcPr>
          <w:p w14:paraId="517E0F99">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原料仓库</w:t>
            </w:r>
          </w:p>
        </w:tc>
      </w:tr>
      <w:tr w14:paraId="6185FA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5" w:type="pct"/>
            <w:tcBorders>
              <w:tl2br w:val="nil"/>
              <w:tr2bl w:val="nil"/>
            </w:tcBorders>
            <w:shd w:val="clear" w:color="auto" w:fill="auto"/>
            <w:vAlign w:val="center"/>
          </w:tcPr>
          <w:p w14:paraId="360C51BF">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848" w:type="pct"/>
            <w:tcBorders>
              <w:tl2br w:val="nil"/>
              <w:tr2bl w:val="nil"/>
            </w:tcBorders>
            <w:shd w:val="clear" w:color="auto" w:fill="auto"/>
            <w:vAlign w:val="center"/>
          </w:tcPr>
          <w:p w14:paraId="40FC44FC">
            <w:pPr>
              <w:jc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硫化剂</w:t>
            </w:r>
          </w:p>
        </w:tc>
        <w:tc>
          <w:tcPr>
            <w:tcW w:w="889" w:type="pct"/>
            <w:tcBorders>
              <w:tl2br w:val="nil"/>
              <w:tr2bl w:val="nil"/>
            </w:tcBorders>
            <w:shd w:val="clear" w:color="auto" w:fill="auto"/>
            <w:vAlign w:val="center"/>
          </w:tcPr>
          <w:p w14:paraId="5ECB47D3">
            <w:pPr>
              <w:jc w:val="cente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胶状</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固体，20L/桶</w:t>
            </w:r>
          </w:p>
        </w:tc>
        <w:tc>
          <w:tcPr>
            <w:tcW w:w="680" w:type="pct"/>
            <w:tcBorders>
              <w:tl2br w:val="nil"/>
              <w:tr2bl w:val="nil"/>
            </w:tcBorders>
            <w:shd w:val="clear" w:color="auto" w:fill="auto"/>
            <w:vAlign w:val="center"/>
          </w:tcPr>
          <w:p w14:paraId="58058467">
            <w:pPr>
              <w:jc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0.05</w:t>
            </w:r>
          </w:p>
        </w:tc>
        <w:tc>
          <w:tcPr>
            <w:tcW w:w="1003" w:type="pct"/>
            <w:tcBorders>
              <w:tl2br w:val="nil"/>
              <w:tr2bl w:val="nil"/>
            </w:tcBorders>
            <w:shd w:val="clear" w:color="auto" w:fill="auto"/>
            <w:vAlign w:val="center"/>
          </w:tcPr>
          <w:p w14:paraId="3E6A8013">
            <w:pPr>
              <w:jc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0.05</w:t>
            </w:r>
          </w:p>
        </w:tc>
        <w:tc>
          <w:tcPr>
            <w:tcW w:w="605" w:type="pct"/>
            <w:vMerge w:val="continue"/>
            <w:tcBorders>
              <w:tl2br w:val="nil"/>
              <w:tr2bl w:val="nil"/>
            </w:tcBorders>
            <w:vAlign w:val="center"/>
          </w:tcPr>
          <w:p w14:paraId="1FA036AD">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607" w:type="pct"/>
            <w:vMerge w:val="continue"/>
            <w:tcBorders>
              <w:tl2br w:val="nil"/>
              <w:tr2bl w:val="nil"/>
            </w:tcBorders>
            <w:vAlign w:val="center"/>
          </w:tcPr>
          <w:p w14:paraId="2542DE99">
            <w:pPr>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157FD4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5" w:type="pct"/>
            <w:tcBorders>
              <w:tl2br w:val="nil"/>
              <w:tr2bl w:val="nil"/>
            </w:tcBorders>
            <w:shd w:val="clear" w:color="auto" w:fill="auto"/>
            <w:vAlign w:val="center"/>
          </w:tcPr>
          <w:p w14:paraId="3C22B918">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848" w:type="pct"/>
            <w:tcBorders>
              <w:tl2br w:val="nil"/>
              <w:tr2bl w:val="nil"/>
            </w:tcBorders>
            <w:shd w:val="clear" w:color="auto" w:fill="auto"/>
            <w:vAlign w:val="center"/>
          </w:tcPr>
          <w:p w14:paraId="34F9445D">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PBT</w:t>
            </w:r>
            <w:r>
              <w:rPr>
                <w:rFonts w:hint="eastAsia" w:cs="Times New Roman"/>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聚对苯二甲酸丁二酯</w:t>
            </w:r>
            <w:r>
              <w:rPr>
                <w:rFonts w:hint="eastAsia" w:cs="Times New Roman"/>
                <w:color w:val="000000" w:themeColor="text1"/>
                <w:highlight w:val="none"/>
                <w:lang w:val="en-US" w:eastAsia="zh-CN"/>
                <w14:textFill>
                  <w14:solidFill>
                    <w14:schemeClr w14:val="tx1"/>
                  </w14:solidFill>
                </w14:textFill>
              </w:rPr>
              <w:t>）</w:t>
            </w:r>
          </w:p>
        </w:tc>
        <w:tc>
          <w:tcPr>
            <w:tcW w:w="889" w:type="pct"/>
            <w:tcBorders>
              <w:tl2br w:val="nil"/>
              <w:tr2bl w:val="nil"/>
            </w:tcBorders>
            <w:shd w:val="clear" w:color="auto" w:fill="auto"/>
            <w:vAlign w:val="center"/>
          </w:tcPr>
          <w:p w14:paraId="18C6EF97">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颗粒状固体</w:t>
            </w:r>
          </w:p>
        </w:tc>
        <w:tc>
          <w:tcPr>
            <w:tcW w:w="680" w:type="pct"/>
            <w:tcBorders>
              <w:tl2br w:val="nil"/>
              <w:tr2bl w:val="nil"/>
            </w:tcBorders>
            <w:shd w:val="clear" w:color="auto" w:fill="auto"/>
            <w:vAlign w:val="center"/>
          </w:tcPr>
          <w:p w14:paraId="32CA662C">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100</w:t>
            </w:r>
          </w:p>
        </w:tc>
        <w:tc>
          <w:tcPr>
            <w:tcW w:w="1003" w:type="pct"/>
            <w:tcBorders>
              <w:tl2br w:val="nil"/>
              <w:tr2bl w:val="nil"/>
            </w:tcBorders>
            <w:shd w:val="clear" w:color="auto" w:fill="auto"/>
            <w:vAlign w:val="center"/>
          </w:tcPr>
          <w:p w14:paraId="03AE6F2E">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0.5</w:t>
            </w:r>
          </w:p>
        </w:tc>
        <w:tc>
          <w:tcPr>
            <w:tcW w:w="605" w:type="pct"/>
            <w:vMerge w:val="restart"/>
            <w:tcBorders>
              <w:tl2br w:val="nil"/>
              <w:tr2bl w:val="nil"/>
            </w:tcBorders>
            <w:shd w:val="clear" w:color="auto" w:fill="auto"/>
            <w:vAlign w:val="center"/>
          </w:tcPr>
          <w:p w14:paraId="2224958C">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注射成型</w:t>
            </w:r>
          </w:p>
        </w:tc>
        <w:tc>
          <w:tcPr>
            <w:tcW w:w="607" w:type="pct"/>
            <w:vMerge w:val="continue"/>
            <w:tcBorders>
              <w:tl2br w:val="nil"/>
              <w:tr2bl w:val="nil"/>
            </w:tcBorders>
            <w:shd w:val="clear" w:color="auto" w:fill="auto"/>
            <w:vAlign w:val="center"/>
          </w:tcPr>
          <w:p w14:paraId="50D7E54F">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02DE8A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5" w:type="pct"/>
            <w:tcBorders>
              <w:tl2br w:val="nil"/>
              <w:tr2bl w:val="nil"/>
            </w:tcBorders>
            <w:vAlign w:val="center"/>
          </w:tcPr>
          <w:p w14:paraId="61D86AED">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w:t>
            </w:r>
          </w:p>
        </w:tc>
        <w:tc>
          <w:tcPr>
            <w:tcW w:w="848" w:type="pct"/>
            <w:tcBorders>
              <w:tl2br w:val="nil"/>
              <w:tr2bl w:val="nil"/>
            </w:tcBorders>
            <w:shd w:val="clear" w:color="auto" w:fill="auto"/>
            <w:vAlign w:val="center"/>
          </w:tcPr>
          <w:p w14:paraId="5A062F4A">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色母</w:t>
            </w:r>
          </w:p>
        </w:tc>
        <w:tc>
          <w:tcPr>
            <w:tcW w:w="889" w:type="pct"/>
            <w:tcBorders>
              <w:tl2br w:val="nil"/>
              <w:tr2bl w:val="nil"/>
            </w:tcBorders>
            <w:shd w:val="clear" w:color="auto" w:fill="auto"/>
            <w:vAlign w:val="center"/>
          </w:tcPr>
          <w:p w14:paraId="2E300DED">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粉状固体</w:t>
            </w:r>
          </w:p>
        </w:tc>
        <w:tc>
          <w:tcPr>
            <w:tcW w:w="680" w:type="pct"/>
            <w:tcBorders>
              <w:tl2br w:val="nil"/>
              <w:tr2bl w:val="nil"/>
            </w:tcBorders>
            <w:shd w:val="clear" w:color="auto" w:fill="auto"/>
            <w:vAlign w:val="center"/>
          </w:tcPr>
          <w:p w14:paraId="2C4F43DF">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0.01</w:t>
            </w:r>
          </w:p>
        </w:tc>
        <w:tc>
          <w:tcPr>
            <w:tcW w:w="1003" w:type="pct"/>
            <w:tcBorders>
              <w:tl2br w:val="nil"/>
              <w:tr2bl w:val="nil"/>
            </w:tcBorders>
            <w:shd w:val="clear" w:color="auto" w:fill="auto"/>
            <w:vAlign w:val="center"/>
          </w:tcPr>
          <w:p w14:paraId="0970DD4D">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0.01</w:t>
            </w:r>
          </w:p>
        </w:tc>
        <w:tc>
          <w:tcPr>
            <w:tcW w:w="605" w:type="pct"/>
            <w:vMerge w:val="continue"/>
            <w:tcBorders>
              <w:tl2br w:val="nil"/>
              <w:tr2bl w:val="nil"/>
            </w:tcBorders>
            <w:shd w:val="clear" w:color="auto" w:fill="auto"/>
            <w:vAlign w:val="center"/>
          </w:tcPr>
          <w:p w14:paraId="46BDB425">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607" w:type="pct"/>
            <w:vMerge w:val="continue"/>
            <w:tcBorders>
              <w:tl2br w:val="nil"/>
              <w:tr2bl w:val="nil"/>
            </w:tcBorders>
            <w:shd w:val="clear" w:color="auto" w:fill="auto"/>
            <w:vAlign w:val="center"/>
          </w:tcPr>
          <w:p w14:paraId="7BC15F7B">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705C50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5" w:type="pct"/>
            <w:tcBorders>
              <w:tl2br w:val="nil"/>
              <w:tr2bl w:val="nil"/>
            </w:tcBorders>
            <w:vAlign w:val="center"/>
          </w:tcPr>
          <w:p w14:paraId="14ADA5DC">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w:t>
            </w:r>
          </w:p>
        </w:tc>
        <w:tc>
          <w:tcPr>
            <w:tcW w:w="848" w:type="pct"/>
            <w:tcBorders>
              <w:tl2br w:val="nil"/>
              <w:tr2bl w:val="nil"/>
            </w:tcBorders>
            <w:shd w:val="clear" w:color="auto" w:fill="auto"/>
            <w:vAlign w:val="center"/>
          </w:tcPr>
          <w:p w14:paraId="3FC1FA17">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包装材料</w:t>
            </w:r>
          </w:p>
        </w:tc>
        <w:tc>
          <w:tcPr>
            <w:tcW w:w="889" w:type="pct"/>
            <w:tcBorders>
              <w:tl2br w:val="nil"/>
              <w:tr2bl w:val="nil"/>
            </w:tcBorders>
            <w:shd w:val="clear" w:color="auto" w:fill="auto"/>
            <w:vAlign w:val="center"/>
          </w:tcPr>
          <w:p w14:paraId="63AF356B">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固体</w:t>
            </w:r>
          </w:p>
        </w:tc>
        <w:tc>
          <w:tcPr>
            <w:tcW w:w="680" w:type="pct"/>
            <w:tcBorders>
              <w:tl2br w:val="nil"/>
              <w:tr2bl w:val="nil"/>
            </w:tcBorders>
            <w:shd w:val="clear" w:color="auto" w:fill="auto"/>
            <w:vAlign w:val="center"/>
          </w:tcPr>
          <w:p w14:paraId="67F26BEC">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1003" w:type="pct"/>
            <w:tcBorders>
              <w:tl2br w:val="nil"/>
              <w:tr2bl w:val="nil"/>
            </w:tcBorders>
            <w:shd w:val="clear" w:color="auto" w:fill="auto"/>
            <w:vAlign w:val="center"/>
          </w:tcPr>
          <w:p w14:paraId="488AF247">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w:t>
            </w:r>
          </w:p>
        </w:tc>
        <w:tc>
          <w:tcPr>
            <w:tcW w:w="605" w:type="pct"/>
            <w:tcBorders>
              <w:tl2br w:val="nil"/>
              <w:tr2bl w:val="nil"/>
            </w:tcBorders>
            <w:shd w:val="clear" w:color="auto" w:fill="auto"/>
            <w:vAlign w:val="center"/>
          </w:tcPr>
          <w:p w14:paraId="044ABADB">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包装</w:t>
            </w:r>
          </w:p>
        </w:tc>
        <w:tc>
          <w:tcPr>
            <w:tcW w:w="607" w:type="pct"/>
            <w:vMerge w:val="continue"/>
            <w:tcBorders>
              <w:tl2br w:val="nil"/>
              <w:tr2bl w:val="nil"/>
            </w:tcBorders>
            <w:shd w:val="clear" w:color="auto" w:fill="auto"/>
            <w:vAlign w:val="center"/>
          </w:tcPr>
          <w:p w14:paraId="31AE36F9">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bl>
    <w:p w14:paraId="5B6A18C1">
      <w:pPr>
        <w:tabs>
          <w:tab w:val="center" w:pos="4627"/>
        </w:tabs>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本项目主要原辅料组分详见下表：</w:t>
      </w:r>
    </w:p>
    <w:p w14:paraId="152481AA">
      <w:pPr>
        <w:tabs>
          <w:tab w:val="center" w:pos="4627"/>
        </w:tabs>
        <w:adjustRightInd w:val="0"/>
        <w:snapToGrid w:val="0"/>
        <w:spacing w:line="440" w:lineRule="exact"/>
        <w:ind w:firstLine="482" w:firstLineChars="200"/>
        <w:jc w:val="center"/>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表2-</w:t>
      </w:r>
      <w:r>
        <w:rPr>
          <w:rFonts w:hint="eastAsia"/>
          <w:b/>
          <w:bCs/>
          <w:color w:val="000000" w:themeColor="text1"/>
          <w:sz w:val="24"/>
          <w:highlight w:val="none"/>
          <w:lang w:val="en-US" w:eastAsia="zh-CN"/>
          <w14:textFill>
            <w14:solidFill>
              <w14:schemeClr w14:val="tx1"/>
            </w14:solidFill>
          </w14:textFill>
        </w:rPr>
        <w:t xml:space="preserve">5  </w:t>
      </w:r>
      <w:r>
        <w:rPr>
          <w:b/>
          <w:bCs/>
          <w:color w:val="000000" w:themeColor="text1"/>
          <w:sz w:val="24"/>
          <w:highlight w:val="none"/>
          <w14:textFill>
            <w14:solidFill>
              <w14:schemeClr w14:val="tx1"/>
            </w14:solidFill>
          </w14:textFill>
        </w:rPr>
        <w:t>本项目主要原辅材料成分一览表</w:t>
      </w:r>
    </w:p>
    <w:tbl>
      <w:tblPr>
        <w:tblStyle w:val="39"/>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1" w:type="dxa"/>
          <w:bottom w:w="0" w:type="dxa"/>
          <w:right w:w="11" w:type="dxa"/>
        </w:tblCellMar>
      </w:tblPr>
      <w:tblGrid>
        <w:gridCol w:w="517"/>
        <w:gridCol w:w="1252"/>
        <w:gridCol w:w="11686"/>
      </w:tblGrid>
      <w:tr w14:paraId="10265C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192" w:type="pct"/>
            <w:tcBorders>
              <w:tl2br w:val="nil"/>
              <w:tr2bl w:val="nil"/>
            </w:tcBorders>
            <w:vAlign w:val="center"/>
          </w:tcPr>
          <w:p w14:paraId="741BCFB6">
            <w:pPr>
              <w:jc w:val="center"/>
              <w:rPr>
                <w:rFonts w:hint="eastAsia" w:eastAsia="宋体"/>
                <w:b/>
                <w:color w:val="000000" w:themeColor="text1"/>
                <w:szCs w:val="36"/>
                <w:highlight w:val="none"/>
                <w:lang w:eastAsia="zh-CN"/>
                <w14:textFill>
                  <w14:solidFill>
                    <w14:schemeClr w14:val="tx1"/>
                  </w14:solidFill>
                </w14:textFill>
              </w:rPr>
            </w:pPr>
            <w:r>
              <w:rPr>
                <w:rFonts w:hint="eastAsia"/>
                <w:b/>
                <w:color w:val="000000" w:themeColor="text1"/>
                <w:szCs w:val="36"/>
                <w:highlight w:val="none"/>
                <w:lang w:eastAsia="zh-CN"/>
                <w14:textFill>
                  <w14:solidFill>
                    <w14:schemeClr w14:val="tx1"/>
                  </w14:solidFill>
                </w14:textFill>
              </w:rPr>
              <w:t>序号</w:t>
            </w:r>
          </w:p>
        </w:tc>
        <w:tc>
          <w:tcPr>
            <w:tcW w:w="465" w:type="pct"/>
            <w:tcBorders>
              <w:tl2br w:val="nil"/>
              <w:tr2bl w:val="nil"/>
            </w:tcBorders>
            <w:vAlign w:val="center"/>
          </w:tcPr>
          <w:p w14:paraId="6A099426">
            <w:pPr>
              <w:jc w:val="center"/>
              <w:rPr>
                <w:rFonts w:hint="eastAsia" w:eastAsia="宋体"/>
                <w:b/>
                <w:color w:val="000000" w:themeColor="text1"/>
                <w:szCs w:val="36"/>
                <w:highlight w:val="none"/>
                <w:lang w:eastAsia="zh-CN"/>
                <w14:textFill>
                  <w14:solidFill>
                    <w14:schemeClr w14:val="tx1"/>
                  </w14:solidFill>
                </w14:textFill>
              </w:rPr>
            </w:pPr>
            <w:r>
              <w:rPr>
                <w:rFonts w:hint="eastAsia"/>
                <w:b/>
                <w:color w:val="000000" w:themeColor="text1"/>
                <w:szCs w:val="36"/>
                <w:highlight w:val="none"/>
                <w:lang w:eastAsia="zh-CN"/>
                <w14:textFill>
                  <w14:solidFill>
                    <w14:schemeClr w14:val="tx1"/>
                  </w14:solidFill>
                </w14:textFill>
              </w:rPr>
              <w:t>名称</w:t>
            </w:r>
          </w:p>
        </w:tc>
        <w:tc>
          <w:tcPr>
            <w:tcW w:w="4341" w:type="pct"/>
            <w:tcBorders>
              <w:tl2br w:val="nil"/>
              <w:tr2bl w:val="nil"/>
            </w:tcBorders>
            <w:vAlign w:val="center"/>
          </w:tcPr>
          <w:p w14:paraId="64C881A8">
            <w:pPr>
              <w:jc w:val="center"/>
              <w:rPr>
                <w:rFonts w:hint="default" w:eastAsia="宋体"/>
                <w:b/>
                <w:color w:val="000000" w:themeColor="text1"/>
                <w:szCs w:val="36"/>
                <w:highlight w:val="none"/>
                <w:lang w:val="en-US" w:eastAsia="zh-CN"/>
                <w14:textFill>
                  <w14:solidFill>
                    <w14:schemeClr w14:val="tx1"/>
                  </w14:solidFill>
                </w14:textFill>
              </w:rPr>
            </w:pPr>
            <w:r>
              <w:rPr>
                <w:rFonts w:hint="eastAsia"/>
                <w:b/>
                <w:color w:val="000000" w:themeColor="text1"/>
                <w:szCs w:val="36"/>
                <w:highlight w:val="none"/>
                <w:lang w:val="en-US" w:eastAsia="zh-CN"/>
                <w14:textFill>
                  <w14:solidFill>
                    <w14:schemeClr w14:val="tx1"/>
                  </w14:solidFill>
                </w14:textFill>
              </w:rPr>
              <w:t>成分</w:t>
            </w:r>
          </w:p>
        </w:tc>
      </w:tr>
      <w:tr w14:paraId="2278B0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192" w:type="pct"/>
            <w:tcBorders>
              <w:tl2br w:val="nil"/>
              <w:tr2bl w:val="nil"/>
            </w:tcBorders>
            <w:vAlign w:val="center"/>
          </w:tcPr>
          <w:p w14:paraId="242C757C">
            <w:pPr>
              <w:jc w:val="center"/>
              <w:rPr>
                <w:rFonts w:hint="default"/>
                <w:b w:val="0"/>
                <w:bCs/>
                <w:color w:val="000000" w:themeColor="text1"/>
                <w:szCs w:val="36"/>
                <w:highlight w:val="none"/>
                <w:lang w:val="en-US" w:eastAsia="zh-CN"/>
                <w14:textFill>
                  <w14:solidFill>
                    <w14:schemeClr w14:val="tx1"/>
                  </w14:solidFill>
                </w14:textFill>
              </w:rPr>
            </w:pPr>
            <w:r>
              <w:rPr>
                <w:rFonts w:hint="eastAsia"/>
                <w:b w:val="0"/>
                <w:bCs/>
                <w:color w:val="000000" w:themeColor="text1"/>
                <w:szCs w:val="36"/>
                <w:highlight w:val="none"/>
                <w:lang w:val="en-US" w:eastAsia="zh-CN"/>
                <w14:textFill>
                  <w14:solidFill>
                    <w14:schemeClr w14:val="tx1"/>
                  </w14:solidFill>
                </w14:textFill>
              </w:rPr>
              <w:t>1</w:t>
            </w:r>
          </w:p>
        </w:tc>
        <w:tc>
          <w:tcPr>
            <w:tcW w:w="465" w:type="pct"/>
            <w:tcBorders>
              <w:tl2br w:val="nil"/>
              <w:tr2bl w:val="nil"/>
            </w:tcBorders>
            <w:vAlign w:val="center"/>
          </w:tcPr>
          <w:p w14:paraId="45E1AFFC">
            <w:pPr>
              <w:jc w:val="center"/>
              <w:rPr>
                <w:rFonts w:hint="default" w:ascii="Times New Roman" w:hAnsi="Times New Roman" w:eastAsia="宋体" w:cs="Times New Roman"/>
                <w:color w:val="000000" w:themeColor="text1"/>
                <w:kern w:val="2"/>
                <w:sz w:val="21"/>
                <w:szCs w:val="16"/>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硅胶</w:t>
            </w:r>
          </w:p>
        </w:tc>
        <w:tc>
          <w:tcPr>
            <w:tcW w:w="4341" w:type="pct"/>
            <w:tcBorders>
              <w:tl2br w:val="nil"/>
              <w:tr2bl w:val="nil"/>
            </w:tcBorders>
            <w:vAlign w:val="center"/>
          </w:tcPr>
          <w:p w14:paraId="32103C8E">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混合物，</w:t>
            </w:r>
            <w:r>
              <w:rPr>
                <w:rFonts w:hint="default" w:ascii="Times New Roman" w:hAnsi="Times New Roman" w:eastAsia="宋体" w:cs="Times New Roman"/>
                <w:color w:val="000000" w:themeColor="text1"/>
                <w:highlight w:val="none"/>
                <w:lang w:val="en-US" w:eastAsia="zh-CN"/>
                <w14:textFill>
                  <w14:solidFill>
                    <w14:schemeClr w14:val="tx1"/>
                  </w14:solidFill>
                </w14:textFill>
              </w:rPr>
              <w:t>含乙烯基团，填充剂和交联剂的聚二甲基硅氧烷</w:t>
            </w:r>
            <w:r>
              <w:rPr>
                <w:rFonts w:hint="eastAsia" w:cs="Times New Roman"/>
                <w:color w:val="000000" w:themeColor="text1"/>
                <w:highlight w:val="none"/>
                <w:lang w:val="en-US" w:eastAsia="zh-CN"/>
                <w14:textFill>
                  <w14:solidFill>
                    <w14:schemeClr w14:val="tx1"/>
                  </w14:solidFill>
                </w14:textFill>
              </w:rPr>
              <w:t>，二氧化硅10-30%</w:t>
            </w:r>
          </w:p>
        </w:tc>
      </w:tr>
      <w:tr w14:paraId="6B7CDA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1" w:type="dxa"/>
            <w:bottom w:w="0" w:type="dxa"/>
            <w:right w:w="11" w:type="dxa"/>
          </w:tblCellMar>
        </w:tblPrEx>
        <w:trPr>
          <w:trHeight w:val="106" w:hRule="atLeast"/>
          <w:jc w:val="center"/>
        </w:trPr>
        <w:tc>
          <w:tcPr>
            <w:tcW w:w="192" w:type="pct"/>
            <w:tcBorders>
              <w:tl2br w:val="nil"/>
              <w:tr2bl w:val="nil"/>
            </w:tcBorders>
            <w:vAlign w:val="center"/>
          </w:tcPr>
          <w:p w14:paraId="6012F083">
            <w:pPr>
              <w:jc w:val="center"/>
              <w:rPr>
                <w:rFonts w:hint="default"/>
                <w:b w:val="0"/>
                <w:bCs/>
                <w:color w:val="000000" w:themeColor="text1"/>
                <w:szCs w:val="36"/>
                <w:highlight w:val="none"/>
                <w:lang w:val="en-US" w:eastAsia="zh-CN"/>
                <w14:textFill>
                  <w14:solidFill>
                    <w14:schemeClr w14:val="tx1"/>
                  </w14:solidFill>
                </w14:textFill>
              </w:rPr>
            </w:pPr>
            <w:r>
              <w:rPr>
                <w:rFonts w:hint="eastAsia"/>
                <w:b w:val="0"/>
                <w:bCs/>
                <w:color w:val="000000" w:themeColor="text1"/>
                <w:szCs w:val="36"/>
                <w:highlight w:val="none"/>
                <w:lang w:val="en-US" w:eastAsia="zh-CN"/>
                <w14:textFill>
                  <w14:solidFill>
                    <w14:schemeClr w14:val="tx1"/>
                  </w14:solidFill>
                </w14:textFill>
              </w:rPr>
              <w:t>2</w:t>
            </w:r>
          </w:p>
        </w:tc>
        <w:tc>
          <w:tcPr>
            <w:tcW w:w="465" w:type="pct"/>
            <w:tcBorders>
              <w:tl2br w:val="nil"/>
              <w:tr2bl w:val="nil"/>
            </w:tcBorders>
            <w:shd w:val="clear" w:color="auto" w:fill="auto"/>
            <w:vAlign w:val="center"/>
          </w:tcPr>
          <w:p w14:paraId="53FFB6E6">
            <w:pPr>
              <w:jc w:val="center"/>
              <w:rPr>
                <w:rFonts w:hint="eastAsia"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硫化剂</w:t>
            </w:r>
          </w:p>
        </w:tc>
        <w:tc>
          <w:tcPr>
            <w:tcW w:w="4341" w:type="pct"/>
            <w:tcBorders>
              <w:tl2br w:val="nil"/>
              <w:tr2bl w:val="nil"/>
            </w:tcBorders>
            <w:shd w:val="clear" w:color="auto" w:fill="auto"/>
            <w:vAlign w:val="center"/>
          </w:tcPr>
          <w:p w14:paraId="5C47D995">
            <w:pPr>
              <w:jc w:val="cente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2,5-二甲基-2，5-二（叔丁基过氧基）己烷</w:t>
            </w:r>
            <w:r>
              <w:rPr>
                <w:rFonts w:hint="eastAsia" w:cs="Times New Roman"/>
                <w:color w:val="000000" w:themeColor="text1"/>
                <w:highlight w:val="none"/>
                <w:lang w:val="en-US" w:eastAsia="zh-CN"/>
                <w14:textFill>
                  <w14:solidFill>
                    <w14:schemeClr w14:val="tx1"/>
                  </w14:solidFill>
                </w14:textFill>
              </w:rPr>
              <w:t>45%、聚二甲基硅氧烷（硅油）5%、聚二甲基硅氧烷（硅胶）50%</w:t>
            </w:r>
          </w:p>
        </w:tc>
      </w:tr>
      <w:tr w14:paraId="69E78A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192" w:type="pct"/>
            <w:tcBorders>
              <w:tl2br w:val="nil"/>
              <w:tr2bl w:val="nil"/>
            </w:tcBorders>
            <w:vAlign w:val="center"/>
          </w:tcPr>
          <w:p w14:paraId="176FDD87">
            <w:pPr>
              <w:jc w:val="center"/>
              <w:rPr>
                <w:rFonts w:hint="default"/>
                <w:b w:val="0"/>
                <w:bCs/>
                <w:color w:val="000000" w:themeColor="text1"/>
                <w:szCs w:val="36"/>
                <w:highlight w:val="none"/>
                <w:lang w:val="en-US" w:eastAsia="zh-CN"/>
                <w14:textFill>
                  <w14:solidFill>
                    <w14:schemeClr w14:val="tx1"/>
                  </w14:solidFill>
                </w14:textFill>
              </w:rPr>
            </w:pPr>
            <w:r>
              <w:rPr>
                <w:rFonts w:hint="eastAsia"/>
                <w:b w:val="0"/>
                <w:bCs/>
                <w:color w:val="000000" w:themeColor="text1"/>
                <w:szCs w:val="36"/>
                <w:highlight w:val="none"/>
                <w:lang w:val="en-US" w:eastAsia="zh-CN"/>
                <w14:textFill>
                  <w14:solidFill>
                    <w14:schemeClr w14:val="tx1"/>
                  </w14:solidFill>
                </w14:textFill>
              </w:rPr>
              <w:t>3</w:t>
            </w:r>
          </w:p>
        </w:tc>
        <w:tc>
          <w:tcPr>
            <w:tcW w:w="465" w:type="pct"/>
            <w:tcBorders>
              <w:tl2br w:val="nil"/>
              <w:tr2bl w:val="nil"/>
            </w:tcBorders>
            <w:shd w:val="clear" w:color="auto" w:fill="auto"/>
            <w:vAlign w:val="center"/>
          </w:tcPr>
          <w:p w14:paraId="4EE96C46">
            <w:pPr>
              <w:jc w:val="center"/>
              <w:rPr>
                <w:rFonts w:hint="eastAsia" w:ascii="Times New Roman" w:hAnsi="Times New Roman" w:eastAsia="宋体" w:cs="Times New Roman"/>
                <w:b/>
                <w:color w:val="000000" w:themeColor="text1"/>
                <w:kern w:val="2"/>
                <w:sz w:val="21"/>
                <w:szCs w:val="36"/>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色粉、色母</w:t>
            </w:r>
          </w:p>
        </w:tc>
        <w:tc>
          <w:tcPr>
            <w:tcW w:w="4341" w:type="pct"/>
            <w:tcBorders>
              <w:tl2br w:val="nil"/>
              <w:tr2bl w:val="nil"/>
            </w:tcBorders>
            <w:shd w:val="clear" w:color="auto" w:fill="auto"/>
            <w:vAlign w:val="center"/>
          </w:tcPr>
          <w:p w14:paraId="0680F2B7">
            <w:pPr>
              <w:jc w:val="cente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聚硅氧烷</w:t>
            </w:r>
            <w:r>
              <w:rPr>
                <w:rFonts w:hint="eastAsia" w:cs="Times New Roman"/>
                <w:color w:val="000000" w:themeColor="text1"/>
                <w:highlight w:val="none"/>
                <w:lang w:val="en-US" w:eastAsia="zh-CN"/>
                <w14:textFill>
                  <w14:solidFill>
                    <w14:schemeClr w14:val="tx1"/>
                  </w14:solidFill>
                </w14:textFill>
              </w:rPr>
              <w:t>20-30%、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二氧化硅</w:t>
            </w:r>
            <w:r>
              <w:rPr>
                <w:rFonts w:hint="eastAsia" w:cs="Times New Roman"/>
                <w:color w:val="000000" w:themeColor="text1"/>
                <w:highlight w:val="none"/>
                <w:lang w:val="en-US" w:eastAsia="zh-CN"/>
                <w14:textFill>
                  <w14:solidFill>
                    <w14:schemeClr w14:val="tx1"/>
                  </w14:solidFill>
                </w14:textFill>
              </w:rPr>
              <w:t>20-30%、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颜料</w:t>
            </w:r>
            <w:r>
              <w:rPr>
                <w:rFonts w:hint="eastAsia" w:cs="Times New Roman"/>
                <w:color w:val="000000" w:themeColor="text1"/>
                <w:highlight w:val="none"/>
                <w:lang w:val="en-US" w:eastAsia="zh-CN"/>
                <w14:textFill>
                  <w14:solidFill>
                    <w14:schemeClr w14:val="tx1"/>
                  </w14:solidFill>
                </w14:textFill>
              </w:rPr>
              <w:t>40-60%</w:t>
            </w:r>
          </w:p>
        </w:tc>
      </w:tr>
    </w:tbl>
    <w:p w14:paraId="477F9DB0">
      <w:pPr>
        <w:widowControl/>
        <w:spacing w:line="440" w:lineRule="exact"/>
        <w:jc w:val="center"/>
        <w:rPr>
          <w:b/>
          <w:bCs/>
          <w:color w:val="000000" w:themeColor="text1"/>
          <w:sz w:val="24"/>
          <w:highlight w:val="none"/>
          <w:lang w:val="zh-CN"/>
          <w14:textFill>
            <w14:solidFill>
              <w14:schemeClr w14:val="tx1"/>
            </w14:solidFill>
          </w14:textFill>
        </w:rPr>
      </w:pPr>
      <w:r>
        <w:rPr>
          <w:b/>
          <w:bCs/>
          <w:color w:val="000000" w:themeColor="text1"/>
          <w:sz w:val="24"/>
          <w:highlight w:val="none"/>
          <w:lang w:val="zh-CN"/>
          <w14:textFill>
            <w14:solidFill>
              <w14:schemeClr w14:val="tx1"/>
            </w14:solidFill>
          </w14:textFill>
        </w:rPr>
        <w:t>表2-</w:t>
      </w:r>
      <w:r>
        <w:rPr>
          <w:rFonts w:hint="eastAsia"/>
          <w:b/>
          <w:bCs/>
          <w:color w:val="000000" w:themeColor="text1"/>
          <w:sz w:val="24"/>
          <w:highlight w:val="none"/>
          <w:lang w:val="en-US" w:eastAsia="zh-CN"/>
          <w14:textFill>
            <w14:solidFill>
              <w14:schemeClr w14:val="tx1"/>
            </w14:solidFill>
          </w14:textFill>
        </w:rPr>
        <w:t xml:space="preserve">6  </w:t>
      </w:r>
      <w:r>
        <w:rPr>
          <w:rFonts w:hint="eastAsia"/>
          <w:b/>
          <w:bCs/>
          <w:color w:val="000000" w:themeColor="text1"/>
          <w:sz w:val="24"/>
          <w:highlight w:val="none"/>
          <w14:textFill>
            <w14:solidFill>
              <w14:schemeClr w14:val="tx1"/>
            </w14:solidFill>
          </w14:textFill>
        </w:rPr>
        <w:t>本项目</w:t>
      </w:r>
      <w:r>
        <w:rPr>
          <w:b/>
          <w:bCs/>
          <w:color w:val="000000" w:themeColor="text1"/>
          <w:sz w:val="24"/>
          <w:highlight w:val="none"/>
          <w:lang w:val="zh-CN"/>
          <w14:textFill>
            <w14:solidFill>
              <w14:schemeClr w14:val="tx1"/>
            </w14:solidFill>
          </w14:textFill>
        </w:rPr>
        <w:t>主要物料理化性质一览表</w:t>
      </w:r>
    </w:p>
    <w:tbl>
      <w:tblPr>
        <w:tblStyle w:val="39"/>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1" w:type="dxa"/>
          <w:bottom w:w="0" w:type="dxa"/>
          <w:right w:w="11" w:type="dxa"/>
        </w:tblCellMar>
      </w:tblPr>
      <w:tblGrid>
        <w:gridCol w:w="1838"/>
        <w:gridCol w:w="1504"/>
        <w:gridCol w:w="5759"/>
        <w:gridCol w:w="2075"/>
        <w:gridCol w:w="2274"/>
      </w:tblGrid>
      <w:tr w14:paraId="5069C6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1" w:type="dxa"/>
            <w:bottom w:w="0" w:type="dxa"/>
            <w:right w:w="11" w:type="dxa"/>
          </w:tblCellMar>
        </w:tblPrEx>
        <w:trPr>
          <w:trHeight w:val="90" w:hRule="atLeast"/>
          <w:tblHeader/>
          <w:jc w:val="center"/>
        </w:trPr>
        <w:tc>
          <w:tcPr>
            <w:tcW w:w="683" w:type="pct"/>
            <w:tcBorders>
              <w:tl2br w:val="nil"/>
              <w:tr2bl w:val="nil"/>
            </w:tcBorders>
            <w:vAlign w:val="center"/>
          </w:tcPr>
          <w:p w14:paraId="34755194">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b/>
                <w:bCs/>
                <w:color w:val="000000" w:themeColor="text1"/>
                <w:highlight w:val="none"/>
                <w:lang w:eastAsia="zh-CN"/>
                <w14:textFill>
                  <w14:solidFill>
                    <w14:schemeClr w14:val="tx1"/>
                  </w14:solidFill>
                </w14:textFill>
              </w:rPr>
            </w:pPr>
            <w:r>
              <w:rPr>
                <w:rFonts w:hint="eastAsia"/>
                <w:b/>
                <w:bCs/>
                <w:color w:val="000000" w:themeColor="text1"/>
                <w:highlight w:val="none"/>
                <w:lang w:eastAsia="zh-CN"/>
                <w14:textFill>
                  <w14:solidFill>
                    <w14:schemeClr w14:val="tx1"/>
                  </w14:solidFill>
                </w14:textFill>
              </w:rPr>
              <w:t>名称</w:t>
            </w:r>
          </w:p>
        </w:tc>
        <w:tc>
          <w:tcPr>
            <w:tcW w:w="559" w:type="pct"/>
            <w:tcBorders>
              <w:tl2br w:val="nil"/>
              <w:tr2bl w:val="nil"/>
            </w:tcBorders>
            <w:vAlign w:val="center"/>
          </w:tcPr>
          <w:p w14:paraId="2D67018C">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CAS</w:t>
            </w:r>
          </w:p>
        </w:tc>
        <w:tc>
          <w:tcPr>
            <w:tcW w:w="2140" w:type="pct"/>
            <w:tcBorders>
              <w:tl2br w:val="nil"/>
              <w:tr2bl w:val="nil"/>
            </w:tcBorders>
            <w:vAlign w:val="center"/>
          </w:tcPr>
          <w:p w14:paraId="062EE71F">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理化性质</w:t>
            </w:r>
          </w:p>
        </w:tc>
        <w:tc>
          <w:tcPr>
            <w:tcW w:w="771" w:type="pct"/>
            <w:tcBorders>
              <w:tl2br w:val="nil"/>
              <w:tr2bl w:val="nil"/>
            </w:tcBorders>
            <w:vAlign w:val="center"/>
          </w:tcPr>
          <w:p w14:paraId="2D48CEEC">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b/>
                <w:bCs/>
                <w:color w:val="000000" w:themeColor="text1"/>
                <w:highlight w:val="none"/>
                <w:lang w:eastAsia="zh-CN"/>
                <w14:textFill>
                  <w14:solidFill>
                    <w14:schemeClr w14:val="tx1"/>
                  </w14:solidFill>
                </w14:textFill>
              </w:rPr>
            </w:pPr>
            <w:r>
              <w:rPr>
                <w:rFonts w:hint="eastAsia"/>
                <w:b/>
                <w:bCs/>
                <w:color w:val="000000" w:themeColor="text1"/>
                <w:highlight w:val="none"/>
                <w:lang w:eastAsia="zh-CN"/>
                <w14:textFill>
                  <w14:solidFill>
                    <w14:schemeClr w14:val="tx1"/>
                  </w14:solidFill>
                </w14:textFill>
              </w:rPr>
              <w:t>燃烧爆炸性</w:t>
            </w:r>
          </w:p>
        </w:tc>
        <w:tc>
          <w:tcPr>
            <w:tcW w:w="845" w:type="pct"/>
            <w:tcBorders>
              <w:tl2br w:val="nil"/>
              <w:tr2bl w:val="nil"/>
            </w:tcBorders>
            <w:vAlign w:val="center"/>
          </w:tcPr>
          <w:p w14:paraId="34F05A4B">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b/>
                <w:bCs/>
                <w:color w:val="000000" w:themeColor="text1"/>
                <w:highlight w:val="none"/>
                <w:lang w:eastAsia="zh-CN"/>
                <w14:textFill>
                  <w14:solidFill>
                    <w14:schemeClr w14:val="tx1"/>
                  </w14:solidFill>
                </w14:textFill>
              </w:rPr>
            </w:pPr>
            <w:r>
              <w:rPr>
                <w:rFonts w:hint="eastAsia"/>
                <w:b/>
                <w:bCs/>
                <w:color w:val="000000" w:themeColor="text1"/>
                <w:highlight w:val="none"/>
                <w:lang w:eastAsia="zh-CN"/>
                <w14:textFill>
                  <w14:solidFill>
                    <w14:schemeClr w14:val="tx1"/>
                  </w14:solidFill>
                </w14:textFill>
              </w:rPr>
              <w:t>毒理毒性</w:t>
            </w:r>
          </w:p>
        </w:tc>
      </w:tr>
      <w:tr w14:paraId="5A05CA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1" w:type="dxa"/>
            <w:bottom w:w="0" w:type="dxa"/>
            <w:right w:w="11" w:type="dxa"/>
          </w:tblCellMar>
        </w:tblPrEx>
        <w:trPr>
          <w:trHeight w:val="106" w:hRule="atLeast"/>
          <w:jc w:val="center"/>
        </w:trPr>
        <w:tc>
          <w:tcPr>
            <w:tcW w:w="683" w:type="pct"/>
            <w:tcBorders>
              <w:tl2br w:val="nil"/>
              <w:tr2bl w:val="nil"/>
            </w:tcBorders>
            <w:vAlign w:val="center"/>
          </w:tcPr>
          <w:p w14:paraId="2A097F80">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硅胶</w:t>
            </w:r>
          </w:p>
        </w:tc>
        <w:tc>
          <w:tcPr>
            <w:tcW w:w="559" w:type="pct"/>
            <w:tcBorders>
              <w:tl2br w:val="nil"/>
              <w:tr2bl w:val="nil"/>
            </w:tcBorders>
            <w:vAlign w:val="center"/>
          </w:tcPr>
          <w:p w14:paraId="2991D46A">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2140" w:type="pct"/>
            <w:tcBorders>
              <w:tl2br w:val="nil"/>
              <w:tr2bl w:val="nil"/>
            </w:tcBorders>
            <w:vAlign w:val="center"/>
          </w:tcPr>
          <w:p w14:paraId="6297C175">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白色固体，无味，闪点</w:t>
            </w:r>
            <w:r>
              <w:rPr>
                <w:rFonts w:hint="default" w:ascii="Times New Roman" w:hAnsi="Times New Roman" w:eastAsia="宋体" w:cs="Times New Roman"/>
                <w:color w:val="000000" w:themeColor="text1"/>
                <w:highlight w:val="none"/>
                <w:lang w:val="en-US" w:eastAsia="zh-CN"/>
                <w14:textFill>
                  <w14:solidFill>
                    <w14:schemeClr w14:val="tx1"/>
                  </w14:solidFill>
                </w14:textFill>
              </w:rPr>
              <w:t>&gt;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93.3℃；相对密度1.075，不溶于水</w:t>
            </w:r>
          </w:p>
        </w:tc>
        <w:tc>
          <w:tcPr>
            <w:tcW w:w="771" w:type="pct"/>
            <w:tcBorders>
              <w:tl2br w:val="nil"/>
              <w:tr2bl w:val="nil"/>
            </w:tcBorders>
            <w:vAlign w:val="center"/>
          </w:tcPr>
          <w:p w14:paraId="1F595844">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845" w:type="pct"/>
            <w:tcBorders>
              <w:tl2br w:val="nil"/>
              <w:tr2bl w:val="nil"/>
            </w:tcBorders>
            <w:vAlign w:val="center"/>
          </w:tcPr>
          <w:p w14:paraId="4DE0C89F">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060284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1" w:type="dxa"/>
            <w:bottom w:w="0" w:type="dxa"/>
            <w:right w:w="11" w:type="dxa"/>
          </w:tblCellMar>
        </w:tblPrEx>
        <w:trPr>
          <w:trHeight w:val="106" w:hRule="atLeast"/>
          <w:jc w:val="center"/>
        </w:trPr>
        <w:tc>
          <w:tcPr>
            <w:tcW w:w="683" w:type="pct"/>
            <w:tcBorders>
              <w:tl2br w:val="nil"/>
              <w:tr2bl w:val="nil"/>
            </w:tcBorders>
            <w:vAlign w:val="center"/>
          </w:tcPr>
          <w:p w14:paraId="115D75CD">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聚二甲基硅氧烷</w:t>
            </w:r>
          </w:p>
        </w:tc>
        <w:tc>
          <w:tcPr>
            <w:tcW w:w="559" w:type="pct"/>
            <w:tcBorders>
              <w:tl2br w:val="nil"/>
              <w:tr2bl w:val="nil"/>
            </w:tcBorders>
            <w:vAlign w:val="center"/>
          </w:tcPr>
          <w:p w14:paraId="4BA8530D">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9016-00-6</w:t>
            </w:r>
          </w:p>
        </w:tc>
        <w:tc>
          <w:tcPr>
            <w:tcW w:w="2140" w:type="pct"/>
            <w:tcBorders>
              <w:tl2br w:val="nil"/>
              <w:tr2bl w:val="nil"/>
            </w:tcBorders>
            <w:vAlign w:val="center"/>
          </w:tcPr>
          <w:p w14:paraId="3CBCEA29">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无色极高黏度的液体或硅胶，它具有生理惰性、良好的化学稳定性、电缘性和耐候性，黏度范围广。熔点：-35℃；沸点：200℃；密度：相对密度0.971；可溶于氯仿、甲醇。</w:t>
            </w:r>
          </w:p>
        </w:tc>
        <w:tc>
          <w:tcPr>
            <w:tcW w:w="771" w:type="pct"/>
            <w:tcBorders>
              <w:tl2br w:val="nil"/>
              <w:tr2bl w:val="nil"/>
            </w:tcBorders>
            <w:vAlign w:val="center"/>
          </w:tcPr>
          <w:p w14:paraId="1ED478DC">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可燃</w:t>
            </w:r>
          </w:p>
        </w:tc>
        <w:tc>
          <w:tcPr>
            <w:tcW w:w="845" w:type="pct"/>
            <w:tcBorders>
              <w:tl2br w:val="nil"/>
              <w:tr2bl w:val="nil"/>
            </w:tcBorders>
            <w:vAlign w:val="center"/>
          </w:tcPr>
          <w:p w14:paraId="1941D8C6">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EDF71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1" w:type="dxa"/>
            <w:bottom w:w="0" w:type="dxa"/>
            <w:right w:w="11" w:type="dxa"/>
          </w:tblCellMar>
        </w:tblPrEx>
        <w:trPr>
          <w:trHeight w:val="106" w:hRule="atLeast"/>
          <w:jc w:val="center"/>
        </w:trPr>
        <w:tc>
          <w:tcPr>
            <w:tcW w:w="683" w:type="pct"/>
            <w:tcBorders>
              <w:tl2br w:val="nil"/>
              <w:tr2bl w:val="nil"/>
            </w:tcBorders>
            <w:vAlign w:val="center"/>
          </w:tcPr>
          <w:p w14:paraId="56C57428">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二氧化硅</w:t>
            </w:r>
          </w:p>
        </w:tc>
        <w:tc>
          <w:tcPr>
            <w:tcW w:w="559" w:type="pct"/>
            <w:tcBorders>
              <w:tl2br w:val="nil"/>
              <w:tr2bl w:val="nil"/>
            </w:tcBorders>
            <w:vAlign w:val="center"/>
          </w:tcPr>
          <w:p w14:paraId="7EAF0A4E">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7631-86-9</w:t>
            </w:r>
          </w:p>
        </w:tc>
        <w:tc>
          <w:tcPr>
            <w:tcW w:w="2140" w:type="pct"/>
            <w:tcBorders>
              <w:tl2br w:val="nil"/>
              <w:tr2bl w:val="nil"/>
            </w:tcBorders>
            <w:vAlign w:val="center"/>
          </w:tcPr>
          <w:p w14:paraId="47511D75">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白色固体，无味，熔点：1600℃；沸点：100℃；闪点</w:t>
            </w:r>
            <w:r>
              <w:rPr>
                <w:rFonts w:hint="default" w:ascii="Times New Roman" w:hAnsi="Times New Roman" w:eastAsia="宋体" w:cs="Times New Roman"/>
                <w:color w:val="000000" w:themeColor="text1"/>
                <w:highlight w:val="none"/>
                <w:lang w:val="en-US" w:eastAsia="zh-CN"/>
                <w14:textFill>
                  <w14:solidFill>
                    <w14:schemeClr w14:val="tx1"/>
                  </w14:solidFill>
                </w14:textFill>
              </w:rPr>
              <w:t>&gt;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93.3℃；密度：相对密度2.3；几乎不溶于水和除氢氟酸外的无机酸。它溶于碱金属氢氧化物的热溶液。</w:t>
            </w:r>
          </w:p>
        </w:tc>
        <w:tc>
          <w:tcPr>
            <w:tcW w:w="771" w:type="pct"/>
            <w:tcBorders>
              <w:tl2br w:val="nil"/>
              <w:tr2bl w:val="nil"/>
            </w:tcBorders>
            <w:vAlign w:val="center"/>
          </w:tcPr>
          <w:p w14:paraId="5A880AD5">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不可燃</w:t>
            </w:r>
          </w:p>
        </w:tc>
        <w:tc>
          <w:tcPr>
            <w:tcW w:w="845" w:type="pct"/>
            <w:tcBorders>
              <w:tl2br w:val="nil"/>
              <w:tr2bl w:val="nil"/>
            </w:tcBorders>
            <w:vAlign w:val="center"/>
          </w:tcPr>
          <w:p w14:paraId="4C137E4E">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0662C3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1" w:type="dxa"/>
            <w:bottom w:w="0" w:type="dxa"/>
            <w:right w:w="11" w:type="dxa"/>
          </w:tblCellMar>
        </w:tblPrEx>
        <w:trPr>
          <w:trHeight w:val="106" w:hRule="atLeast"/>
          <w:jc w:val="center"/>
        </w:trPr>
        <w:tc>
          <w:tcPr>
            <w:tcW w:w="683" w:type="pct"/>
            <w:tcBorders>
              <w:tl2br w:val="nil"/>
              <w:tr2bl w:val="nil"/>
            </w:tcBorders>
            <w:vAlign w:val="center"/>
          </w:tcPr>
          <w:p w14:paraId="4188F3B7">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硫化剂</w:t>
            </w:r>
          </w:p>
        </w:tc>
        <w:tc>
          <w:tcPr>
            <w:tcW w:w="559" w:type="pct"/>
            <w:tcBorders>
              <w:tl2br w:val="nil"/>
              <w:tr2bl w:val="nil"/>
            </w:tcBorders>
            <w:vAlign w:val="center"/>
          </w:tcPr>
          <w:p w14:paraId="4B3A43A2">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2140" w:type="pct"/>
            <w:tcBorders>
              <w:tl2br w:val="nil"/>
              <w:tr2bl w:val="nil"/>
            </w:tcBorders>
            <w:vAlign w:val="center"/>
          </w:tcPr>
          <w:p w14:paraId="3581D2FF">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清澈透明淡黄色</w:t>
            </w:r>
            <w:r>
              <w:rPr>
                <w:rFonts w:hint="eastAsia" w:cs="Times New Roman"/>
                <w:color w:val="000000" w:themeColor="text1"/>
                <w:highlight w:val="none"/>
                <w:lang w:val="en-US" w:eastAsia="zh-CN"/>
                <w14:textFill>
                  <w14:solidFill>
                    <w14:schemeClr w14:val="tx1"/>
                  </w14:solidFill>
                </w14:textFill>
              </w:rPr>
              <w:t>胶状物</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，轻微过氧化物味，相对密度1.08，不溶于水</w:t>
            </w:r>
            <w:r>
              <w:rPr>
                <w:rFonts w:hint="eastAsia" w:cs="Times New Roman"/>
                <w:color w:val="000000" w:themeColor="text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易溶于苯类</w:t>
            </w:r>
            <w:r>
              <w:rPr>
                <w:rFonts w:hint="eastAsia" w:cs="Times New Roman"/>
                <w:color w:val="000000" w:themeColor="text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酯类等非极性溶剂。</w:t>
            </w:r>
          </w:p>
        </w:tc>
        <w:tc>
          <w:tcPr>
            <w:tcW w:w="771" w:type="pct"/>
            <w:tcBorders>
              <w:tl2br w:val="nil"/>
              <w:tr2bl w:val="nil"/>
            </w:tcBorders>
            <w:vAlign w:val="center"/>
          </w:tcPr>
          <w:p w14:paraId="1AFBB090">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845" w:type="pct"/>
            <w:tcBorders>
              <w:tl2br w:val="nil"/>
              <w:tr2bl w:val="nil"/>
            </w:tcBorders>
            <w:vAlign w:val="center"/>
          </w:tcPr>
          <w:p w14:paraId="67B16E2D">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r>
      <w:tr w14:paraId="28FAD8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1" w:type="dxa"/>
            <w:bottom w:w="0" w:type="dxa"/>
            <w:right w:w="11" w:type="dxa"/>
          </w:tblCellMar>
        </w:tblPrEx>
        <w:trPr>
          <w:trHeight w:val="106" w:hRule="atLeast"/>
          <w:jc w:val="center"/>
        </w:trPr>
        <w:tc>
          <w:tcPr>
            <w:tcW w:w="683" w:type="pct"/>
            <w:tcBorders>
              <w:tl2br w:val="nil"/>
              <w:tr2bl w:val="nil"/>
            </w:tcBorders>
            <w:vAlign w:val="center"/>
          </w:tcPr>
          <w:p w14:paraId="044D8D27">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2,5-二甲基-2，5-二（叔丁基过氧基）己烷</w:t>
            </w:r>
          </w:p>
        </w:tc>
        <w:tc>
          <w:tcPr>
            <w:tcW w:w="559" w:type="pct"/>
            <w:tcBorders>
              <w:tl2br w:val="nil"/>
              <w:tr2bl w:val="nil"/>
            </w:tcBorders>
            <w:vAlign w:val="center"/>
          </w:tcPr>
          <w:p w14:paraId="74B80FCA">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78-63-7</w:t>
            </w:r>
          </w:p>
        </w:tc>
        <w:tc>
          <w:tcPr>
            <w:tcW w:w="2140" w:type="pct"/>
            <w:tcBorders>
              <w:tl2br w:val="nil"/>
              <w:tr2bl w:val="nil"/>
            </w:tcBorders>
            <w:vAlign w:val="center"/>
          </w:tcPr>
          <w:p w14:paraId="7D7FE828">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淡黄色油状液体。熔点8℃，相对密度0.8650，折光率1.4185（28℃）。闪点35-88℃。不溶于水。有特殊臭味。</w:t>
            </w:r>
          </w:p>
        </w:tc>
        <w:tc>
          <w:tcPr>
            <w:tcW w:w="771" w:type="pct"/>
            <w:tcBorders>
              <w:tl2br w:val="nil"/>
              <w:tr2bl w:val="nil"/>
            </w:tcBorders>
            <w:vAlign w:val="center"/>
          </w:tcPr>
          <w:p w14:paraId="44ED4209">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可燃</w:t>
            </w:r>
          </w:p>
        </w:tc>
        <w:tc>
          <w:tcPr>
            <w:tcW w:w="845" w:type="pct"/>
            <w:tcBorders>
              <w:tl2br w:val="nil"/>
              <w:tr2bl w:val="nil"/>
            </w:tcBorders>
            <w:vAlign w:val="center"/>
          </w:tcPr>
          <w:p w14:paraId="52D362E3">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LD</w:t>
            </w:r>
            <w:r>
              <w:rPr>
                <w:rFonts w:hint="eastAsia"/>
                <w:color w:val="000000" w:themeColor="text1"/>
                <w:highlight w:val="none"/>
                <w:vertAlign w:val="subscript"/>
                <w:lang w:val="en-US" w:eastAsia="zh-CN"/>
                <w14:textFill>
                  <w14:solidFill>
                    <w14:schemeClr w14:val="tx1"/>
                  </w14:solidFill>
                </w14:textFill>
              </w:rPr>
              <w:t>L0</w:t>
            </w:r>
            <w:r>
              <w:rPr>
                <w:rFonts w:hint="eastAsia"/>
                <w:color w:val="000000" w:themeColor="text1"/>
                <w:highlight w:val="none"/>
                <w:lang w:val="en-US" w:eastAsia="zh-CN"/>
                <w14:textFill>
                  <w14:solidFill>
                    <w14:schemeClr w14:val="tx1"/>
                  </w14:solidFill>
                </w14:textFill>
              </w:rPr>
              <w:t>：1700毫克/公斤</w:t>
            </w:r>
          </w:p>
        </w:tc>
      </w:tr>
      <w:tr w14:paraId="14AF8A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1" w:type="dxa"/>
            <w:bottom w:w="0" w:type="dxa"/>
            <w:right w:w="11" w:type="dxa"/>
          </w:tblCellMar>
        </w:tblPrEx>
        <w:trPr>
          <w:trHeight w:val="106" w:hRule="atLeast"/>
          <w:jc w:val="center"/>
        </w:trPr>
        <w:tc>
          <w:tcPr>
            <w:tcW w:w="683" w:type="pct"/>
            <w:tcBorders>
              <w:tl2br w:val="nil"/>
              <w:tr2bl w:val="nil"/>
            </w:tcBorders>
            <w:vAlign w:val="center"/>
          </w:tcPr>
          <w:p w14:paraId="48B7314A">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聚二甲基硅氧烷</w:t>
            </w:r>
            <w:r>
              <w:rPr>
                <w:rFonts w:hint="eastAsia" w:cs="Times New Roman"/>
                <w:color w:val="000000" w:themeColor="text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聚硅氧烷</w:t>
            </w:r>
            <w:r>
              <w:rPr>
                <w:rFonts w:hint="eastAsia" w:cs="Times New Roman"/>
                <w:color w:val="000000" w:themeColor="text1"/>
                <w:highlight w:val="none"/>
                <w:lang w:val="en-US" w:eastAsia="zh-CN"/>
                <w14:textFill>
                  <w14:solidFill>
                    <w14:schemeClr w14:val="tx1"/>
                  </w14:solidFill>
                </w14:textFill>
              </w:rPr>
              <w:t>）</w:t>
            </w:r>
          </w:p>
        </w:tc>
        <w:tc>
          <w:tcPr>
            <w:tcW w:w="559" w:type="pct"/>
            <w:tcBorders>
              <w:tl2br w:val="nil"/>
              <w:tr2bl w:val="nil"/>
            </w:tcBorders>
            <w:vAlign w:val="center"/>
          </w:tcPr>
          <w:p w14:paraId="664C7E59">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63148-62-9</w:t>
            </w:r>
          </w:p>
        </w:tc>
        <w:tc>
          <w:tcPr>
            <w:tcW w:w="2140" w:type="pct"/>
            <w:tcBorders>
              <w:tl2br w:val="nil"/>
              <w:tr2bl w:val="nil"/>
            </w:tcBorders>
            <w:vAlign w:val="center"/>
          </w:tcPr>
          <w:p w14:paraId="08B04B7D">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乳白色黏稠液体，不挥发，无臭。熔点：-59℃；沸点：101℃；相对密度0.98～1.02。可与苯、汽油等氯代烃、脂肪烃和芳香烃溶剂互溶，不溶于甲醇、乙醇和水，但可分散于水中。</w:t>
            </w:r>
          </w:p>
        </w:tc>
        <w:tc>
          <w:tcPr>
            <w:tcW w:w="771" w:type="pct"/>
            <w:tcBorders>
              <w:tl2br w:val="nil"/>
              <w:tr2bl w:val="nil"/>
            </w:tcBorders>
            <w:vAlign w:val="center"/>
          </w:tcPr>
          <w:p w14:paraId="585C29D3">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可燃</w:t>
            </w:r>
          </w:p>
        </w:tc>
        <w:tc>
          <w:tcPr>
            <w:tcW w:w="845" w:type="pct"/>
            <w:tcBorders>
              <w:tl2br w:val="nil"/>
              <w:tr2bl w:val="nil"/>
            </w:tcBorders>
            <w:vAlign w:val="center"/>
          </w:tcPr>
          <w:p w14:paraId="4093D06D">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353BB8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1" w:type="dxa"/>
            <w:bottom w:w="0" w:type="dxa"/>
            <w:right w:w="11" w:type="dxa"/>
          </w:tblCellMar>
        </w:tblPrEx>
        <w:trPr>
          <w:trHeight w:val="106" w:hRule="atLeast"/>
          <w:jc w:val="center"/>
        </w:trPr>
        <w:tc>
          <w:tcPr>
            <w:tcW w:w="683" w:type="pct"/>
            <w:tcBorders>
              <w:tl2br w:val="nil"/>
              <w:tr2bl w:val="nil"/>
            </w:tcBorders>
            <w:vAlign w:val="center"/>
          </w:tcPr>
          <w:p w14:paraId="772A77E8">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PBT（聚对苯二甲酸丁二酯）</w:t>
            </w:r>
          </w:p>
        </w:tc>
        <w:tc>
          <w:tcPr>
            <w:tcW w:w="559" w:type="pct"/>
            <w:tcBorders>
              <w:tl2br w:val="nil"/>
              <w:tr2bl w:val="nil"/>
            </w:tcBorders>
            <w:vAlign w:val="center"/>
          </w:tcPr>
          <w:p w14:paraId="072B94F5">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26062-94-2</w:t>
            </w:r>
          </w:p>
        </w:tc>
        <w:tc>
          <w:tcPr>
            <w:tcW w:w="2140" w:type="pct"/>
            <w:tcBorders>
              <w:tl2br w:val="nil"/>
              <w:tr2bl w:val="nil"/>
            </w:tcBorders>
            <w:vAlign w:val="center"/>
          </w:tcPr>
          <w:p w14:paraId="174D8F43">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颗粒状；熔点：226℃；密度：相对密度1.31；具有优良的强韧性和抗疲劳性，冲击强度高，有自润滑性和耐磨性，摩擦系数小，但缺口敏感性大。耐热、耐气候性好，耐燃，但能慢燃。</w:t>
            </w:r>
          </w:p>
        </w:tc>
        <w:tc>
          <w:tcPr>
            <w:tcW w:w="771" w:type="pct"/>
            <w:tcBorders>
              <w:tl2br w:val="nil"/>
              <w:tr2bl w:val="nil"/>
            </w:tcBorders>
            <w:vAlign w:val="center"/>
          </w:tcPr>
          <w:p w14:paraId="414A2BD3">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可燃</w:t>
            </w:r>
          </w:p>
        </w:tc>
        <w:tc>
          <w:tcPr>
            <w:tcW w:w="845" w:type="pct"/>
            <w:tcBorders>
              <w:tl2br w:val="nil"/>
              <w:tr2bl w:val="nil"/>
            </w:tcBorders>
            <w:vAlign w:val="center"/>
          </w:tcPr>
          <w:p w14:paraId="6B604802">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2DBA69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1" w:type="dxa"/>
            <w:bottom w:w="0" w:type="dxa"/>
            <w:right w:w="11" w:type="dxa"/>
          </w:tblCellMar>
        </w:tblPrEx>
        <w:trPr>
          <w:trHeight w:val="106" w:hRule="atLeast"/>
          <w:jc w:val="center"/>
        </w:trPr>
        <w:tc>
          <w:tcPr>
            <w:tcW w:w="683" w:type="pct"/>
            <w:tcBorders>
              <w:tl2br w:val="nil"/>
              <w:tr2bl w:val="nil"/>
            </w:tcBorders>
            <w:vAlign w:val="center"/>
          </w:tcPr>
          <w:p w14:paraId="641BA915">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色母</w:t>
            </w:r>
          </w:p>
        </w:tc>
        <w:tc>
          <w:tcPr>
            <w:tcW w:w="559" w:type="pct"/>
            <w:tcBorders>
              <w:tl2br w:val="nil"/>
              <w:tr2bl w:val="nil"/>
            </w:tcBorders>
            <w:vAlign w:val="center"/>
          </w:tcPr>
          <w:p w14:paraId="38794A51">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2140" w:type="pct"/>
            <w:tcBorders>
              <w:tl2br w:val="nil"/>
              <w:tr2bl w:val="nil"/>
            </w:tcBorders>
            <w:vAlign w:val="center"/>
          </w:tcPr>
          <w:p w14:paraId="525E2A94">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无味、无毒固体膏状物，无味、无熔点和沸点。不溶于水、乙醇，但溶于苯、甲苯、二甲苯和汽油中。</w:t>
            </w:r>
          </w:p>
        </w:tc>
        <w:tc>
          <w:tcPr>
            <w:tcW w:w="771" w:type="pct"/>
            <w:tcBorders>
              <w:tl2br w:val="nil"/>
              <w:tr2bl w:val="nil"/>
            </w:tcBorders>
            <w:vAlign w:val="center"/>
          </w:tcPr>
          <w:p w14:paraId="5B399907">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不易燃</w:t>
            </w:r>
          </w:p>
        </w:tc>
        <w:tc>
          <w:tcPr>
            <w:tcW w:w="845" w:type="pct"/>
            <w:tcBorders>
              <w:tl2br w:val="nil"/>
              <w:tr2bl w:val="nil"/>
            </w:tcBorders>
            <w:vAlign w:val="center"/>
          </w:tcPr>
          <w:p w14:paraId="3C5ACC0C">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无毒</w:t>
            </w:r>
          </w:p>
        </w:tc>
      </w:tr>
      <w:tr w14:paraId="3A6031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1" w:type="dxa"/>
            <w:bottom w:w="0" w:type="dxa"/>
            <w:right w:w="11" w:type="dxa"/>
          </w:tblCellMar>
        </w:tblPrEx>
        <w:trPr>
          <w:trHeight w:val="106" w:hRule="atLeast"/>
          <w:jc w:val="center"/>
        </w:trPr>
        <w:tc>
          <w:tcPr>
            <w:tcW w:w="683" w:type="pct"/>
            <w:tcBorders>
              <w:tl2br w:val="nil"/>
              <w:tr2bl w:val="nil"/>
            </w:tcBorders>
            <w:vAlign w:val="center"/>
          </w:tcPr>
          <w:p w14:paraId="6BDC0666">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颜料</w:t>
            </w:r>
          </w:p>
        </w:tc>
        <w:tc>
          <w:tcPr>
            <w:tcW w:w="559" w:type="pct"/>
            <w:tcBorders>
              <w:tl2br w:val="nil"/>
              <w:tr2bl w:val="nil"/>
            </w:tcBorders>
            <w:vAlign w:val="center"/>
          </w:tcPr>
          <w:p w14:paraId="7E839D5F">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84632-65-5</w:t>
            </w:r>
          </w:p>
        </w:tc>
        <w:tc>
          <w:tcPr>
            <w:tcW w:w="2140" w:type="pct"/>
            <w:tcBorders>
              <w:tl2br w:val="nil"/>
              <w:tr2bl w:val="nil"/>
            </w:tcBorders>
            <w:vAlign w:val="center"/>
          </w:tcPr>
          <w:p w14:paraId="45F2FFC3">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红色到深红色到棕色粉末至结晶。熔点：670℃；密度：相对密度1.57；色泽鲜艳，着色力强，分散性优异，同时具有优良的耐溶剂性能</w:t>
            </w:r>
            <w:r>
              <w:rPr>
                <w:rFonts w:hint="eastAsia" w:cs="Times New Roman"/>
                <w:color w:val="000000" w:themeColor="text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耐光牢度达8级，耐温300度。其化学结构稳定，不易分解，能够长时间保持鲜艳的红色，主要成分是氨基酸银盐，具有良好的耐光性和耐候性。</w:t>
            </w:r>
          </w:p>
        </w:tc>
        <w:tc>
          <w:tcPr>
            <w:tcW w:w="771" w:type="pct"/>
            <w:tcBorders>
              <w:tl2br w:val="nil"/>
              <w:tr2bl w:val="nil"/>
            </w:tcBorders>
            <w:vAlign w:val="center"/>
          </w:tcPr>
          <w:p w14:paraId="41B8E0A8">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845" w:type="pct"/>
            <w:tcBorders>
              <w:tl2br w:val="nil"/>
              <w:tr2bl w:val="nil"/>
            </w:tcBorders>
            <w:vAlign w:val="center"/>
          </w:tcPr>
          <w:p w14:paraId="6C91003D">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bl>
    <w:p w14:paraId="6F3B61A8">
      <w:pPr>
        <w:pStyle w:val="34"/>
        <w:keepNext/>
        <w:jc w:val="center"/>
        <w:outlineLvl w:val="0"/>
        <w:rPr>
          <w:rFonts w:ascii="Times New Roman" w:hAnsi="Times New Roman"/>
          <w:snapToGrid w:val="0"/>
          <w:color w:val="000000" w:themeColor="text1"/>
          <w:sz w:val="30"/>
          <w:szCs w:val="30"/>
          <w:highlight w:val="none"/>
          <w14:textFill>
            <w14:solidFill>
              <w14:schemeClr w14:val="tx1"/>
            </w14:solidFill>
          </w14:textFill>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numberInDash"/>
          <w:cols w:space="720" w:num="1"/>
          <w:docGrid w:linePitch="312" w:charSpace="0"/>
        </w:sect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
        <w:gridCol w:w="8838"/>
      </w:tblGrid>
      <w:tr w14:paraId="79E8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5" w:hRule="atLeast"/>
        </w:trPr>
        <w:tc>
          <w:tcPr>
            <w:tcW w:w="929" w:type="dxa"/>
          </w:tcPr>
          <w:p w14:paraId="31C5EB74">
            <w:pPr>
              <w:pStyle w:val="34"/>
              <w:keepNext/>
              <w:jc w:val="center"/>
              <w:rPr>
                <w:rFonts w:ascii="Times New Roman" w:hAnsi="Times New Roman"/>
                <w:snapToGrid w:val="0"/>
                <w:color w:val="000000" w:themeColor="text1"/>
                <w:sz w:val="30"/>
                <w:szCs w:val="30"/>
                <w:highlight w:val="none"/>
                <w14:textFill>
                  <w14:solidFill>
                    <w14:schemeClr w14:val="tx1"/>
                  </w14:solidFill>
                </w14:textFill>
              </w:rPr>
            </w:pPr>
          </w:p>
        </w:tc>
        <w:tc>
          <w:tcPr>
            <w:tcW w:w="12723" w:type="dxa"/>
          </w:tcPr>
          <w:p w14:paraId="70048282">
            <w:pPr>
              <w:tabs>
                <w:tab w:val="center" w:pos="4627"/>
              </w:tabs>
              <w:adjustRightInd w:val="0"/>
              <w:snapToGrid w:val="0"/>
              <w:spacing w:line="440" w:lineRule="exact"/>
              <w:ind w:firstLine="480" w:firstLineChars="200"/>
              <w:rPr>
                <w:color w:val="000000" w:themeColor="text1"/>
                <w:highlight w:val="none"/>
                <w14:textFill>
                  <w14:solidFill>
                    <w14:schemeClr w14:val="tx1"/>
                  </w14:solidFill>
                </w14:textFill>
              </w:rPr>
            </w:pPr>
            <w:r>
              <w:rPr>
                <w:color w:val="000000" w:themeColor="text1"/>
                <w:sz w:val="24"/>
                <w:highlight w:val="none"/>
                <w14:textFill>
                  <w14:solidFill>
                    <w14:schemeClr w14:val="tx1"/>
                  </w14:solidFill>
                </w14:textFill>
              </w:rPr>
              <w:t>本项目主要生产设备情况见</w:t>
            </w:r>
            <w:r>
              <w:rPr>
                <w:rFonts w:hint="eastAsia"/>
                <w:color w:val="000000" w:themeColor="text1"/>
                <w:sz w:val="24"/>
                <w:highlight w:val="none"/>
                <w14:textFill>
                  <w14:solidFill>
                    <w14:schemeClr w14:val="tx1"/>
                  </w14:solidFill>
                </w14:textFill>
              </w:rPr>
              <w:t>下</w:t>
            </w:r>
            <w:r>
              <w:rPr>
                <w:color w:val="000000" w:themeColor="text1"/>
                <w:sz w:val="24"/>
                <w:highlight w:val="none"/>
                <w14:textFill>
                  <w14:solidFill>
                    <w14:schemeClr w14:val="tx1"/>
                  </w14:solidFill>
                </w14:textFill>
              </w:rPr>
              <w:t>表</w:t>
            </w:r>
            <w:r>
              <w:rPr>
                <w:rFonts w:hint="eastAsia"/>
                <w:color w:val="000000" w:themeColor="text1"/>
                <w:sz w:val="24"/>
                <w:highlight w:val="none"/>
                <w14:textFill>
                  <w14:solidFill>
                    <w14:schemeClr w14:val="tx1"/>
                  </w14:solidFill>
                </w14:textFill>
              </w:rPr>
              <w:t>。</w:t>
            </w:r>
          </w:p>
          <w:p w14:paraId="7F69C4D5">
            <w:pPr>
              <w:widowControl/>
              <w:spacing w:line="440" w:lineRule="exact"/>
              <w:jc w:val="center"/>
              <w:rPr>
                <w:b/>
                <w:bCs/>
                <w:color w:val="000000" w:themeColor="text1"/>
                <w:sz w:val="24"/>
                <w:highlight w:val="none"/>
                <w:lang w:val="zh-CN"/>
                <w14:textFill>
                  <w14:solidFill>
                    <w14:schemeClr w14:val="tx1"/>
                  </w14:solidFill>
                </w14:textFill>
              </w:rPr>
            </w:pPr>
            <w:r>
              <w:rPr>
                <w:b/>
                <w:bCs/>
                <w:color w:val="000000" w:themeColor="text1"/>
                <w:sz w:val="24"/>
                <w:highlight w:val="none"/>
                <w:lang w:val="zh-CN"/>
                <w14:textFill>
                  <w14:solidFill>
                    <w14:schemeClr w14:val="tx1"/>
                  </w14:solidFill>
                </w14:textFill>
              </w:rPr>
              <w:t>表2-</w:t>
            </w:r>
            <w:r>
              <w:rPr>
                <w:rFonts w:hint="eastAsia"/>
                <w:b/>
                <w:bCs/>
                <w:color w:val="000000" w:themeColor="text1"/>
                <w:sz w:val="24"/>
                <w:highlight w:val="none"/>
                <w:lang w:val="en-US" w:eastAsia="zh-CN"/>
                <w14:textFill>
                  <w14:solidFill>
                    <w14:schemeClr w14:val="tx1"/>
                  </w14:solidFill>
                </w14:textFill>
              </w:rPr>
              <w:t xml:space="preserve">7  </w:t>
            </w:r>
            <w:r>
              <w:rPr>
                <w:rFonts w:hint="eastAsia"/>
                <w:b/>
                <w:bCs/>
                <w:color w:val="000000" w:themeColor="text1"/>
                <w:sz w:val="24"/>
                <w:highlight w:val="none"/>
                <w14:textFill>
                  <w14:solidFill>
                    <w14:schemeClr w14:val="tx1"/>
                  </w14:solidFill>
                </w14:textFill>
              </w:rPr>
              <w:t>本项目</w:t>
            </w:r>
            <w:r>
              <w:rPr>
                <w:b/>
                <w:bCs/>
                <w:color w:val="000000" w:themeColor="text1"/>
                <w:sz w:val="24"/>
                <w:highlight w:val="none"/>
                <w:lang w:val="zh-CN"/>
                <w14:textFill>
                  <w14:solidFill>
                    <w14:schemeClr w14:val="tx1"/>
                  </w14:solidFill>
                </w14:textFill>
              </w:rPr>
              <w:t>主要生产设备表</w:t>
            </w:r>
            <w:r>
              <w:rPr>
                <w:rFonts w:hint="eastAsia"/>
                <w:b/>
                <w:bCs/>
                <w:color w:val="000000" w:themeColor="text1"/>
                <w:sz w:val="24"/>
                <w:highlight w:val="none"/>
                <w:lang w:val="zh-CN"/>
                <w14:textFill>
                  <w14:solidFill>
                    <w14:schemeClr w14:val="tx1"/>
                  </w14:solidFill>
                </w14:textFill>
              </w:rPr>
              <w:t>（</w:t>
            </w:r>
            <w:r>
              <w:rPr>
                <w:rFonts w:hint="eastAsia"/>
                <w:b/>
                <w:bCs/>
                <w:color w:val="000000" w:themeColor="text1"/>
                <w:sz w:val="24"/>
                <w:highlight w:val="none"/>
                <w:lang w:val="en-US" w:eastAsia="zh-CN"/>
                <w14:textFill>
                  <w14:solidFill>
                    <w14:schemeClr w14:val="tx1"/>
                  </w14:solidFill>
                </w14:textFill>
              </w:rPr>
              <w:t>台</w:t>
            </w:r>
            <w:r>
              <w:rPr>
                <w:rFonts w:hint="eastAsia"/>
                <w:b/>
                <w:bCs/>
                <w:color w:val="000000" w:themeColor="text1"/>
                <w:sz w:val="24"/>
                <w:highlight w:val="none"/>
                <w:lang w:val="zh-CN"/>
                <w14:textFill>
                  <w14:solidFill>
                    <w14:schemeClr w14:val="tx1"/>
                  </w14:solidFill>
                </w14:textFill>
              </w:rPr>
              <w:t>）</w:t>
            </w:r>
          </w:p>
          <w:tbl>
            <w:tblPr>
              <w:tblStyle w:val="38"/>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69"/>
              <w:gridCol w:w="2410"/>
              <w:gridCol w:w="2735"/>
              <w:gridCol w:w="850"/>
              <w:gridCol w:w="2055"/>
            </w:tblGrid>
            <w:tr w14:paraId="6DB51C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0" w:type="pct"/>
                  <w:tcBorders>
                    <w:tl2br w:val="nil"/>
                    <w:tr2bl w:val="nil"/>
                  </w:tcBorders>
                  <w:noWrap w:val="0"/>
                  <w:vAlign w:val="center"/>
                </w:tcPr>
                <w:p w14:paraId="49298256">
                  <w:pPr>
                    <w:jc w:val="center"/>
                    <w:rPr>
                      <w:rFonts w:hint="eastAsia" w:ascii="Times New Roman" w:hAnsi="Times New Roman" w:cs="Times New Roman"/>
                      <w:b/>
                      <w:bCs w:val="0"/>
                      <w:color w:val="000000" w:themeColor="text1"/>
                      <w:szCs w:val="36"/>
                      <w:highlight w:val="none"/>
                      <w:lang w:val="en-US" w:eastAsia="zh-CN"/>
                      <w14:textFill>
                        <w14:solidFill>
                          <w14:schemeClr w14:val="tx1"/>
                        </w14:solidFill>
                      </w14:textFill>
                    </w:rPr>
                  </w:pPr>
                  <w:r>
                    <w:rPr>
                      <w:rFonts w:hint="eastAsia" w:ascii="Times New Roman" w:hAnsi="Times New Roman" w:cs="Times New Roman"/>
                      <w:b/>
                      <w:bCs w:val="0"/>
                      <w:color w:val="000000" w:themeColor="text1"/>
                      <w:szCs w:val="36"/>
                      <w:highlight w:val="none"/>
                      <w:lang w:val="en-US" w:eastAsia="zh-CN"/>
                      <w14:textFill>
                        <w14:solidFill>
                          <w14:schemeClr w14:val="tx1"/>
                        </w14:solidFill>
                      </w14:textFill>
                    </w:rPr>
                    <w:t>序号</w:t>
                  </w:r>
                </w:p>
              </w:tc>
              <w:tc>
                <w:tcPr>
                  <w:tcW w:w="1398" w:type="pct"/>
                  <w:tcBorders>
                    <w:tl2br w:val="nil"/>
                    <w:tr2bl w:val="nil"/>
                  </w:tcBorders>
                  <w:noWrap w:val="0"/>
                  <w:vAlign w:val="center"/>
                </w:tcPr>
                <w:p w14:paraId="2B3ED1E8">
                  <w:pPr>
                    <w:jc w:val="center"/>
                    <w:rPr>
                      <w:rFonts w:hint="eastAsia" w:ascii="Times New Roman" w:hAnsi="Times New Roman" w:cs="Times New Roman"/>
                      <w:b/>
                      <w:bCs w:val="0"/>
                      <w:color w:val="000000" w:themeColor="text1"/>
                      <w:szCs w:val="36"/>
                      <w:highlight w:val="none"/>
                      <w:lang w:val="en-US" w:eastAsia="zh-CN"/>
                      <w14:textFill>
                        <w14:solidFill>
                          <w14:schemeClr w14:val="tx1"/>
                        </w14:solidFill>
                      </w14:textFill>
                    </w:rPr>
                  </w:pPr>
                  <w:r>
                    <w:rPr>
                      <w:rFonts w:hint="eastAsia" w:ascii="Times New Roman" w:hAnsi="Times New Roman" w:cs="Times New Roman"/>
                      <w:b/>
                      <w:bCs w:val="0"/>
                      <w:color w:val="000000" w:themeColor="text1"/>
                      <w:szCs w:val="36"/>
                      <w:highlight w:val="none"/>
                      <w:lang w:val="en-US" w:eastAsia="zh-CN"/>
                      <w14:textFill>
                        <w14:solidFill>
                          <w14:schemeClr w14:val="tx1"/>
                        </w14:solidFill>
                      </w14:textFill>
                    </w:rPr>
                    <w:t>设备名称</w:t>
                  </w:r>
                </w:p>
              </w:tc>
              <w:tc>
                <w:tcPr>
                  <w:tcW w:w="1586" w:type="pct"/>
                  <w:tcBorders>
                    <w:tl2br w:val="nil"/>
                    <w:tr2bl w:val="nil"/>
                  </w:tcBorders>
                  <w:noWrap w:val="0"/>
                  <w:vAlign w:val="center"/>
                </w:tcPr>
                <w:p w14:paraId="4B88D8BB">
                  <w:pPr>
                    <w:jc w:val="center"/>
                    <w:rPr>
                      <w:rFonts w:hint="eastAsia" w:ascii="Times New Roman" w:hAnsi="Times New Roman" w:cs="Times New Roman"/>
                      <w:b/>
                      <w:bCs w:val="0"/>
                      <w:color w:val="000000" w:themeColor="text1"/>
                      <w:szCs w:val="36"/>
                      <w:highlight w:val="none"/>
                      <w:lang w:val="en-US" w:eastAsia="zh-CN"/>
                      <w14:textFill>
                        <w14:solidFill>
                          <w14:schemeClr w14:val="tx1"/>
                        </w14:solidFill>
                      </w14:textFill>
                    </w:rPr>
                  </w:pPr>
                  <w:r>
                    <w:rPr>
                      <w:rFonts w:hint="eastAsia" w:ascii="Times New Roman" w:hAnsi="Times New Roman" w:cs="Times New Roman"/>
                      <w:b/>
                      <w:bCs w:val="0"/>
                      <w:color w:val="000000" w:themeColor="text1"/>
                      <w:szCs w:val="36"/>
                      <w:highlight w:val="none"/>
                      <w:lang w:val="en-US" w:eastAsia="zh-CN"/>
                      <w14:textFill>
                        <w14:solidFill>
                          <w14:schemeClr w14:val="tx1"/>
                        </w14:solidFill>
                      </w14:textFill>
                    </w:rPr>
                    <w:t>规格型号</w:t>
                  </w:r>
                </w:p>
              </w:tc>
              <w:tc>
                <w:tcPr>
                  <w:tcW w:w="493" w:type="pct"/>
                  <w:tcBorders>
                    <w:tl2br w:val="nil"/>
                    <w:tr2bl w:val="nil"/>
                  </w:tcBorders>
                  <w:noWrap w:val="0"/>
                  <w:vAlign w:val="center"/>
                </w:tcPr>
                <w:p w14:paraId="74FB906A">
                  <w:pPr>
                    <w:jc w:val="center"/>
                    <w:rPr>
                      <w:rFonts w:hint="eastAsia" w:ascii="Times New Roman" w:hAnsi="Times New Roman" w:cs="Times New Roman"/>
                      <w:b/>
                      <w:bCs w:val="0"/>
                      <w:color w:val="000000" w:themeColor="text1"/>
                      <w:szCs w:val="36"/>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数量（台套）</w:t>
                  </w:r>
                </w:p>
              </w:tc>
              <w:tc>
                <w:tcPr>
                  <w:tcW w:w="1192" w:type="pct"/>
                  <w:tcBorders>
                    <w:tl2br w:val="nil"/>
                    <w:tr2bl w:val="nil"/>
                  </w:tcBorders>
                  <w:noWrap w:val="0"/>
                  <w:vAlign w:val="center"/>
                </w:tcPr>
                <w:p w14:paraId="3C0D123E">
                  <w:pPr>
                    <w:jc w:val="center"/>
                    <w:rPr>
                      <w:rFonts w:hint="eastAsia" w:ascii="Times New Roman" w:hAnsi="Times New Roman" w:cs="Times New Roman"/>
                      <w:b/>
                      <w:bCs w:val="0"/>
                      <w:color w:val="000000" w:themeColor="text1"/>
                      <w:szCs w:val="36"/>
                      <w:highlight w:val="none"/>
                      <w:lang w:val="en-US" w:eastAsia="zh-CN"/>
                      <w14:textFill>
                        <w14:solidFill>
                          <w14:schemeClr w14:val="tx1"/>
                        </w14:solidFill>
                      </w14:textFill>
                    </w:rPr>
                  </w:pPr>
                  <w:r>
                    <w:rPr>
                      <w:rFonts w:hint="eastAsia" w:ascii="Times New Roman" w:hAnsi="Times New Roman" w:cs="Times New Roman"/>
                      <w:b/>
                      <w:bCs w:val="0"/>
                      <w:color w:val="000000" w:themeColor="text1"/>
                      <w:szCs w:val="36"/>
                      <w:highlight w:val="none"/>
                      <w:lang w:val="en-US" w:eastAsia="zh-CN"/>
                      <w14:textFill>
                        <w14:solidFill>
                          <w14:schemeClr w14:val="tx1"/>
                        </w14:solidFill>
                      </w14:textFill>
                    </w:rPr>
                    <w:t>用途</w:t>
                  </w:r>
                </w:p>
              </w:tc>
            </w:tr>
            <w:tr w14:paraId="14B7C0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0" w:type="pct"/>
                  <w:tcBorders>
                    <w:tl2br w:val="nil"/>
                    <w:tr2bl w:val="nil"/>
                  </w:tcBorders>
                  <w:noWrap w:val="0"/>
                  <w:vAlign w:val="center"/>
                </w:tcPr>
                <w:p w14:paraId="19753B2D">
                  <w:pPr>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1398" w:type="pct"/>
                  <w:tcBorders>
                    <w:tl2br w:val="nil"/>
                    <w:tr2bl w:val="nil"/>
                  </w:tcBorders>
                  <w:shd w:val="clear" w:color="auto" w:fill="auto"/>
                  <w:noWrap w:val="0"/>
                  <w:vAlign w:val="center"/>
                </w:tcPr>
                <w:p w14:paraId="33AFB888">
                  <w:pPr>
                    <w:jc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开放式</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滚料机</w:t>
                  </w:r>
                </w:p>
              </w:tc>
              <w:tc>
                <w:tcPr>
                  <w:tcW w:w="1586" w:type="pct"/>
                  <w:tcBorders>
                    <w:tl2br w:val="nil"/>
                    <w:tr2bl w:val="nil"/>
                  </w:tcBorders>
                  <w:shd w:val="clear" w:color="auto" w:fill="auto"/>
                  <w:noWrap w:val="0"/>
                  <w:vAlign w:val="center"/>
                </w:tcPr>
                <w:p w14:paraId="17C8BBF1">
                  <w:pPr>
                    <w:jc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YX-230</w:t>
                  </w:r>
                </w:p>
              </w:tc>
              <w:tc>
                <w:tcPr>
                  <w:tcW w:w="493" w:type="pct"/>
                  <w:tcBorders>
                    <w:tl2br w:val="nil"/>
                    <w:tr2bl w:val="nil"/>
                  </w:tcBorders>
                  <w:shd w:val="clear" w:color="auto" w:fill="auto"/>
                  <w:noWrap w:val="0"/>
                  <w:vAlign w:val="center"/>
                </w:tcPr>
                <w:p w14:paraId="3A349A48">
                  <w:pPr>
                    <w:jc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1192" w:type="pct"/>
                  <w:tcBorders>
                    <w:tl2br w:val="nil"/>
                    <w:tr2bl w:val="nil"/>
                  </w:tcBorders>
                  <w:noWrap w:val="0"/>
                  <w:vAlign w:val="center"/>
                </w:tcPr>
                <w:p w14:paraId="41FF10AD">
                  <w:pPr>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滚料</w:t>
                  </w:r>
                </w:p>
              </w:tc>
            </w:tr>
            <w:tr w14:paraId="5FF371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0" w:type="pct"/>
                  <w:tcBorders>
                    <w:tl2br w:val="nil"/>
                    <w:tr2bl w:val="nil"/>
                  </w:tcBorders>
                  <w:noWrap w:val="0"/>
                  <w:vAlign w:val="center"/>
                </w:tcPr>
                <w:p w14:paraId="0498F9B2">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1398" w:type="pct"/>
                  <w:tcBorders>
                    <w:tl2br w:val="nil"/>
                    <w:tr2bl w:val="nil"/>
                  </w:tcBorders>
                  <w:shd w:val="clear" w:color="auto" w:fill="auto"/>
                  <w:noWrap w:val="0"/>
                  <w:vAlign w:val="center"/>
                </w:tcPr>
                <w:p w14:paraId="240CA579">
                  <w:pPr>
                    <w:jc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油压机</w:t>
                  </w:r>
                </w:p>
              </w:tc>
              <w:tc>
                <w:tcPr>
                  <w:tcW w:w="1586" w:type="pct"/>
                  <w:tcBorders>
                    <w:tl2br w:val="nil"/>
                    <w:tr2bl w:val="nil"/>
                  </w:tcBorders>
                  <w:shd w:val="clear" w:color="auto" w:fill="auto"/>
                  <w:noWrap w:val="0"/>
                  <w:vAlign w:val="center"/>
                </w:tcPr>
                <w:p w14:paraId="6198ABD8">
                  <w:pPr>
                    <w:jc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QH-VC200-3RT</w:t>
                  </w:r>
                </w:p>
              </w:tc>
              <w:tc>
                <w:tcPr>
                  <w:tcW w:w="493" w:type="pct"/>
                  <w:tcBorders>
                    <w:tl2br w:val="nil"/>
                    <w:tr2bl w:val="nil"/>
                  </w:tcBorders>
                  <w:shd w:val="clear" w:color="auto" w:fill="auto"/>
                  <w:noWrap w:val="0"/>
                  <w:vAlign w:val="center"/>
                </w:tcPr>
                <w:p w14:paraId="38E10F06">
                  <w:pPr>
                    <w:jc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1192" w:type="pct"/>
                  <w:tcBorders>
                    <w:tl2br w:val="nil"/>
                    <w:tr2bl w:val="nil"/>
                  </w:tcBorders>
                  <w:noWrap w:val="0"/>
                  <w:vAlign w:val="center"/>
                </w:tcPr>
                <w:p w14:paraId="2C0A1F02">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硫化成型</w:t>
                  </w:r>
                </w:p>
              </w:tc>
            </w:tr>
            <w:tr w14:paraId="03CBA4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0" w:type="pct"/>
                  <w:tcBorders>
                    <w:tl2br w:val="nil"/>
                    <w:tr2bl w:val="nil"/>
                  </w:tcBorders>
                  <w:noWrap w:val="0"/>
                  <w:vAlign w:val="center"/>
                </w:tcPr>
                <w:p w14:paraId="20FBFA70">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1398" w:type="pct"/>
                  <w:tcBorders>
                    <w:tl2br w:val="nil"/>
                    <w:tr2bl w:val="nil"/>
                  </w:tcBorders>
                  <w:shd w:val="clear" w:color="auto" w:fill="auto"/>
                  <w:noWrap w:val="0"/>
                  <w:vAlign w:val="center"/>
                </w:tcPr>
                <w:p w14:paraId="60AF77BB">
                  <w:pPr>
                    <w:jc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塑料注射成型机</w:t>
                  </w:r>
                </w:p>
              </w:tc>
              <w:tc>
                <w:tcPr>
                  <w:tcW w:w="1586" w:type="pct"/>
                  <w:tcBorders>
                    <w:tl2br w:val="nil"/>
                    <w:tr2bl w:val="nil"/>
                  </w:tcBorders>
                  <w:shd w:val="clear" w:color="auto" w:fill="auto"/>
                  <w:noWrap w:val="0"/>
                  <w:vAlign w:val="center"/>
                </w:tcPr>
                <w:p w14:paraId="4F5B1102">
                  <w:pPr>
                    <w:jc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MA1200/400SE+</w:t>
                  </w:r>
                </w:p>
              </w:tc>
              <w:tc>
                <w:tcPr>
                  <w:tcW w:w="493" w:type="pct"/>
                  <w:tcBorders>
                    <w:tl2br w:val="nil"/>
                    <w:tr2bl w:val="nil"/>
                  </w:tcBorders>
                  <w:shd w:val="clear" w:color="auto" w:fill="auto"/>
                  <w:noWrap w:val="0"/>
                  <w:vAlign w:val="center"/>
                </w:tcPr>
                <w:p w14:paraId="192ABA47">
                  <w:pPr>
                    <w:jc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8</w:t>
                  </w:r>
                </w:p>
              </w:tc>
              <w:tc>
                <w:tcPr>
                  <w:tcW w:w="1192" w:type="pct"/>
                  <w:tcBorders>
                    <w:tl2br w:val="nil"/>
                    <w:tr2bl w:val="nil"/>
                  </w:tcBorders>
                  <w:noWrap w:val="0"/>
                  <w:vAlign w:val="center"/>
                </w:tcPr>
                <w:p w14:paraId="58CDA57C">
                  <w:pPr>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注射成型</w:t>
                  </w:r>
                </w:p>
              </w:tc>
            </w:tr>
            <w:tr w14:paraId="677ABE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0" w:type="pct"/>
                  <w:tcBorders>
                    <w:tl2br w:val="nil"/>
                    <w:tr2bl w:val="nil"/>
                  </w:tcBorders>
                  <w:noWrap w:val="0"/>
                  <w:vAlign w:val="center"/>
                </w:tcPr>
                <w:p w14:paraId="5E116AEA">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w:t>
                  </w:r>
                </w:p>
              </w:tc>
              <w:tc>
                <w:tcPr>
                  <w:tcW w:w="1398" w:type="pct"/>
                  <w:tcBorders>
                    <w:tl2br w:val="nil"/>
                    <w:tr2bl w:val="nil"/>
                  </w:tcBorders>
                  <w:noWrap w:val="0"/>
                  <w:vAlign w:val="center"/>
                </w:tcPr>
                <w:p w14:paraId="42920E4E">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冷却塔</w:t>
                  </w:r>
                </w:p>
              </w:tc>
              <w:tc>
                <w:tcPr>
                  <w:tcW w:w="1586" w:type="pct"/>
                  <w:tcBorders>
                    <w:tl2br w:val="nil"/>
                    <w:tr2bl w:val="nil"/>
                  </w:tcBorders>
                  <w:noWrap w:val="0"/>
                  <w:vAlign w:val="center"/>
                </w:tcPr>
                <w:p w14:paraId="7EDF963D">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10m</w:t>
                  </w:r>
                  <w:r>
                    <w:rPr>
                      <w:rFonts w:hint="eastAsia" w:cs="Times New Roman"/>
                      <w:color w:val="000000" w:themeColor="text1"/>
                      <w:highlight w:val="none"/>
                      <w:vertAlign w:val="superscript"/>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/h</w:t>
                  </w:r>
                </w:p>
              </w:tc>
              <w:tc>
                <w:tcPr>
                  <w:tcW w:w="493" w:type="pct"/>
                  <w:tcBorders>
                    <w:tl2br w:val="nil"/>
                    <w:tr2bl w:val="nil"/>
                  </w:tcBorders>
                  <w:noWrap w:val="0"/>
                  <w:vAlign w:val="center"/>
                </w:tcPr>
                <w:p w14:paraId="75012EE0">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1192" w:type="pct"/>
                  <w:tcBorders>
                    <w:tl2br w:val="nil"/>
                    <w:tr2bl w:val="nil"/>
                  </w:tcBorders>
                  <w:noWrap w:val="0"/>
                  <w:vAlign w:val="center"/>
                </w:tcPr>
                <w:p w14:paraId="295EBBB7">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冷却</w:t>
                  </w:r>
                </w:p>
              </w:tc>
            </w:tr>
            <w:tr w14:paraId="4A1298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4" w:type="pct"/>
                  <w:gridSpan w:val="3"/>
                  <w:tcBorders>
                    <w:tl2br w:val="nil"/>
                    <w:tr2bl w:val="nil"/>
                  </w:tcBorders>
                  <w:noWrap w:val="0"/>
                  <w:vAlign w:val="center"/>
                </w:tcPr>
                <w:p w14:paraId="4B6601B8">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合计</w:t>
                  </w:r>
                </w:p>
              </w:tc>
              <w:tc>
                <w:tcPr>
                  <w:tcW w:w="493" w:type="pct"/>
                  <w:tcBorders>
                    <w:tl2br w:val="nil"/>
                    <w:tr2bl w:val="nil"/>
                  </w:tcBorders>
                  <w:noWrap w:val="0"/>
                  <w:vAlign w:val="center"/>
                </w:tcPr>
                <w:p w14:paraId="1F8732D0">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13</w:t>
                  </w:r>
                </w:p>
              </w:tc>
              <w:tc>
                <w:tcPr>
                  <w:tcW w:w="1192" w:type="pct"/>
                  <w:tcBorders>
                    <w:tl2br w:val="nil"/>
                    <w:tr2bl w:val="nil"/>
                  </w:tcBorders>
                  <w:noWrap w:val="0"/>
                  <w:vAlign w:val="center"/>
                </w:tcPr>
                <w:p w14:paraId="39272172">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bl>
          <w:p w14:paraId="3348FB43">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7、周边环境概况及厂区平面布置情况</w:t>
            </w:r>
          </w:p>
          <w:p w14:paraId="60B0B7D6">
            <w:pPr>
              <w:keepNext w:val="0"/>
              <w:keepLines w:val="0"/>
              <w:pageBreakBefore w:val="0"/>
              <w:widowControl w:val="0"/>
              <w:tabs>
                <w:tab w:val="left" w:pos="2160"/>
              </w:tabs>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本项目位于</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南京市江宁区禄口街道</w:t>
            </w:r>
            <w:r>
              <w:rPr>
                <w:rFonts w:hint="eastAsia" w:cs="Times New Roman"/>
                <w:color w:val="000000" w:themeColor="text1"/>
                <w:sz w:val="24"/>
                <w:szCs w:val="24"/>
                <w:highlight w:val="none"/>
                <w:lang w:val="en-US" w:eastAsia="zh-CN"/>
                <w14:textFill>
                  <w14:solidFill>
                    <w14:schemeClr w14:val="tx1"/>
                  </w14:solidFill>
                </w14:textFill>
              </w:rPr>
              <w:t>蓝天路218号</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，本项目南侧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东</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侧为</w:t>
            </w:r>
            <w:r>
              <w:rPr>
                <w:rFonts w:hint="eastAsia" w:ascii="Times New Roman" w:hAnsi="Times New Roman" w:eastAsia="宋体" w:cs="Times New Roman"/>
                <w:color w:val="000000" w:themeColor="text1"/>
                <w:sz w:val="24"/>
                <w:szCs w:val="24"/>
                <w:highlight w:val="none"/>
                <w:lang w:val="zh-CN" w:eastAsia="zh-CN"/>
                <w14:textFill>
                  <w14:solidFill>
                    <w14:schemeClr w14:val="tx1"/>
                  </w14:solidFill>
                </w14:textFill>
              </w:rPr>
              <w:t>壹创智谷蓝天工园</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内企业</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zh-CN" w:eastAsia="zh-CN"/>
                <w14:textFill>
                  <w14:solidFill>
                    <w14:schemeClr w14:val="tx1"/>
                  </w14:solidFill>
                </w14:textFill>
              </w:rPr>
              <w:t>壹创智谷蓝天工园</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东侧为</w:t>
            </w:r>
            <w:r>
              <w:rPr>
                <w:rFonts w:hint="eastAsia" w:ascii="Times New Roman" w:hAnsi="Times New Roman" w:eastAsia="宋体" w:cs="Times New Roman"/>
                <w:color w:val="000000" w:themeColor="text1"/>
                <w:sz w:val="24"/>
                <w:szCs w:val="24"/>
                <w:highlight w:val="none"/>
                <w:lang w:val="zh-CN" w:eastAsia="zh-CN"/>
                <w14:textFill>
                  <w14:solidFill>
                    <w14:schemeClr w14:val="tx1"/>
                  </w14:solidFill>
                </w14:textFill>
              </w:rPr>
              <w:t>创贝高速传动机械公司</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，南侧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南京恒昌轻工机械有限公司</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西侧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为金腾重载齿轮箱公司</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二分厂</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北侧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隔蓝天</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路</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为南京蒙威汽车零部件有限公司、钰鹰机械</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。项目厂区500m范围内</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保护</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目标</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为云禄湾、招商依云郡、南京市百家湖小学分校空港小学</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。项目周围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环境保护目标分布</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见附图2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34FA3289">
            <w:pPr>
              <w:keepNext w:val="0"/>
              <w:keepLines w:val="0"/>
              <w:pageBreakBefore w:val="0"/>
              <w:widowControl w:val="0"/>
              <w:tabs>
                <w:tab w:val="left" w:pos="2160"/>
              </w:tabs>
              <w:kinsoku/>
              <w:wordWrap/>
              <w:overflowPunct/>
              <w:topLinePunct w:val="0"/>
              <w:autoSpaceDE/>
              <w:autoSpaceDN/>
              <w:bidi w:val="0"/>
              <w:adjustRightInd/>
              <w:snapToGrid/>
              <w:spacing w:line="460" w:lineRule="exact"/>
              <w:ind w:firstLine="480" w:firstLineChars="200"/>
              <w:textAlignment w:val="auto"/>
              <w:rPr>
                <w:color w:val="000000" w:themeColor="text1"/>
                <w:sz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本项目租赁</w:t>
            </w:r>
            <w:r>
              <w:rPr>
                <w:rFonts w:hint="eastAsia"/>
                <w:color w:val="000000" w:themeColor="text1"/>
                <w:sz w:val="24"/>
                <w:highlight w:val="none"/>
                <w:lang w:eastAsia="zh-CN"/>
                <w14:textFill>
                  <w14:solidFill>
                    <w14:schemeClr w14:val="tx1"/>
                  </w14:solidFill>
                </w14:textFill>
              </w:rPr>
              <w:t>南京亚泰汽车部件制造有限公司</w:t>
            </w:r>
            <w:r>
              <w:rPr>
                <w:rFonts w:hint="eastAsia"/>
                <w:color w:val="000000" w:themeColor="text1"/>
                <w:sz w:val="24"/>
                <w:szCs w:val="24"/>
                <w:highlight w:val="none"/>
                <w:lang w:val="en-US" w:eastAsia="zh-CN"/>
                <w14:textFill>
                  <w14:solidFill>
                    <w14:schemeClr w14:val="tx1"/>
                  </w14:solidFill>
                </w14:textFill>
              </w:rPr>
              <w:t>现有生产厂房。本项目</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新建11条汽车连接件生产线</w:t>
            </w:r>
            <w:r>
              <w:rPr>
                <w:rFonts w:hint="eastAsia"/>
                <w:color w:val="000000" w:themeColor="text1"/>
                <w:sz w:val="24"/>
                <w:szCs w:val="24"/>
                <w:highlight w:val="none"/>
                <w:lang w:val="en-US" w:eastAsia="zh-CN"/>
                <w14:textFill>
                  <w14:solidFill>
                    <w14:schemeClr w14:val="tx1"/>
                  </w14:solidFill>
                </w14:textFill>
              </w:rPr>
              <w:t>，在西侧设置硅胶车间，在北侧设置成型塑胶车间、在南侧设置自动组装车间。具体平面布置见附图3、附图3-1</w:t>
            </w:r>
            <w:r>
              <w:rPr>
                <w:color w:val="000000" w:themeColor="text1"/>
                <w:sz w:val="24"/>
                <w:highlight w:val="none"/>
                <w14:textFill>
                  <w14:solidFill>
                    <w14:schemeClr w14:val="tx1"/>
                  </w14:solidFill>
                </w14:textFill>
              </w:rPr>
              <w:t>。</w:t>
            </w:r>
          </w:p>
          <w:p w14:paraId="217B890E">
            <w:pPr>
              <w:numPr>
                <w:ilvl w:val="0"/>
                <w:numId w:val="0"/>
              </w:numPr>
              <w:adjustRightInd w:val="0"/>
              <w:snapToGrid w:val="0"/>
              <w:spacing w:line="440" w:lineRule="exact"/>
              <w:ind w:firstLine="480" w:firstLineChars="200"/>
              <w:rPr>
                <w:color w:val="000000" w:themeColor="text1"/>
                <w:sz w:val="24"/>
                <w:highlight w:val="none"/>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9</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color w:val="000000" w:themeColor="text1"/>
                <w:sz w:val="24"/>
                <w:highlight w:val="none"/>
                <w14:textFill>
                  <w14:solidFill>
                    <w14:schemeClr w14:val="tx1"/>
                  </w14:solidFill>
                </w14:textFill>
              </w:rPr>
              <w:t>水平衡</w:t>
            </w:r>
          </w:p>
          <w:p w14:paraId="69BC41CA">
            <w:pPr>
              <w:spacing w:line="460" w:lineRule="exact"/>
              <w:ind w:firstLine="480" w:firstLineChars="200"/>
              <w:rPr>
                <w:rFonts w:hint="eastAsia" w:ascii="Times New Roman" w:hAnsi="Times New Roman" w:eastAsia="宋体" w:cs="Times New Roman"/>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sz w:val="24"/>
                <w:highlight w:val="none"/>
                <w14:textFill>
                  <w14:solidFill>
                    <w14:schemeClr w14:val="tx1"/>
                  </w14:solidFill>
                </w14:textFill>
              </w:rPr>
              <w:t>（1）生活用水</w:t>
            </w:r>
          </w:p>
          <w:p w14:paraId="7E278969">
            <w:pPr>
              <w:spacing w:line="460" w:lineRule="exact"/>
              <w:ind w:firstLine="480" w:firstLineChars="200"/>
              <w:rPr>
                <w:rFonts w:hint="eastAsia" w:ascii="Times New Roman" w:hAnsi="Times New Roman" w:eastAsia="宋体" w:cs="Times New Roman"/>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sz w:val="24"/>
                <w:highlight w:val="none"/>
                <w14:textFill>
                  <w14:solidFill>
                    <w14:schemeClr w14:val="tx1"/>
                  </w14:solidFill>
                </w14:textFill>
              </w:rPr>
              <w:t>本项目职工定员</w:t>
            </w:r>
            <w:r>
              <w:rPr>
                <w:rFonts w:hint="eastAsia" w:cs="Times New Roman"/>
                <w:color w:val="000000" w:themeColor="text1"/>
                <w:sz w:val="24"/>
                <w:highlight w:val="none"/>
                <w:lang w:val="en-US" w:eastAsia="zh-CN"/>
                <w14:textFill>
                  <w14:solidFill>
                    <w14:schemeClr w14:val="tx1"/>
                  </w14:solidFill>
                </w14:textFill>
              </w:rPr>
              <w:t>16</w:t>
            </w:r>
            <w:r>
              <w:rPr>
                <w:rFonts w:hint="eastAsia" w:ascii="Times New Roman" w:hAnsi="Times New Roman" w:eastAsia="宋体" w:cs="Times New Roman"/>
                <w:color w:val="000000" w:themeColor="text1"/>
                <w:sz w:val="24"/>
                <w:highlight w:val="none"/>
                <w14:textFill>
                  <w14:solidFill>
                    <w14:schemeClr w14:val="tx1"/>
                  </w14:solidFill>
                </w14:textFill>
              </w:rPr>
              <w:t>人，年工作300天，</w:t>
            </w:r>
            <w:r>
              <w:rPr>
                <w:rFonts w:hint="default" w:ascii="Times New Roman" w:hAnsi="Times New Roman" w:cs="Times New Roman"/>
                <w:color w:val="000000" w:themeColor="text1"/>
                <w:sz w:val="24"/>
                <w:szCs w:val="32"/>
                <w:highlight w:val="none"/>
                <w14:textFill>
                  <w14:solidFill>
                    <w14:schemeClr w14:val="tx1"/>
                  </w14:solidFill>
                </w14:textFill>
              </w:rPr>
              <w:t>根据</w:t>
            </w:r>
            <w:r>
              <w:rPr>
                <w:rFonts w:hint="eastAsia" w:ascii="Times New Roman" w:hAnsi="Times New Roman" w:cs="Times New Roman"/>
                <w:color w:val="000000" w:themeColor="text1"/>
                <w:sz w:val="24"/>
                <w:szCs w:val="32"/>
                <w:highlight w:val="none"/>
                <w:lang w:eastAsia="zh-CN"/>
                <w14:textFill>
                  <w14:solidFill>
                    <w14:schemeClr w14:val="tx1"/>
                  </w14:solidFill>
                </w14:textFill>
              </w:rPr>
              <w:t>《江苏省工业、建筑业、服务业、生活和农业用水定额（2025年修订）》</w:t>
            </w:r>
            <w:r>
              <w:rPr>
                <w:rFonts w:hint="default" w:ascii="Times New Roman" w:hAnsi="Times New Roman" w:cs="Times New Roman"/>
                <w:color w:val="000000" w:themeColor="text1"/>
                <w:sz w:val="24"/>
                <w:szCs w:val="32"/>
                <w:highlight w:val="none"/>
                <w14:textFill>
                  <w14:solidFill>
                    <w14:schemeClr w14:val="tx1"/>
                  </w14:solidFill>
                </w14:textFill>
              </w:rPr>
              <w:t>中的城市居民生活用水定额为</w:t>
            </w:r>
            <w:r>
              <w:rPr>
                <w:rFonts w:hint="eastAsia" w:ascii="Times New Roman" w:hAnsi="Times New Roman" w:cs="Times New Roman"/>
                <w:color w:val="000000" w:themeColor="text1"/>
                <w:sz w:val="24"/>
                <w:szCs w:val="32"/>
                <w:highlight w:val="none"/>
                <w:lang w:val="en-US" w:eastAsia="zh-CN"/>
                <w14:textFill>
                  <w14:solidFill>
                    <w14:schemeClr w14:val="tx1"/>
                  </w14:solidFill>
                </w14:textFill>
              </w:rPr>
              <w:t>1</w:t>
            </w:r>
            <w:r>
              <w:rPr>
                <w:rFonts w:hint="default" w:ascii="Times New Roman" w:hAnsi="Times New Roman" w:cs="Times New Roman"/>
                <w:color w:val="000000" w:themeColor="text1"/>
                <w:sz w:val="24"/>
                <w:szCs w:val="32"/>
                <w:highlight w:val="none"/>
                <w14:textFill>
                  <w14:solidFill>
                    <w14:schemeClr w14:val="tx1"/>
                  </w14:solidFill>
                </w14:textFill>
              </w:rPr>
              <w:t>50L/（人·d）</w:t>
            </w:r>
            <w:r>
              <w:rPr>
                <w:rFonts w:hint="eastAsia" w:ascii="Times New Roman" w:hAnsi="Times New Roman" w:eastAsia="宋体" w:cs="Times New Roman"/>
                <w:color w:val="000000" w:themeColor="text1"/>
                <w:sz w:val="24"/>
                <w:highlight w:val="none"/>
                <w14:textFill>
                  <w14:solidFill>
                    <w14:schemeClr w14:val="tx1"/>
                  </w14:solidFill>
                </w14:textFill>
              </w:rPr>
              <w:t>，厂区内不提供住宿，</w:t>
            </w:r>
            <w:r>
              <w:rPr>
                <w:rFonts w:hint="default" w:ascii="Times New Roman" w:hAnsi="Times New Roman" w:cs="Times New Roman"/>
                <w:color w:val="000000" w:themeColor="text1"/>
                <w:sz w:val="24"/>
                <w:szCs w:val="32"/>
                <w:highlight w:val="none"/>
                <w14:textFill>
                  <w14:solidFill>
                    <w14:schemeClr w14:val="tx1"/>
                  </w14:solidFill>
                </w14:textFill>
              </w:rPr>
              <w:t>本项目</w:t>
            </w:r>
            <w:r>
              <w:rPr>
                <w:rFonts w:hint="eastAsia" w:ascii="Times New Roman" w:hAnsi="Times New Roman" w:eastAsia="宋体" w:cs="Times New Roman"/>
                <w:color w:val="000000" w:themeColor="text1"/>
                <w:sz w:val="24"/>
                <w:highlight w:val="none"/>
                <w14:textFill>
                  <w14:solidFill>
                    <w14:schemeClr w14:val="tx1"/>
                  </w14:solidFill>
                </w14:textFill>
              </w:rPr>
              <w:t>用水定额按50L/人·d，则生活用水量为</w:t>
            </w:r>
            <w:r>
              <w:rPr>
                <w:rFonts w:hint="eastAsia" w:cs="Times New Roman"/>
                <w:color w:val="000000" w:themeColor="text1"/>
                <w:sz w:val="24"/>
                <w:highlight w:val="none"/>
                <w:lang w:val="en-US" w:eastAsia="zh-CN"/>
                <w14:textFill>
                  <w14:solidFill>
                    <w14:schemeClr w14:val="tx1"/>
                  </w14:solidFill>
                </w14:textFill>
              </w:rPr>
              <w:t>240</w:t>
            </w:r>
            <w:r>
              <w:rPr>
                <w:rFonts w:hint="eastAsia" w:ascii="Times New Roman" w:hAnsi="Times New Roman" w:eastAsia="宋体" w:cs="Times New Roman"/>
                <w:color w:val="000000" w:themeColor="text1"/>
                <w:sz w:val="24"/>
                <w:highlight w:val="none"/>
                <w14:textFill>
                  <w14:solidFill>
                    <w14:schemeClr w14:val="tx1"/>
                  </w14:solidFill>
                </w14:textFill>
              </w:rPr>
              <w:t>m</w:t>
            </w:r>
            <w:r>
              <w:rPr>
                <w:rFonts w:hint="eastAsia" w:ascii="Times New Roman" w:hAnsi="Times New Roman" w:eastAsia="宋体" w:cs="Times New Roman"/>
                <w:color w:val="000000" w:themeColor="text1"/>
                <w:sz w:val="24"/>
                <w:highlight w:val="none"/>
                <w:vertAlign w:val="superscript"/>
                <w14:textFill>
                  <w14:solidFill>
                    <w14:schemeClr w14:val="tx1"/>
                  </w14:solidFill>
                </w14:textFill>
              </w:rPr>
              <w:t>3</w:t>
            </w:r>
            <w:r>
              <w:rPr>
                <w:rFonts w:hint="eastAsia" w:ascii="Times New Roman" w:hAnsi="Times New Roman" w:eastAsia="宋体" w:cs="Times New Roman"/>
                <w:color w:val="000000" w:themeColor="text1"/>
                <w:sz w:val="24"/>
                <w:highlight w:val="none"/>
                <w14:textFill>
                  <w14:solidFill>
                    <w14:schemeClr w14:val="tx1"/>
                  </w14:solidFill>
                </w14:textFill>
              </w:rPr>
              <w:t>/a，生活污水产生量按用水量的80%计，则生活污水排放量约为</w:t>
            </w:r>
            <w:r>
              <w:rPr>
                <w:rFonts w:hint="eastAsia" w:cs="Times New Roman"/>
                <w:color w:val="000000" w:themeColor="text1"/>
                <w:sz w:val="24"/>
                <w:highlight w:val="none"/>
                <w:lang w:val="en-US" w:eastAsia="zh-CN"/>
                <w14:textFill>
                  <w14:solidFill>
                    <w14:schemeClr w14:val="tx1"/>
                  </w14:solidFill>
                </w14:textFill>
              </w:rPr>
              <w:t>192</w:t>
            </w:r>
            <w:r>
              <w:rPr>
                <w:rFonts w:hint="eastAsia" w:ascii="Times New Roman" w:hAnsi="Times New Roman" w:eastAsia="宋体" w:cs="Times New Roman"/>
                <w:color w:val="000000" w:themeColor="text1"/>
                <w:sz w:val="24"/>
                <w:highlight w:val="none"/>
                <w14:textFill>
                  <w14:solidFill>
                    <w14:schemeClr w14:val="tx1"/>
                  </w14:solidFill>
                </w14:textFill>
              </w:rPr>
              <w:t>m</w:t>
            </w:r>
            <w:r>
              <w:rPr>
                <w:rFonts w:hint="eastAsia" w:ascii="Times New Roman" w:hAnsi="Times New Roman" w:eastAsia="宋体" w:cs="Times New Roman"/>
                <w:color w:val="000000" w:themeColor="text1"/>
                <w:sz w:val="24"/>
                <w:highlight w:val="none"/>
                <w:vertAlign w:val="superscript"/>
                <w14:textFill>
                  <w14:solidFill>
                    <w14:schemeClr w14:val="tx1"/>
                  </w14:solidFill>
                </w14:textFill>
              </w:rPr>
              <w:t>3</w:t>
            </w:r>
            <w:r>
              <w:rPr>
                <w:rFonts w:hint="eastAsia" w:ascii="Times New Roman" w:hAnsi="Times New Roman" w:eastAsia="宋体" w:cs="Times New Roman"/>
                <w:color w:val="000000" w:themeColor="text1"/>
                <w:sz w:val="24"/>
                <w:highlight w:val="none"/>
                <w14:textFill>
                  <w14:solidFill>
                    <w14:schemeClr w14:val="tx1"/>
                  </w14:solidFill>
                </w14:textFill>
              </w:rPr>
              <w:t>/a。</w:t>
            </w:r>
          </w:p>
          <w:p w14:paraId="5F6B41CB">
            <w:pPr>
              <w:spacing w:line="460" w:lineRule="exact"/>
              <w:ind w:firstLine="480" w:firstLineChars="200"/>
              <w:rPr>
                <w:rFonts w:hint="eastAsia"/>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sz w:val="24"/>
                <w:highlight w:val="none"/>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sz w:val="24"/>
                <w:highlight w:val="none"/>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冷却</w:t>
            </w:r>
            <w:r>
              <w:rPr>
                <w:rFonts w:hint="eastAsia"/>
                <w:color w:val="000000" w:themeColor="text1"/>
                <w:sz w:val="24"/>
                <w:highlight w:val="none"/>
                <w14:textFill>
                  <w14:solidFill>
                    <w14:schemeClr w14:val="tx1"/>
                  </w14:solidFill>
                </w14:textFill>
              </w:rPr>
              <w:t>用水</w:t>
            </w:r>
          </w:p>
          <w:p w14:paraId="75ED4B4F">
            <w:pPr>
              <w:adjustRightInd w:val="0"/>
              <w:snapToGrid w:val="0"/>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硫化成型、</w:t>
            </w:r>
            <w:r>
              <w:rPr>
                <w:rFonts w:hint="eastAsia"/>
                <w:color w:val="000000" w:themeColor="text1"/>
                <w:sz w:val="24"/>
                <w:highlight w:val="none"/>
                <w:lang w:val="en-US" w:eastAsia="zh-CN"/>
                <w14:textFill>
                  <w14:solidFill>
                    <w14:schemeClr w14:val="tx1"/>
                  </w14:solidFill>
                </w14:textFill>
              </w:rPr>
              <w:t>注射</w:t>
            </w:r>
            <w:r>
              <w:rPr>
                <w:color w:val="000000" w:themeColor="text1"/>
                <w:sz w:val="24"/>
                <w:highlight w:val="none"/>
                <w14:textFill>
                  <w14:solidFill>
                    <w14:schemeClr w14:val="tx1"/>
                  </w14:solidFill>
                </w14:textFill>
              </w:rPr>
              <w:t>成型冷却需要使用</w:t>
            </w:r>
            <w:r>
              <w:rPr>
                <w:rFonts w:hint="eastAsia"/>
                <w:color w:val="000000" w:themeColor="text1"/>
                <w:sz w:val="24"/>
                <w:highlight w:val="none"/>
                <w:lang w:val="en-US" w:eastAsia="zh-CN"/>
                <w14:textFill>
                  <w14:solidFill>
                    <w14:schemeClr w14:val="tx1"/>
                  </w14:solidFill>
                </w14:textFill>
              </w:rPr>
              <w:t>自来</w:t>
            </w:r>
            <w:r>
              <w:rPr>
                <w:color w:val="000000" w:themeColor="text1"/>
                <w:sz w:val="24"/>
                <w:highlight w:val="none"/>
                <w14:textFill>
                  <w14:solidFill>
                    <w14:schemeClr w14:val="tx1"/>
                  </w14:solidFill>
                </w14:textFill>
              </w:rPr>
              <w:t>水，冷却水循环水量</w:t>
            </w:r>
            <w:r>
              <w:rPr>
                <w:color w:val="000000" w:themeColor="text1"/>
                <w:spacing w:val="6"/>
                <w:sz w:val="24"/>
                <w:highlight w:val="none"/>
                <w14:textFill>
                  <w14:solidFill>
                    <w14:schemeClr w14:val="tx1"/>
                  </w14:solidFill>
                </w14:textFill>
              </w:rPr>
              <w:t>为</w:t>
            </w:r>
            <w:r>
              <w:rPr>
                <w:rFonts w:hint="eastAsia"/>
                <w:color w:val="000000" w:themeColor="text1"/>
                <w:spacing w:val="6"/>
                <w:sz w:val="24"/>
                <w:highlight w:val="none"/>
                <w:lang w:val="en-US" w:eastAsia="zh-CN"/>
                <w14:textFill>
                  <w14:solidFill>
                    <w14:schemeClr w14:val="tx1"/>
                  </w14:solidFill>
                </w14:textFill>
              </w:rPr>
              <w:t>1</w:t>
            </w:r>
            <w:r>
              <w:rPr>
                <w:color w:val="000000" w:themeColor="text1"/>
                <w:spacing w:val="6"/>
                <w:sz w:val="24"/>
                <w:highlight w:val="none"/>
                <w14:textFill>
                  <w14:solidFill>
                    <w14:schemeClr w14:val="tx1"/>
                  </w14:solidFill>
                </w14:textFill>
              </w:rPr>
              <w:t>0m</w:t>
            </w:r>
            <w:r>
              <w:rPr>
                <w:color w:val="000000" w:themeColor="text1"/>
                <w:spacing w:val="6"/>
                <w:sz w:val="24"/>
                <w:highlight w:val="none"/>
                <w:vertAlign w:val="superscript"/>
                <w14:textFill>
                  <w14:solidFill>
                    <w14:schemeClr w14:val="tx1"/>
                  </w14:solidFill>
                </w14:textFill>
              </w:rPr>
              <w:t>3</w:t>
            </w:r>
            <w:r>
              <w:rPr>
                <w:color w:val="000000" w:themeColor="text1"/>
                <w:spacing w:val="6"/>
                <w:sz w:val="24"/>
                <w:highlight w:val="none"/>
                <w14:textFill>
                  <w14:solidFill>
                    <w14:schemeClr w14:val="tx1"/>
                  </w14:solidFill>
                </w14:textFill>
              </w:rPr>
              <w:t>/h，年运行</w:t>
            </w:r>
            <w:r>
              <w:rPr>
                <w:rFonts w:hint="eastAsia"/>
                <w:color w:val="000000" w:themeColor="text1"/>
                <w:spacing w:val="6"/>
                <w:sz w:val="24"/>
                <w:highlight w:val="none"/>
                <w:lang w:val="en-US" w:eastAsia="zh-CN"/>
                <w14:textFill>
                  <w14:solidFill>
                    <w14:schemeClr w14:val="tx1"/>
                  </w14:solidFill>
                </w14:textFill>
              </w:rPr>
              <w:t>48</w:t>
            </w:r>
            <w:r>
              <w:rPr>
                <w:color w:val="000000" w:themeColor="text1"/>
                <w:spacing w:val="6"/>
                <w:sz w:val="24"/>
                <w:highlight w:val="none"/>
                <w14:textFill>
                  <w14:solidFill>
                    <w14:schemeClr w14:val="tx1"/>
                  </w14:solidFill>
                </w14:textFill>
              </w:rPr>
              <w:t>00h，</w:t>
            </w:r>
            <w:r>
              <w:rPr>
                <w:color w:val="000000" w:themeColor="text1"/>
                <w:sz w:val="24"/>
                <w:highlight w:val="none"/>
                <w14:textFill>
                  <w14:solidFill>
                    <w14:schemeClr w14:val="tx1"/>
                  </w14:solidFill>
                </w14:textFill>
              </w:rPr>
              <w:t>循环总量为</w:t>
            </w:r>
            <w:r>
              <w:rPr>
                <w:rFonts w:hint="eastAsia"/>
                <w:color w:val="000000" w:themeColor="text1"/>
                <w:sz w:val="24"/>
                <w:highlight w:val="none"/>
                <w:lang w:val="en-US" w:eastAsia="zh-CN"/>
                <w14:textFill>
                  <w14:solidFill>
                    <w14:schemeClr w14:val="tx1"/>
                  </w14:solidFill>
                </w14:textFill>
              </w:rPr>
              <w:t>48</w:t>
            </w:r>
            <w:r>
              <w:rPr>
                <w:color w:val="000000" w:themeColor="text1"/>
                <w:sz w:val="24"/>
                <w:highlight w:val="none"/>
                <w14:textFill>
                  <w14:solidFill>
                    <w14:schemeClr w14:val="tx1"/>
                  </w14:solidFill>
                </w14:textFill>
              </w:rPr>
              <w:t>000t/a，水箱需适时补充损耗冷却水，损耗水量参考《工业循环冷却水处理设计规范》（GB/T50050-2017）按照公式进行计算：</w:t>
            </w:r>
          </w:p>
          <w:p w14:paraId="0213D2C7">
            <w:pPr>
              <w:adjustRightInd w:val="0"/>
              <w:snapToGrid w:val="0"/>
              <w:spacing w:line="460" w:lineRule="exact"/>
              <w:ind w:firstLine="480" w:firstLineChars="200"/>
              <w:rPr>
                <w:color w:val="000000" w:themeColor="text1"/>
                <w:sz w:val="24"/>
                <w:highlight w:val="none"/>
                <w14:textFill>
                  <w14:solidFill>
                    <w14:schemeClr w14:val="tx1"/>
                  </w14:solidFill>
                </w14:textFill>
              </w:rPr>
            </w:pPr>
            <m:oMathPara>
              <m:oMath>
                <m:r>
                  <m:rPr>
                    <m:sty m:val="p"/>
                  </m:rPr>
                  <w:rPr>
                    <w:rFonts w:ascii="Cambria Math" w:hAnsi="Cambria Math"/>
                    <w:color w:val="000000" w:themeColor="text1"/>
                    <w:sz w:val="24"/>
                    <w:highlight w:val="none"/>
                    <w14:textFill>
                      <w14:solidFill>
                        <w14:schemeClr w14:val="tx1"/>
                      </w14:solidFill>
                    </w14:textFill>
                  </w:rPr>
                  <m:t>Qe=k∗Δt∗Qr</m:t>
                </m:r>
              </m:oMath>
            </m:oMathPara>
          </w:p>
          <w:p w14:paraId="72A8A891">
            <w:pPr>
              <w:adjustRightInd w:val="0"/>
              <w:snapToGrid w:val="0"/>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其中：k—蒸发损失系数（1/℃），本项目取0.0015；</w:t>
            </w:r>
          </w:p>
          <w:p w14:paraId="51773B8D">
            <w:pPr>
              <w:adjustRightInd w:val="0"/>
              <w:snapToGrid w:val="0"/>
              <w:spacing w:line="460" w:lineRule="exact"/>
              <w:ind w:firstLine="1200" w:firstLineChars="5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Δt—循环冷却水进出口温差（℃），</w:t>
            </w:r>
            <w:r>
              <w:rPr>
                <w:rFonts w:hint="eastAsia"/>
                <w:color w:val="000000" w:themeColor="text1"/>
                <w:sz w:val="24"/>
                <w:highlight w:val="none"/>
                <w:lang w:eastAsia="zh-CN"/>
                <w14:textFill>
                  <w14:solidFill>
                    <w14:schemeClr w14:val="tx1"/>
                  </w14:solidFill>
                </w14:textFill>
              </w:rPr>
              <w:t>一般</w:t>
            </w:r>
            <w:r>
              <w:rPr>
                <w:color w:val="000000" w:themeColor="text1"/>
                <w:sz w:val="24"/>
                <w:highlight w:val="none"/>
                <w14:textFill>
                  <w14:solidFill>
                    <w14:schemeClr w14:val="tx1"/>
                  </w14:solidFill>
                </w14:textFill>
              </w:rPr>
              <w:t>取10℃；</w:t>
            </w:r>
          </w:p>
          <w:p w14:paraId="2AF422EE">
            <w:pPr>
              <w:adjustRightInd w:val="0"/>
              <w:snapToGrid w:val="0"/>
              <w:spacing w:line="460" w:lineRule="exact"/>
              <w:ind w:firstLine="1200" w:firstLineChars="5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Qr—循环冷却水量（m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/a）</w:t>
            </w:r>
          </w:p>
          <w:p w14:paraId="01D02362">
            <w:pPr>
              <w:spacing w:line="460" w:lineRule="exact"/>
              <w:ind w:firstLine="480" w:firstLineChars="200"/>
              <w:rPr>
                <w:rFonts w:hint="eastAsia"/>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根据上式计算得出冷却蒸发水量Qe=</w:t>
            </w:r>
            <w:r>
              <w:rPr>
                <w:rFonts w:hint="eastAsia"/>
                <w:color w:val="000000" w:themeColor="text1"/>
                <w:sz w:val="24"/>
                <w:highlight w:val="none"/>
                <w:lang w:val="en-US" w:eastAsia="zh-CN"/>
                <w14:textFill>
                  <w14:solidFill>
                    <w14:schemeClr w14:val="tx1"/>
                  </w14:solidFill>
                </w14:textFill>
              </w:rPr>
              <w:t>720</w:t>
            </w:r>
            <w:r>
              <w:rPr>
                <w:color w:val="000000" w:themeColor="text1"/>
                <w:sz w:val="24"/>
                <w:highlight w:val="none"/>
                <w14:textFill>
                  <w14:solidFill>
                    <w14:schemeClr w14:val="tx1"/>
                  </w14:solidFill>
                </w14:textFill>
              </w:rPr>
              <w:t>t/a；飞溅损失水量</w:t>
            </w:r>
            <w:r>
              <w:rPr>
                <w:rFonts w:hint="eastAsia"/>
                <w:color w:val="000000" w:themeColor="text1"/>
                <w:sz w:val="24"/>
                <w:highlight w:val="none"/>
                <w:lang w:eastAsia="zh-CN"/>
                <w14:textFill>
                  <w14:solidFill>
                    <w14:schemeClr w14:val="tx1"/>
                  </w14:solidFill>
                </w14:textFill>
              </w:rPr>
              <w:t>一般</w:t>
            </w:r>
            <w:r>
              <w:rPr>
                <w:color w:val="000000" w:themeColor="text1"/>
                <w:sz w:val="24"/>
                <w:highlight w:val="none"/>
                <w14:textFill>
                  <w14:solidFill>
                    <w14:schemeClr w14:val="tx1"/>
                  </w14:solidFill>
                </w14:textFill>
              </w:rPr>
              <w:t>取循环水量的0.1%~0.2%，本项目取0.15%，根据计算得出，本项目飞溅损失水量约为</w:t>
            </w:r>
            <w:r>
              <w:rPr>
                <w:rFonts w:hint="eastAsia"/>
                <w:color w:val="000000" w:themeColor="text1"/>
                <w:sz w:val="24"/>
                <w:highlight w:val="none"/>
                <w:lang w:val="en-US" w:eastAsia="zh-CN"/>
                <w14:textFill>
                  <w14:solidFill>
                    <w14:schemeClr w14:val="tx1"/>
                  </w14:solidFill>
                </w14:textFill>
              </w:rPr>
              <w:t>72</w:t>
            </w:r>
            <w:r>
              <w:rPr>
                <w:color w:val="000000" w:themeColor="text1"/>
                <w:sz w:val="24"/>
                <w:highlight w:val="none"/>
                <w14:textFill>
                  <w14:solidFill>
                    <w14:schemeClr w14:val="tx1"/>
                  </w14:solidFill>
                </w14:textFill>
              </w:rPr>
              <w:t>t/a</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冷却水</w:t>
            </w:r>
            <w:r>
              <w:rPr>
                <w:rFonts w:hint="eastAsia"/>
                <w:color w:val="000000" w:themeColor="text1"/>
                <w:sz w:val="24"/>
                <w:highlight w:val="none"/>
                <w:lang w:val="en-US" w:eastAsia="zh-CN"/>
                <w14:textFill>
                  <w14:solidFill>
                    <w14:schemeClr w14:val="tx1"/>
                  </w14:solidFill>
                </w14:textFill>
              </w:rPr>
              <w:t>定期投加阻垢剂，不外排。</w:t>
            </w:r>
          </w:p>
          <w:p w14:paraId="10D7E3B5">
            <w:pPr>
              <w:pStyle w:val="2"/>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object>
                <v:shape id="_x0000_i1025" o:spt="75" type="#_x0000_t75" style="height:116.65pt;width:431pt;" o:ole="t" filled="f" o:preferrelative="t" stroked="f" coordsize="21600,21600">
                  <v:path/>
                  <v:fill on="f" focussize="0,0"/>
                  <v:stroke on="f"/>
                  <v:imagedata r:id="rId17" o:title=""/>
                  <o:lock v:ext="edit" aspectratio="f"/>
                  <w10:wrap type="none"/>
                  <w10:anchorlock/>
                </v:shape>
                <o:OLEObject Type="Embed" ProgID="Visio.Drawing.15" ShapeID="_x0000_i1025" DrawAspect="Content" ObjectID="_1468075725" r:id="rId16">
                  <o:LockedField>false</o:LockedField>
                </o:OLEObject>
              </w:object>
            </w:r>
          </w:p>
          <w:p w14:paraId="203E72E9">
            <w:pPr>
              <w:pStyle w:val="2"/>
              <w:jc w:val="center"/>
              <w:rPr>
                <w:snapToGrid w:val="0"/>
                <w:color w:val="000000" w:themeColor="text1"/>
                <w:sz w:val="30"/>
                <w:szCs w:val="30"/>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图2-</w:t>
            </w:r>
            <w:r>
              <w:rPr>
                <w:rFonts w:hint="eastAsia"/>
                <w:b/>
                <w:bCs/>
                <w:color w:val="000000" w:themeColor="text1"/>
                <w:sz w:val="24"/>
                <w:highlight w:val="none"/>
                <w:lang w:val="en-US" w:eastAsia="zh-CN"/>
                <w14:textFill>
                  <w14:solidFill>
                    <w14:schemeClr w14:val="tx1"/>
                  </w14:solidFill>
                </w14:textFill>
              </w:rPr>
              <w:t xml:space="preserve">1  </w:t>
            </w:r>
            <w:r>
              <w:rPr>
                <w:rFonts w:hint="eastAsia"/>
                <w:b/>
                <w:bCs/>
                <w:color w:val="000000" w:themeColor="text1"/>
                <w:sz w:val="24"/>
                <w:highlight w:val="none"/>
                <w14:textFill>
                  <w14:solidFill>
                    <w14:schemeClr w14:val="tx1"/>
                  </w14:solidFill>
                </w14:textFill>
              </w:rPr>
              <w:t>本项目水平衡图（t/a）</w:t>
            </w:r>
          </w:p>
        </w:tc>
      </w:tr>
    </w:tbl>
    <w:p w14:paraId="15BCDBCB">
      <w:pPr>
        <w:pStyle w:val="34"/>
        <w:keepNext/>
        <w:jc w:val="center"/>
        <w:rPr>
          <w:rFonts w:ascii="Times New Roman" w:hAnsi="Times New Roman"/>
          <w:snapToGrid w:val="0"/>
          <w:color w:val="000000" w:themeColor="text1"/>
          <w:sz w:val="30"/>
          <w:szCs w:val="30"/>
          <w:highlight w:val="none"/>
          <w14:textFill>
            <w14:solidFill>
              <w14:schemeClr w14:val="tx1"/>
            </w14:solidFill>
          </w14:textFill>
        </w:rPr>
        <w:sectPr>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tbl>
      <w:tblPr>
        <w:tblStyle w:val="3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604"/>
      </w:tblGrid>
      <w:tr w14:paraId="0EC9F9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32" w:hRule="atLeast"/>
          <w:jc w:val="center"/>
        </w:trPr>
        <w:tc>
          <w:tcPr>
            <w:tcW w:w="251" w:type="pct"/>
            <w:vAlign w:val="center"/>
          </w:tcPr>
          <w:p w14:paraId="7FDB9834">
            <w:pPr>
              <w:pStyle w:val="34"/>
              <w:adjustRightInd w:val="0"/>
              <w:snapToGrid w:val="0"/>
              <w:spacing w:before="0" w:beforeAutospacing="0" w:after="0" w:afterAutospacing="0" w:line="440" w:lineRule="exact"/>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Cs w:val="24"/>
                <w:highlight w:val="none"/>
                <w14:textFill>
                  <w14:solidFill>
                    <w14:schemeClr w14:val="tx1"/>
                  </w14:solidFill>
                </w14:textFill>
              </w:rPr>
              <w:t>建设内容</w:t>
            </w:r>
          </w:p>
        </w:tc>
        <w:tc>
          <w:tcPr>
            <w:tcW w:w="4748" w:type="pct"/>
          </w:tcPr>
          <w:p w14:paraId="774859D2">
            <w:pPr>
              <w:adjustRightInd w:val="0"/>
              <w:snapToGrid w:val="0"/>
              <w:spacing w:line="440" w:lineRule="exact"/>
              <w:ind w:firstLine="480" w:firstLineChars="200"/>
              <w:rPr>
                <w:rFonts w:ascii="Times New Roman" w:hAnsi="Times New Roman" w:eastAsia="宋体" w:cs="Times New Roman"/>
                <w:color w:val="000000" w:themeColor="text1"/>
                <w:sz w:val="24"/>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10、环保投资及</w:t>
            </w:r>
            <w:r>
              <w:rPr>
                <w:rFonts w:hint="eastAsia" w:ascii="Times New Roman" w:hAnsi="Times New Roman" w:eastAsia="宋体" w:cs="Times New Roman"/>
                <w:color w:val="000000" w:themeColor="text1"/>
                <w:sz w:val="24"/>
                <w:highlight w:val="none"/>
                <w14:textFill>
                  <w14:solidFill>
                    <w14:schemeClr w14:val="tx1"/>
                  </w14:solidFill>
                </w14:textFill>
              </w:rPr>
              <w:t>“</w:t>
            </w:r>
            <w:r>
              <w:rPr>
                <w:rFonts w:ascii="Times New Roman" w:hAnsi="Times New Roman" w:eastAsia="宋体" w:cs="Times New Roman"/>
                <w:color w:val="000000" w:themeColor="text1"/>
                <w:sz w:val="24"/>
                <w:highlight w:val="none"/>
                <w14:textFill>
                  <w14:solidFill>
                    <w14:schemeClr w14:val="tx1"/>
                  </w14:solidFill>
                </w14:textFill>
              </w:rPr>
              <w:t>三同时</w:t>
            </w:r>
            <w:r>
              <w:rPr>
                <w:rFonts w:hint="eastAsia" w:ascii="Times New Roman" w:hAnsi="Times New Roman" w:eastAsia="宋体" w:cs="Times New Roman"/>
                <w:color w:val="000000" w:themeColor="text1"/>
                <w:sz w:val="24"/>
                <w:highlight w:val="none"/>
                <w14:textFill>
                  <w14:solidFill>
                    <w14:schemeClr w14:val="tx1"/>
                  </w14:solidFill>
                </w14:textFill>
              </w:rPr>
              <w:t>”</w:t>
            </w:r>
            <w:r>
              <w:rPr>
                <w:rFonts w:ascii="Times New Roman" w:hAnsi="Times New Roman" w:eastAsia="宋体" w:cs="Times New Roman"/>
                <w:color w:val="000000" w:themeColor="text1"/>
                <w:sz w:val="24"/>
                <w:highlight w:val="none"/>
                <w14:textFill>
                  <w14:solidFill>
                    <w14:schemeClr w14:val="tx1"/>
                  </w14:solidFill>
                </w14:textFill>
              </w:rPr>
              <w:t>验收一览表</w:t>
            </w:r>
          </w:p>
          <w:p w14:paraId="77298B01">
            <w:pPr>
              <w:adjustRightInd w:val="0"/>
              <w:snapToGrid w:val="0"/>
              <w:spacing w:line="440" w:lineRule="exact"/>
              <w:ind w:firstLine="480" w:firstLineChars="200"/>
              <w:rPr>
                <w:rFonts w:ascii="Times New Roman" w:hAnsi="Times New Roman" w:eastAsia="宋体" w:cs="Times New Roman"/>
                <w:color w:val="000000" w:themeColor="text1"/>
                <w:sz w:val="24"/>
                <w:highlight w:val="none"/>
                <w:lang w:val="zh-CN"/>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本项目环保投资</w:t>
            </w:r>
            <w:r>
              <w:rPr>
                <w:rFonts w:hint="eastAsia" w:cs="Times New Roman"/>
                <w:color w:val="000000" w:themeColor="text1"/>
                <w:sz w:val="24"/>
                <w:highlight w:val="none"/>
                <w:lang w:val="en-US" w:eastAsia="zh-CN"/>
                <w14:textFill>
                  <w14:solidFill>
                    <w14:schemeClr w14:val="tx1"/>
                  </w14:solidFill>
                </w14:textFill>
              </w:rPr>
              <w:t>15</w:t>
            </w:r>
            <w:r>
              <w:rPr>
                <w:rFonts w:ascii="Times New Roman" w:hAnsi="Times New Roman" w:eastAsia="宋体" w:cs="Times New Roman"/>
                <w:color w:val="000000" w:themeColor="text1"/>
                <w:sz w:val="24"/>
                <w:highlight w:val="none"/>
                <w14:textFill>
                  <w14:solidFill>
                    <w14:schemeClr w14:val="tx1"/>
                  </w14:solidFill>
                </w14:textFill>
              </w:rPr>
              <w:t>万元，占项目总投资</w:t>
            </w:r>
            <w:r>
              <w:rPr>
                <w:rFonts w:hint="eastAsia" w:cs="Times New Roman"/>
                <w:color w:val="000000" w:themeColor="text1"/>
                <w:sz w:val="24"/>
                <w:highlight w:val="none"/>
                <w:lang w:val="en-US" w:eastAsia="zh-CN"/>
                <w14:textFill>
                  <w14:solidFill>
                    <w14:schemeClr w14:val="tx1"/>
                  </w14:solidFill>
                </w14:textFill>
              </w:rPr>
              <w:t>300</w:t>
            </w:r>
            <w:r>
              <w:rPr>
                <w:rFonts w:hint="eastAsia" w:ascii="Times New Roman" w:hAnsi="Times New Roman" w:eastAsia="宋体" w:cs="Times New Roman"/>
                <w:color w:val="000000" w:themeColor="text1"/>
                <w:sz w:val="24"/>
                <w:highlight w:val="none"/>
                <w14:textFill>
                  <w14:solidFill>
                    <w14:schemeClr w14:val="tx1"/>
                  </w14:solidFill>
                </w14:textFill>
              </w:rPr>
              <w:t>万元</w:t>
            </w:r>
            <w:r>
              <w:rPr>
                <w:rFonts w:ascii="Times New Roman" w:hAnsi="Times New Roman" w:eastAsia="宋体" w:cs="Times New Roman"/>
                <w:color w:val="000000" w:themeColor="text1"/>
                <w:sz w:val="24"/>
                <w:highlight w:val="none"/>
                <w14:textFill>
                  <w14:solidFill>
                    <w14:schemeClr w14:val="tx1"/>
                  </w14:solidFill>
                </w14:textFill>
              </w:rPr>
              <w:t>的</w:t>
            </w:r>
            <w:r>
              <w:rPr>
                <w:rFonts w:hint="eastAsia" w:cs="Times New Roman"/>
                <w:color w:val="000000" w:themeColor="text1"/>
                <w:sz w:val="24"/>
                <w:highlight w:val="none"/>
                <w:lang w:val="en-US" w:eastAsia="zh-CN"/>
                <w14:textFill>
                  <w14:solidFill>
                    <w14:schemeClr w14:val="tx1"/>
                  </w14:solidFill>
                </w14:textFill>
              </w:rPr>
              <w:t>5</w:t>
            </w:r>
            <w:r>
              <w:rPr>
                <w:rFonts w:ascii="Times New Roman" w:hAnsi="Times New Roman" w:eastAsia="宋体" w:cs="Times New Roman"/>
                <w:color w:val="000000" w:themeColor="text1"/>
                <w:sz w:val="24"/>
                <w:highlight w:val="none"/>
                <w14:textFill>
                  <w14:solidFill>
                    <w14:schemeClr w14:val="tx1"/>
                  </w14:solidFill>
                </w14:textFill>
              </w:rPr>
              <w:t>%。本项目环境保护投资估算及</w:t>
            </w:r>
            <w:r>
              <w:rPr>
                <w:rFonts w:hint="eastAsia" w:ascii="Times New Roman" w:hAnsi="Times New Roman" w:eastAsia="宋体" w:cs="Times New Roman"/>
                <w:color w:val="000000" w:themeColor="text1"/>
                <w:sz w:val="24"/>
                <w:highlight w:val="none"/>
                <w14:textFill>
                  <w14:solidFill>
                    <w14:schemeClr w14:val="tx1"/>
                  </w14:solidFill>
                </w14:textFill>
              </w:rPr>
              <w:t>“</w:t>
            </w:r>
            <w:r>
              <w:rPr>
                <w:rFonts w:ascii="Times New Roman" w:hAnsi="Times New Roman" w:eastAsia="宋体" w:cs="Times New Roman"/>
                <w:color w:val="000000" w:themeColor="text1"/>
                <w:sz w:val="24"/>
                <w:highlight w:val="none"/>
                <w14:textFill>
                  <w14:solidFill>
                    <w14:schemeClr w14:val="tx1"/>
                  </w14:solidFill>
                </w14:textFill>
              </w:rPr>
              <w:t>三同时</w:t>
            </w:r>
            <w:r>
              <w:rPr>
                <w:rFonts w:hint="eastAsia" w:ascii="Times New Roman" w:hAnsi="Times New Roman" w:eastAsia="宋体" w:cs="Times New Roman"/>
                <w:color w:val="000000" w:themeColor="text1"/>
                <w:sz w:val="24"/>
                <w:highlight w:val="none"/>
                <w14:textFill>
                  <w14:solidFill>
                    <w14:schemeClr w14:val="tx1"/>
                  </w14:solidFill>
                </w14:textFill>
              </w:rPr>
              <w:t>”</w:t>
            </w:r>
            <w:r>
              <w:rPr>
                <w:rFonts w:ascii="Times New Roman" w:hAnsi="Times New Roman" w:eastAsia="宋体" w:cs="Times New Roman"/>
                <w:color w:val="000000" w:themeColor="text1"/>
                <w:sz w:val="24"/>
                <w:highlight w:val="none"/>
                <w14:textFill>
                  <w14:solidFill>
                    <w14:schemeClr w14:val="tx1"/>
                  </w14:solidFill>
                </w14:textFill>
              </w:rPr>
              <w:t>验收一览表见</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下表</w:t>
            </w:r>
            <w:r>
              <w:rPr>
                <w:rFonts w:ascii="Times New Roman" w:hAnsi="Times New Roman" w:eastAsia="宋体" w:cs="Times New Roman"/>
                <w:color w:val="000000" w:themeColor="text1"/>
                <w:sz w:val="24"/>
                <w:highlight w:val="none"/>
                <w14:textFill>
                  <w14:solidFill>
                    <w14:schemeClr w14:val="tx1"/>
                  </w14:solidFill>
                </w14:textFill>
              </w:rPr>
              <w:t>。</w:t>
            </w:r>
          </w:p>
          <w:p w14:paraId="3E56281A">
            <w:pPr>
              <w:adjustRightInd w:val="0"/>
              <w:snapToGrid w:val="0"/>
              <w:spacing w:line="440" w:lineRule="exact"/>
              <w:jc w:val="center"/>
              <w:rPr>
                <w:b/>
                <w:bCs/>
                <w:color w:val="000000" w:themeColor="text1"/>
                <w:sz w:val="24"/>
                <w:highlight w:val="none"/>
                <w:lang w:val="zh-CN"/>
                <w14:textFill>
                  <w14:solidFill>
                    <w14:schemeClr w14:val="tx1"/>
                  </w14:solidFill>
                </w14:textFill>
              </w:rPr>
            </w:pPr>
            <w:r>
              <w:rPr>
                <w:b/>
                <w:bCs/>
                <w:color w:val="000000" w:themeColor="text1"/>
                <w:sz w:val="24"/>
                <w:highlight w:val="none"/>
                <w:lang w:val="zh-CN"/>
                <w14:textFill>
                  <w14:solidFill>
                    <w14:schemeClr w14:val="tx1"/>
                  </w14:solidFill>
                </w14:textFill>
              </w:rPr>
              <w:t>表2-</w:t>
            </w:r>
            <w:r>
              <w:rPr>
                <w:rFonts w:hint="eastAsia"/>
                <w:b/>
                <w:bCs/>
                <w:color w:val="000000" w:themeColor="text1"/>
                <w:sz w:val="24"/>
                <w:highlight w:val="none"/>
                <w:lang w:val="en-US" w:eastAsia="zh-CN"/>
                <w14:textFill>
                  <w14:solidFill>
                    <w14:schemeClr w14:val="tx1"/>
                  </w14:solidFill>
                </w14:textFill>
              </w:rPr>
              <w:t xml:space="preserve">8  </w:t>
            </w:r>
            <w:r>
              <w:rPr>
                <w:b/>
                <w:bCs/>
                <w:color w:val="000000" w:themeColor="text1"/>
                <w:sz w:val="24"/>
                <w:highlight w:val="none"/>
                <w:lang w:val="zh-CN"/>
                <w14:textFill>
                  <w14:solidFill>
                    <w14:schemeClr w14:val="tx1"/>
                  </w14:solidFill>
                </w14:textFill>
              </w:rPr>
              <w:t>本项目环保</w:t>
            </w:r>
            <w:r>
              <w:rPr>
                <w:rFonts w:hint="eastAsia"/>
                <w:b/>
                <w:bCs/>
                <w:color w:val="000000" w:themeColor="text1"/>
                <w:sz w:val="24"/>
                <w:highlight w:val="none"/>
                <w:lang w:val="zh-CN"/>
                <w14:textFill>
                  <w14:solidFill>
                    <w14:schemeClr w14:val="tx1"/>
                  </w14:solidFill>
                </w14:textFill>
              </w:rPr>
              <w:t>“</w:t>
            </w:r>
            <w:r>
              <w:rPr>
                <w:b/>
                <w:bCs/>
                <w:color w:val="000000" w:themeColor="text1"/>
                <w:sz w:val="24"/>
                <w:highlight w:val="none"/>
                <w:lang w:val="zh-CN"/>
                <w14:textFill>
                  <w14:solidFill>
                    <w14:schemeClr w14:val="tx1"/>
                  </w14:solidFill>
                </w14:textFill>
              </w:rPr>
              <w:t>三同时</w:t>
            </w:r>
            <w:r>
              <w:rPr>
                <w:rFonts w:hint="eastAsia"/>
                <w:b/>
                <w:bCs/>
                <w:color w:val="000000" w:themeColor="text1"/>
                <w:sz w:val="24"/>
                <w:highlight w:val="none"/>
                <w:lang w:val="zh-CN"/>
                <w14:textFill>
                  <w14:solidFill>
                    <w14:schemeClr w14:val="tx1"/>
                  </w14:solidFill>
                </w14:textFill>
              </w:rPr>
              <w:t>”</w:t>
            </w:r>
            <w:r>
              <w:rPr>
                <w:b/>
                <w:bCs/>
                <w:color w:val="000000" w:themeColor="text1"/>
                <w:sz w:val="24"/>
                <w:highlight w:val="none"/>
                <w:lang w:val="zh-CN"/>
                <w14:textFill>
                  <w14:solidFill>
                    <w14:schemeClr w14:val="tx1"/>
                  </w14:solidFill>
                </w14:textFill>
              </w:rPr>
              <w:t>一览表</w:t>
            </w:r>
          </w:p>
          <w:tbl>
            <w:tblPr>
              <w:tblStyle w:val="38"/>
              <w:tblW w:w="4998" w:type="pct"/>
              <w:jc w:val="center"/>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Layout w:type="autofit"/>
              <w:tblCellMar>
                <w:top w:w="0" w:type="dxa"/>
                <w:left w:w="108" w:type="dxa"/>
                <w:bottom w:w="0" w:type="dxa"/>
                <w:right w:w="108" w:type="dxa"/>
              </w:tblCellMar>
            </w:tblPr>
            <w:tblGrid>
              <w:gridCol w:w="636"/>
              <w:gridCol w:w="813"/>
              <w:gridCol w:w="1199"/>
              <w:gridCol w:w="2132"/>
              <w:gridCol w:w="2154"/>
              <w:gridCol w:w="815"/>
              <w:gridCol w:w="636"/>
            </w:tblGrid>
            <w:tr w14:paraId="19BD57F9">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397" w:hRule="atLeast"/>
                <w:jc w:val="center"/>
              </w:trPr>
              <w:tc>
                <w:tcPr>
                  <w:tcW w:w="379" w:type="pct"/>
                  <w:tcBorders>
                    <w:tl2br w:val="nil"/>
                    <w:tr2bl w:val="nil"/>
                  </w:tcBorders>
                  <w:vAlign w:val="center"/>
                </w:tcPr>
                <w:p w14:paraId="350EDB20">
                  <w:pPr>
                    <w:widowControl/>
                    <w:adjustRightInd w:val="0"/>
                    <w:snapToGrid w:val="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类别</w:t>
                  </w:r>
                </w:p>
              </w:tc>
              <w:tc>
                <w:tcPr>
                  <w:tcW w:w="485" w:type="pct"/>
                  <w:tcBorders>
                    <w:tl2br w:val="nil"/>
                    <w:tr2bl w:val="nil"/>
                  </w:tcBorders>
                  <w:vAlign w:val="center"/>
                </w:tcPr>
                <w:p w14:paraId="4F75F625">
                  <w:pPr>
                    <w:widowControl/>
                    <w:adjustRightInd w:val="0"/>
                    <w:snapToGrid w:val="0"/>
                    <w:jc w:val="center"/>
                    <w:rPr>
                      <w:rFonts w:hint="eastAsia" w:eastAsia="宋体"/>
                      <w:b/>
                      <w:bCs/>
                      <w:color w:val="000000" w:themeColor="text1"/>
                      <w:highlight w:val="none"/>
                      <w:lang w:eastAsia="zh-CN"/>
                      <w14:textFill>
                        <w14:solidFill>
                          <w14:schemeClr w14:val="tx1"/>
                        </w14:solidFill>
                      </w14:textFill>
                    </w:rPr>
                  </w:pPr>
                  <w:r>
                    <w:rPr>
                      <w:b/>
                      <w:bCs/>
                      <w:color w:val="000000" w:themeColor="text1"/>
                      <w:highlight w:val="none"/>
                      <w14:textFill>
                        <w14:solidFill>
                          <w14:schemeClr w14:val="tx1"/>
                        </w14:solidFill>
                      </w14:textFill>
                    </w:rPr>
                    <w:t>污染</w:t>
                  </w:r>
                  <w:r>
                    <w:rPr>
                      <w:rFonts w:hint="eastAsia"/>
                      <w:b/>
                      <w:bCs/>
                      <w:color w:val="000000" w:themeColor="text1"/>
                      <w:highlight w:val="none"/>
                      <w:lang w:val="en-US" w:eastAsia="zh-CN"/>
                      <w14:textFill>
                        <w14:solidFill>
                          <w14:schemeClr w14:val="tx1"/>
                        </w14:solidFill>
                      </w14:textFill>
                    </w:rPr>
                    <w:t>源</w:t>
                  </w:r>
                </w:p>
              </w:tc>
              <w:tc>
                <w:tcPr>
                  <w:tcW w:w="714" w:type="pct"/>
                  <w:tcBorders>
                    <w:tl2br w:val="nil"/>
                    <w:tr2bl w:val="nil"/>
                  </w:tcBorders>
                  <w:vAlign w:val="center"/>
                </w:tcPr>
                <w:p w14:paraId="6E3DA2BA">
                  <w:pPr>
                    <w:widowControl/>
                    <w:adjustRightInd w:val="0"/>
                    <w:snapToGrid w:val="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污染物</w:t>
                  </w:r>
                </w:p>
              </w:tc>
              <w:tc>
                <w:tcPr>
                  <w:tcW w:w="1270" w:type="pct"/>
                  <w:tcBorders>
                    <w:tl2br w:val="nil"/>
                    <w:tr2bl w:val="nil"/>
                  </w:tcBorders>
                  <w:vAlign w:val="center"/>
                </w:tcPr>
                <w:p w14:paraId="03F204DC">
                  <w:pPr>
                    <w:widowControl/>
                    <w:adjustRightInd w:val="0"/>
                    <w:snapToGrid w:val="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处理措施（建设数量、规模、处理能力等）</w:t>
                  </w:r>
                </w:p>
              </w:tc>
              <w:tc>
                <w:tcPr>
                  <w:tcW w:w="1284" w:type="pct"/>
                  <w:tcBorders>
                    <w:tl2br w:val="nil"/>
                    <w:tr2bl w:val="nil"/>
                  </w:tcBorders>
                  <w:vAlign w:val="center"/>
                </w:tcPr>
                <w:p w14:paraId="22263988">
                  <w:pPr>
                    <w:widowControl/>
                    <w:adjustRightInd w:val="0"/>
                    <w:snapToGrid w:val="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处理效果、执行标准或拟达要求</w:t>
                  </w:r>
                </w:p>
              </w:tc>
              <w:tc>
                <w:tcPr>
                  <w:tcW w:w="485" w:type="pct"/>
                  <w:tcBorders>
                    <w:tl2br w:val="nil"/>
                    <w:tr2bl w:val="nil"/>
                  </w:tcBorders>
                  <w:vAlign w:val="center"/>
                </w:tcPr>
                <w:p w14:paraId="6450C9F1">
                  <w:pPr>
                    <w:widowControl/>
                    <w:adjustRightInd w:val="0"/>
                    <w:snapToGrid w:val="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投资额</w:t>
                  </w:r>
                </w:p>
                <w:p w14:paraId="77CBB51C">
                  <w:pPr>
                    <w:widowControl/>
                    <w:adjustRightInd w:val="0"/>
                    <w:snapToGrid w:val="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（万元）</w:t>
                  </w:r>
                </w:p>
              </w:tc>
              <w:tc>
                <w:tcPr>
                  <w:tcW w:w="379" w:type="pct"/>
                  <w:tcBorders>
                    <w:tl2br w:val="nil"/>
                    <w:tr2bl w:val="nil"/>
                  </w:tcBorders>
                  <w:vAlign w:val="center"/>
                </w:tcPr>
                <w:p w14:paraId="0004CE6C">
                  <w:pPr>
                    <w:widowControl/>
                    <w:adjustRightInd w:val="0"/>
                    <w:snapToGrid w:val="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完成时间</w:t>
                  </w:r>
                </w:p>
              </w:tc>
            </w:tr>
            <w:tr w14:paraId="55A14EED">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397" w:hRule="atLeast"/>
                <w:jc w:val="center"/>
              </w:trPr>
              <w:tc>
                <w:tcPr>
                  <w:tcW w:w="379" w:type="pct"/>
                  <w:tcBorders>
                    <w:tl2br w:val="nil"/>
                    <w:tr2bl w:val="nil"/>
                  </w:tcBorders>
                  <w:vAlign w:val="center"/>
                </w:tcPr>
                <w:p w14:paraId="403C8E2A">
                  <w:pPr>
                    <w:adjustRightInd w:val="0"/>
                    <w:snapToGrid w:val="0"/>
                    <w:jc w:val="center"/>
                    <w:rPr>
                      <w:b/>
                      <w:bCs/>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废水</w:t>
                  </w:r>
                </w:p>
              </w:tc>
              <w:tc>
                <w:tcPr>
                  <w:tcW w:w="485" w:type="pct"/>
                  <w:tcBorders>
                    <w:tl2br w:val="nil"/>
                    <w:tr2bl w:val="nil"/>
                  </w:tcBorders>
                  <w:vAlign w:val="center"/>
                </w:tcPr>
                <w:p w14:paraId="24C45FC1">
                  <w:pPr>
                    <w:adjustRightInd w:val="0"/>
                    <w:snapToGrid w:val="0"/>
                    <w:jc w:val="center"/>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生活污水</w:t>
                  </w:r>
                </w:p>
              </w:tc>
              <w:tc>
                <w:tcPr>
                  <w:tcW w:w="714" w:type="pct"/>
                  <w:tcBorders>
                    <w:tl2br w:val="nil"/>
                    <w:tr2bl w:val="nil"/>
                  </w:tcBorders>
                  <w:vAlign w:val="center"/>
                </w:tcPr>
                <w:p w14:paraId="4D269658">
                  <w:pPr>
                    <w:adjustRightInd w:val="0"/>
                    <w:snapToGrid w:val="0"/>
                    <w:spacing w:line="240" w:lineRule="exact"/>
                    <w:jc w:val="center"/>
                    <w:rPr>
                      <w:rFonts w:hint="eastAsia" w:eastAsia="宋体"/>
                      <w:b/>
                      <w:bCs/>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pH、COD、SS、NH</w:t>
                  </w:r>
                  <w:r>
                    <w:rPr>
                      <w:color w:val="000000" w:themeColor="text1"/>
                      <w:highlight w:val="none"/>
                      <w:vertAlign w:val="subscript"/>
                      <w14:textFill>
                        <w14:solidFill>
                          <w14:schemeClr w14:val="tx1"/>
                        </w14:solidFill>
                      </w14:textFill>
                    </w:rPr>
                    <w:t>3</w:t>
                  </w:r>
                  <w:r>
                    <w:rPr>
                      <w:color w:val="000000" w:themeColor="text1"/>
                      <w:highlight w:val="none"/>
                      <w14:textFill>
                        <w14:solidFill>
                          <w14:schemeClr w14:val="tx1"/>
                        </w14:solidFill>
                      </w14:textFill>
                    </w:rPr>
                    <w:t>-N、TN、TP</w:t>
                  </w:r>
                </w:p>
              </w:tc>
              <w:tc>
                <w:tcPr>
                  <w:tcW w:w="1270" w:type="pct"/>
                  <w:tcBorders>
                    <w:tl2br w:val="nil"/>
                    <w:tr2bl w:val="nil"/>
                  </w:tcBorders>
                  <w:vAlign w:val="center"/>
                </w:tcPr>
                <w:p w14:paraId="2842459C">
                  <w:pPr>
                    <w:adjustRightInd w:val="0"/>
                    <w:snapToGrid w:val="0"/>
                    <w:spacing w:line="240" w:lineRule="exact"/>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5m</w:t>
                  </w:r>
                  <w:r>
                    <w:rPr>
                      <w:rFonts w:hint="eastAsia"/>
                      <w:color w:val="000000" w:themeColor="text1"/>
                      <w:sz w:val="21"/>
                      <w:szCs w:val="21"/>
                      <w:highlight w:val="none"/>
                      <w:vertAlign w:val="superscript"/>
                      <w:lang w:val="en-US" w:eastAsia="zh-CN"/>
                      <w14:textFill>
                        <w14:solidFill>
                          <w14:schemeClr w14:val="tx1"/>
                        </w14:solidFill>
                      </w14:textFill>
                    </w:rPr>
                    <w:t>3</w:t>
                  </w:r>
                  <w:r>
                    <w:rPr>
                      <w:rFonts w:hint="eastAsia"/>
                      <w:color w:val="000000" w:themeColor="text1"/>
                      <w:sz w:val="21"/>
                      <w:szCs w:val="21"/>
                      <w:highlight w:val="none"/>
                      <w:lang w:val="en-US" w:eastAsia="zh-CN"/>
                      <w14:textFill>
                        <w14:solidFill>
                          <w14:schemeClr w14:val="tx1"/>
                        </w14:solidFill>
                      </w14:textFill>
                    </w:rPr>
                    <w:t>化粪池</w:t>
                  </w:r>
                </w:p>
              </w:tc>
              <w:tc>
                <w:tcPr>
                  <w:tcW w:w="1284" w:type="pct"/>
                  <w:tcBorders>
                    <w:tl2br w:val="nil"/>
                    <w:tr2bl w:val="nil"/>
                  </w:tcBorders>
                  <w:vAlign w:val="center"/>
                </w:tcPr>
                <w:p w14:paraId="146B7DEE">
                  <w:pPr>
                    <w:snapToGrid w:val="0"/>
                    <w:spacing w:line="24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《橡胶制品工业污染物排放标准》（GB27632-2011）</w:t>
                  </w:r>
                  <w:r>
                    <w:rPr>
                      <w:rFonts w:hint="eastAsia" w:cs="Times New Roman"/>
                      <w:color w:val="000000" w:themeColor="text1"/>
                      <w:szCs w:val="21"/>
                      <w:highlight w:val="none"/>
                      <w:lang w:val="zh-CN" w:eastAsia="zh-CN"/>
                      <w14:textFill>
                        <w14:solidFill>
                          <w14:schemeClr w14:val="tx1"/>
                        </w14:solidFill>
                      </w14:textFill>
                    </w:rPr>
                    <w:t>表</w:t>
                  </w:r>
                  <w:r>
                    <w:rPr>
                      <w:rFonts w:hint="eastAsia" w:cs="Times New Roman"/>
                      <w:color w:val="000000" w:themeColor="text1"/>
                      <w:szCs w:val="21"/>
                      <w:highlight w:val="none"/>
                      <w:lang w:val="en-US" w:eastAsia="zh-CN"/>
                      <w14:textFill>
                        <w14:solidFill>
                          <w14:schemeClr w14:val="tx1"/>
                        </w14:solidFill>
                      </w14:textFill>
                    </w:rPr>
                    <w:t>2</w:t>
                  </w:r>
                  <w:r>
                    <w:rPr>
                      <w:rFonts w:hint="eastAsia" w:cs="Times New Roman"/>
                      <w:color w:val="000000" w:themeColor="text1"/>
                      <w:szCs w:val="21"/>
                      <w:highlight w:val="none"/>
                      <w:lang w:val="zh-CN" w:eastAsia="zh-CN"/>
                      <w14:textFill>
                        <w14:solidFill>
                          <w14:schemeClr w14:val="tx1"/>
                        </w14:solidFill>
                      </w14:textFill>
                    </w:rPr>
                    <w:t>标准</w:t>
                  </w:r>
                </w:p>
              </w:tc>
              <w:tc>
                <w:tcPr>
                  <w:tcW w:w="485" w:type="pct"/>
                  <w:tcBorders>
                    <w:tl2br w:val="nil"/>
                    <w:tr2bl w:val="nil"/>
                  </w:tcBorders>
                  <w:vAlign w:val="center"/>
                </w:tcPr>
                <w:p w14:paraId="720C0A88">
                  <w:pPr>
                    <w:snapToGrid w:val="0"/>
                    <w:spacing w:line="24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w:t>
                  </w:r>
                </w:p>
              </w:tc>
              <w:tc>
                <w:tcPr>
                  <w:tcW w:w="379" w:type="pct"/>
                  <w:vMerge w:val="restart"/>
                  <w:tcBorders>
                    <w:tl2br w:val="nil"/>
                    <w:tr2bl w:val="nil"/>
                  </w:tcBorders>
                  <w:vAlign w:val="center"/>
                </w:tcPr>
                <w:p w14:paraId="3FBD2E15">
                  <w:pPr>
                    <w:adjustRightInd w:val="0"/>
                    <w:snapToGrid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同时设计、同时施工、同时投产使用</w:t>
                  </w:r>
                </w:p>
              </w:tc>
            </w:tr>
            <w:tr w14:paraId="3A3ECE4D">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397" w:hRule="atLeast"/>
                <w:jc w:val="center"/>
              </w:trPr>
              <w:tc>
                <w:tcPr>
                  <w:tcW w:w="379" w:type="pct"/>
                  <w:vMerge w:val="restart"/>
                  <w:tcBorders>
                    <w:tl2br w:val="nil"/>
                    <w:tr2bl w:val="nil"/>
                  </w:tcBorders>
                  <w:vAlign w:val="center"/>
                </w:tcPr>
                <w:p w14:paraId="00BC9CFD">
                  <w:pPr>
                    <w:adjustRightInd w:val="0"/>
                    <w:snapToGrid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废气</w:t>
                  </w:r>
                </w:p>
              </w:tc>
              <w:tc>
                <w:tcPr>
                  <w:tcW w:w="485" w:type="pct"/>
                  <w:tcBorders>
                    <w:tl2br w:val="nil"/>
                    <w:tr2bl w:val="nil"/>
                  </w:tcBorders>
                  <w:shd w:val="clear" w:color="auto" w:fill="auto"/>
                  <w:vAlign w:val="center"/>
                </w:tcPr>
                <w:p w14:paraId="4C22DD35">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default" w:eastAsia="宋体"/>
                      <w:color w:val="000000" w:themeColor="text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滚料</w:t>
                  </w:r>
                </w:p>
              </w:tc>
              <w:tc>
                <w:tcPr>
                  <w:tcW w:w="714" w:type="pct"/>
                  <w:tcBorders>
                    <w:tl2br w:val="nil"/>
                    <w:tr2bl w:val="nil"/>
                  </w:tcBorders>
                  <w:shd w:val="clear" w:color="auto" w:fill="auto"/>
                  <w:vAlign w:val="center"/>
                </w:tcPr>
                <w:p w14:paraId="4349C449">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eastAsia="宋体"/>
                      <w:color w:val="000000" w:themeColor="text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颗粒物</w:t>
                  </w:r>
                </w:p>
              </w:tc>
              <w:tc>
                <w:tcPr>
                  <w:tcW w:w="1270" w:type="pct"/>
                  <w:tcBorders>
                    <w:tl2br w:val="nil"/>
                    <w:tr2bl w:val="nil"/>
                  </w:tcBorders>
                  <w:shd w:val="clear" w:color="auto" w:fill="auto"/>
                  <w:vAlign w:val="center"/>
                </w:tcPr>
                <w:p w14:paraId="1365D832">
                  <w:pPr>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284" w:type="pct"/>
                  <w:vMerge w:val="restart"/>
                  <w:tcBorders>
                    <w:tl2br w:val="nil"/>
                    <w:tr2bl w:val="nil"/>
                  </w:tcBorders>
                  <w:shd w:val="clear" w:color="auto" w:fill="auto"/>
                  <w:vAlign w:val="center"/>
                </w:tcPr>
                <w:p w14:paraId="1EEA15A8">
                  <w:pPr>
                    <w:snapToGrid w:val="0"/>
                    <w:spacing w:line="24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《橡胶制品工业污染物排放标准》（GB27632-2011）、</w:t>
                  </w:r>
                  <w:r>
                    <w:rPr>
                      <w:rFonts w:hint="eastAsia"/>
                      <w:color w:val="000000" w:themeColor="text1"/>
                      <w:szCs w:val="21"/>
                      <w:highlight w:val="none"/>
                      <w:lang w:eastAsia="zh-CN"/>
                      <w14:textFill>
                        <w14:solidFill>
                          <w14:schemeClr w14:val="tx1"/>
                        </w14:solidFill>
                      </w14:textFill>
                    </w:rPr>
                    <w:t>《合成树脂工业污染物排放标准》（GB31572-2015）（含2024年修改单）、</w:t>
                  </w:r>
                  <w:r>
                    <w:rPr>
                      <w:color w:val="000000" w:themeColor="text1"/>
                      <w:szCs w:val="21"/>
                      <w:highlight w:val="none"/>
                      <w14:textFill>
                        <w14:solidFill>
                          <w14:schemeClr w14:val="tx1"/>
                        </w14:solidFill>
                      </w14:textFill>
                    </w:rPr>
                    <w:t>《恶臭污染物排放标准》（GB14554-1993）</w:t>
                  </w:r>
                </w:p>
              </w:tc>
              <w:tc>
                <w:tcPr>
                  <w:tcW w:w="485" w:type="pct"/>
                  <w:vMerge w:val="restart"/>
                  <w:tcBorders>
                    <w:tl2br w:val="nil"/>
                    <w:tr2bl w:val="nil"/>
                  </w:tcBorders>
                  <w:shd w:val="clear" w:color="auto" w:fill="auto"/>
                  <w:vAlign w:val="center"/>
                </w:tcPr>
                <w:p w14:paraId="4BA6549E">
                  <w:pPr>
                    <w:adjustRightInd w:val="0"/>
                    <w:snapToGrid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w:t>
                  </w:r>
                </w:p>
              </w:tc>
              <w:tc>
                <w:tcPr>
                  <w:tcW w:w="379" w:type="pct"/>
                  <w:vMerge w:val="continue"/>
                  <w:tcBorders>
                    <w:tl2br w:val="nil"/>
                    <w:tr2bl w:val="nil"/>
                  </w:tcBorders>
                  <w:vAlign w:val="center"/>
                </w:tcPr>
                <w:p w14:paraId="652FA5E4">
                  <w:pPr>
                    <w:adjustRightInd w:val="0"/>
                    <w:snapToGrid w:val="0"/>
                    <w:jc w:val="center"/>
                    <w:rPr>
                      <w:color w:val="000000" w:themeColor="text1"/>
                      <w:highlight w:val="none"/>
                      <w14:textFill>
                        <w14:solidFill>
                          <w14:schemeClr w14:val="tx1"/>
                        </w14:solidFill>
                      </w14:textFill>
                    </w:rPr>
                  </w:pPr>
                </w:p>
              </w:tc>
            </w:tr>
            <w:tr w14:paraId="5906BC94">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397" w:hRule="atLeast"/>
                <w:jc w:val="center"/>
              </w:trPr>
              <w:tc>
                <w:tcPr>
                  <w:tcW w:w="379" w:type="pct"/>
                  <w:vMerge w:val="continue"/>
                  <w:tcBorders>
                    <w:tl2br w:val="nil"/>
                    <w:tr2bl w:val="nil"/>
                  </w:tcBorders>
                  <w:vAlign w:val="center"/>
                </w:tcPr>
                <w:p w14:paraId="4BB344A4">
                  <w:pPr>
                    <w:adjustRightInd w:val="0"/>
                    <w:snapToGrid w:val="0"/>
                    <w:jc w:val="center"/>
                    <w:rPr>
                      <w:color w:val="000000" w:themeColor="text1"/>
                      <w:highlight w:val="none"/>
                      <w14:textFill>
                        <w14:solidFill>
                          <w14:schemeClr w14:val="tx1"/>
                        </w14:solidFill>
                      </w14:textFill>
                    </w:rPr>
                  </w:pPr>
                </w:p>
              </w:tc>
              <w:tc>
                <w:tcPr>
                  <w:tcW w:w="485" w:type="pct"/>
                  <w:tcBorders>
                    <w:tl2br w:val="nil"/>
                    <w:tr2bl w:val="nil"/>
                  </w:tcBorders>
                  <w:shd w:val="clear" w:color="auto" w:fill="auto"/>
                  <w:vAlign w:val="center"/>
                </w:tcPr>
                <w:p w14:paraId="640EB3FC">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混料</w:t>
                  </w:r>
                </w:p>
              </w:tc>
              <w:tc>
                <w:tcPr>
                  <w:tcW w:w="714" w:type="pct"/>
                  <w:tcBorders>
                    <w:tl2br w:val="nil"/>
                    <w:tr2bl w:val="nil"/>
                  </w:tcBorders>
                  <w:shd w:val="clear" w:color="auto" w:fill="auto"/>
                  <w:vAlign w:val="center"/>
                </w:tcPr>
                <w:p w14:paraId="556E8FC3">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颗粒物</w:t>
                  </w:r>
                </w:p>
              </w:tc>
              <w:tc>
                <w:tcPr>
                  <w:tcW w:w="1270" w:type="pct"/>
                  <w:tcBorders>
                    <w:tl2br w:val="nil"/>
                    <w:tr2bl w:val="nil"/>
                  </w:tcBorders>
                  <w:shd w:val="clear" w:color="auto" w:fill="auto"/>
                  <w:vAlign w:val="center"/>
                </w:tcPr>
                <w:p w14:paraId="6787FE34">
                  <w:pPr>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284" w:type="pct"/>
                  <w:vMerge w:val="continue"/>
                  <w:tcBorders>
                    <w:tl2br w:val="nil"/>
                    <w:tr2bl w:val="nil"/>
                  </w:tcBorders>
                  <w:shd w:val="clear" w:color="auto" w:fill="auto"/>
                  <w:vAlign w:val="center"/>
                </w:tcPr>
                <w:p w14:paraId="7A8F9E25">
                  <w:pPr>
                    <w:snapToGrid w:val="0"/>
                    <w:spacing w:line="240" w:lineRule="exact"/>
                    <w:jc w:val="center"/>
                    <w:rPr>
                      <w:color w:val="000000" w:themeColor="text1"/>
                      <w:szCs w:val="21"/>
                      <w:highlight w:val="none"/>
                      <w14:textFill>
                        <w14:solidFill>
                          <w14:schemeClr w14:val="tx1"/>
                        </w14:solidFill>
                      </w14:textFill>
                    </w:rPr>
                  </w:pPr>
                </w:p>
              </w:tc>
              <w:tc>
                <w:tcPr>
                  <w:tcW w:w="485" w:type="pct"/>
                  <w:vMerge w:val="continue"/>
                  <w:tcBorders>
                    <w:tl2br w:val="nil"/>
                    <w:tr2bl w:val="nil"/>
                  </w:tcBorders>
                  <w:shd w:val="clear" w:color="auto" w:fill="auto"/>
                  <w:vAlign w:val="center"/>
                </w:tcPr>
                <w:p w14:paraId="673B45BC">
                  <w:pPr>
                    <w:adjustRightInd w:val="0"/>
                    <w:snapToGrid w:val="0"/>
                    <w:jc w:val="center"/>
                    <w:rPr>
                      <w:rFonts w:hint="eastAsia"/>
                      <w:color w:val="000000" w:themeColor="text1"/>
                      <w:highlight w:val="none"/>
                      <w:lang w:val="en-US" w:eastAsia="zh-CN"/>
                      <w14:textFill>
                        <w14:solidFill>
                          <w14:schemeClr w14:val="tx1"/>
                        </w14:solidFill>
                      </w14:textFill>
                    </w:rPr>
                  </w:pPr>
                </w:p>
              </w:tc>
              <w:tc>
                <w:tcPr>
                  <w:tcW w:w="379" w:type="pct"/>
                  <w:vMerge w:val="continue"/>
                  <w:tcBorders>
                    <w:tl2br w:val="nil"/>
                    <w:tr2bl w:val="nil"/>
                  </w:tcBorders>
                  <w:vAlign w:val="center"/>
                </w:tcPr>
                <w:p w14:paraId="4B425FDA">
                  <w:pPr>
                    <w:adjustRightInd w:val="0"/>
                    <w:snapToGrid w:val="0"/>
                    <w:jc w:val="center"/>
                    <w:rPr>
                      <w:color w:val="000000" w:themeColor="text1"/>
                      <w:highlight w:val="none"/>
                      <w14:textFill>
                        <w14:solidFill>
                          <w14:schemeClr w14:val="tx1"/>
                        </w14:solidFill>
                      </w14:textFill>
                    </w:rPr>
                  </w:pPr>
                </w:p>
              </w:tc>
            </w:tr>
            <w:tr w14:paraId="6C602B9E">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397" w:hRule="atLeast"/>
                <w:jc w:val="center"/>
              </w:trPr>
              <w:tc>
                <w:tcPr>
                  <w:tcW w:w="379" w:type="pct"/>
                  <w:vMerge w:val="continue"/>
                  <w:tcBorders>
                    <w:tl2br w:val="nil"/>
                    <w:tr2bl w:val="nil"/>
                  </w:tcBorders>
                  <w:vAlign w:val="center"/>
                </w:tcPr>
                <w:p w14:paraId="6294CCDE">
                  <w:pPr>
                    <w:adjustRightInd w:val="0"/>
                    <w:snapToGrid w:val="0"/>
                    <w:jc w:val="center"/>
                    <w:rPr>
                      <w:color w:val="000000" w:themeColor="text1"/>
                      <w:highlight w:val="none"/>
                      <w14:textFill>
                        <w14:solidFill>
                          <w14:schemeClr w14:val="tx1"/>
                        </w14:solidFill>
                      </w14:textFill>
                    </w:rPr>
                  </w:pPr>
                </w:p>
              </w:tc>
              <w:tc>
                <w:tcPr>
                  <w:tcW w:w="485" w:type="pct"/>
                  <w:tcBorders>
                    <w:tl2br w:val="nil"/>
                    <w:tr2bl w:val="nil"/>
                  </w:tcBorders>
                  <w:shd w:val="clear" w:color="auto" w:fill="auto"/>
                  <w:vAlign w:val="center"/>
                </w:tcPr>
                <w:p w14:paraId="6BD44AC9">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硫化成型</w:t>
                  </w:r>
                </w:p>
              </w:tc>
              <w:tc>
                <w:tcPr>
                  <w:tcW w:w="714" w:type="pct"/>
                  <w:tcBorders>
                    <w:tl2br w:val="nil"/>
                    <w:tr2bl w:val="nil"/>
                  </w:tcBorders>
                  <w:shd w:val="clear" w:color="auto" w:fill="auto"/>
                  <w:vAlign w:val="center"/>
                </w:tcPr>
                <w:p w14:paraId="502F6142">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非甲烷总烃</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臭气浓度</w:t>
                  </w:r>
                </w:p>
              </w:tc>
              <w:tc>
                <w:tcPr>
                  <w:tcW w:w="1270" w:type="pct"/>
                  <w:tcBorders>
                    <w:tl2br w:val="nil"/>
                    <w:tr2bl w:val="nil"/>
                  </w:tcBorders>
                  <w:shd w:val="clear" w:color="auto" w:fill="auto"/>
                  <w:vAlign w:val="center"/>
                </w:tcPr>
                <w:p w14:paraId="39A14E77">
                  <w:pPr>
                    <w:jc w:val="center"/>
                    <w:rPr>
                      <w:color w:val="000000" w:themeColor="text1"/>
                      <w:szCs w:val="21"/>
                      <w:highlight w:val="none"/>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经集气罩收集</w:t>
                  </w:r>
                  <w:r>
                    <w:rPr>
                      <w:color w:val="000000" w:themeColor="text1"/>
                      <w:szCs w:val="21"/>
                      <w:highlight w:val="none"/>
                      <w14:textFill>
                        <w14:solidFill>
                          <w14:schemeClr w14:val="tx1"/>
                        </w14:solidFill>
                      </w14:textFill>
                    </w:rPr>
                    <w:t>后通过</w:t>
                  </w:r>
                  <w:r>
                    <w:rPr>
                      <w:rFonts w:hint="eastAsia"/>
                      <w:color w:val="000000" w:themeColor="text1"/>
                      <w:szCs w:val="21"/>
                      <w:highlight w:val="none"/>
                      <w14:textFill>
                        <w14:solidFill>
                          <w14:schemeClr w14:val="tx1"/>
                        </w14:solidFill>
                      </w14:textFill>
                    </w:rPr>
                    <w:t>1套</w:t>
                  </w:r>
                  <w:r>
                    <w:rPr>
                      <w:rFonts w:hint="eastAsia" w:cs="Times New Roman"/>
                      <w:color w:val="000000" w:themeColor="text1"/>
                      <w:sz w:val="21"/>
                      <w:szCs w:val="21"/>
                      <w:highlight w:val="none"/>
                      <w:lang w:val="en-US" w:eastAsia="zh-CN"/>
                      <w14:textFill>
                        <w14:solidFill>
                          <w14:schemeClr w14:val="tx1"/>
                        </w14:solidFill>
                      </w14:textFill>
                    </w:rPr>
                    <w:t>二级活性炭吸附装置</w:t>
                  </w:r>
                  <w:r>
                    <w:rPr>
                      <w:rFonts w:hint="eastAsia"/>
                      <w:color w:val="000000" w:themeColor="text1"/>
                      <w:szCs w:val="21"/>
                      <w:highlight w:val="none"/>
                      <w14:textFill>
                        <w14:solidFill>
                          <w14:schemeClr w14:val="tx1"/>
                        </w14:solidFill>
                      </w14:textFill>
                    </w:rPr>
                    <w:t>（TA00</w:t>
                  </w:r>
                  <w:r>
                    <w:rPr>
                      <w:rFonts w:hint="eastAsia"/>
                      <w:color w:val="000000" w:themeColor="text1"/>
                      <w:szCs w:val="21"/>
                      <w:highlight w:val="none"/>
                      <w:lang w:val="en-US" w:eastAsia="zh-CN"/>
                      <w14:textFill>
                        <w14:solidFill>
                          <w14:schemeClr w14:val="tx1"/>
                        </w14:solidFill>
                      </w14:textFill>
                    </w:rPr>
                    <w:t>1</w:t>
                  </w:r>
                  <w:r>
                    <w:rPr>
                      <w:rFonts w:hint="eastAsia"/>
                      <w:color w:val="000000" w:themeColor="text1"/>
                      <w:szCs w:val="21"/>
                      <w:highlight w:val="none"/>
                      <w14:textFill>
                        <w14:solidFill>
                          <w14:schemeClr w14:val="tx1"/>
                        </w14:solidFill>
                      </w14:textFill>
                    </w:rPr>
                    <w:t>，风量</w:t>
                  </w:r>
                  <w:r>
                    <w:rPr>
                      <w:rFonts w:hint="eastAsia"/>
                      <w:color w:val="000000" w:themeColor="text1"/>
                      <w:szCs w:val="21"/>
                      <w:highlight w:val="none"/>
                      <w:lang w:val="en-US" w:eastAsia="zh-CN"/>
                      <w14:textFill>
                        <w14:solidFill>
                          <w14:schemeClr w14:val="tx1"/>
                        </w14:solidFill>
                      </w14:textFill>
                    </w:rPr>
                    <w:t>3</w:t>
                  </w:r>
                  <w:r>
                    <w:rPr>
                      <w:rFonts w:hint="eastAsia"/>
                      <w:color w:val="000000" w:themeColor="text1"/>
                      <w:szCs w:val="21"/>
                      <w:highlight w:val="none"/>
                      <w:lang w:eastAsia="zh-CN"/>
                      <w14:textFill>
                        <w14:solidFill>
                          <w14:schemeClr w14:val="tx1"/>
                        </w14:solidFill>
                      </w14:textFill>
                    </w:rPr>
                    <w:t>000m</w:t>
                  </w:r>
                  <w:r>
                    <w:rPr>
                      <w:rFonts w:hint="eastAsia"/>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/h）处理后经过15m高排气筒（DA00</w:t>
                  </w:r>
                  <w:r>
                    <w:rPr>
                      <w:rFonts w:hint="eastAsia"/>
                      <w:color w:val="000000" w:themeColor="text1"/>
                      <w:szCs w:val="21"/>
                      <w:highlight w:val="none"/>
                      <w:lang w:val="en-US" w:eastAsia="zh-CN"/>
                      <w14:textFill>
                        <w14:solidFill>
                          <w14:schemeClr w14:val="tx1"/>
                        </w14:solidFill>
                      </w14:textFill>
                    </w:rPr>
                    <w:t>1</w:t>
                  </w:r>
                  <w:r>
                    <w:rPr>
                      <w:rFonts w:hint="eastAsia"/>
                      <w:color w:val="000000" w:themeColor="text1"/>
                      <w:szCs w:val="21"/>
                      <w:highlight w:val="none"/>
                      <w14:textFill>
                        <w14:solidFill>
                          <w14:schemeClr w14:val="tx1"/>
                        </w14:solidFill>
                      </w14:textFill>
                    </w:rPr>
                    <w:t>）排放</w:t>
                  </w:r>
                </w:p>
              </w:tc>
              <w:tc>
                <w:tcPr>
                  <w:tcW w:w="1284" w:type="pct"/>
                  <w:vMerge w:val="continue"/>
                  <w:tcBorders>
                    <w:tl2br w:val="nil"/>
                    <w:tr2bl w:val="nil"/>
                  </w:tcBorders>
                  <w:shd w:val="clear" w:color="auto" w:fill="auto"/>
                  <w:vAlign w:val="center"/>
                </w:tcPr>
                <w:p w14:paraId="1E33B928">
                  <w:pPr>
                    <w:snapToGrid w:val="0"/>
                    <w:spacing w:line="240" w:lineRule="exact"/>
                    <w:jc w:val="center"/>
                    <w:rPr>
                      <w:rFonts w:hint="eastAsia" w:cs="Times New Roman"/>
                      <w:color w:val="000000" w:themeColor="text1"/>
                      <w:szCs w:val="21"/>
                      <w:highlight w:val="none"/>
                      <w:lang w:val="en-US" w:eastAsia="zh-CN"/>
                      <w14:textFill>
                        <w14:solidFill>
                          <w14:schemeClr w14:val="tx1"/>
                        </w14:solidFill>
                      </w14:textFill>
                    </w:rPr>
                  </w:pPr>
                </w:p>
              </w:tc>
              <w:tc>
                <w:tcPr>
                  <w:tcW w:w="485" w:type="pct"/>
                  <w:vMerge w:val="continue"/>
                  <w:tcBorders>
                    <w:tl2br w:val="nil"/>
                    <w:tr2bl w:val="nil"/>
                  </w:tcBorders>
                  <w:shd w:val="clear" w:color="auto" w:fill="auto"/>
                  <w:vAlign w:val="center"/>
                </w:tcPr>
                <w:p w14:paraId="2734584F">
                  <w:pPr>
                    <w:adjustRightInd w:val="0"/>
                    <w:snapToGrid w:val="0"/>
                    <w:jc w:val="center"/>
                    <w:rPr>
                      <w:rFonts w:hint="eastAsia"/>
                      <w:color w:val="000000" w:themeColor="text1"/>
                      <w:highlight w:val="none"/>
                      <w:lang w:val="en-US" w:eastAsia="zh-CN"/>
                      <w14:textFill>
                        <w14:solidFill>
                          <w14:schemeClr w14:val="tx1"/>
                        </w14:solidFill>
                      </w14:textFill>
                    </w:rPr>
                  </w:pPr>
                </w:p>
              </w:tc>
              <w:tc>
                <w:tcPr>
                  <w:tcW w:w="379" w:type="pct"/>
                  <w:vMerge w:val="continue"/>
                  <w:tcBorders>
                    <w:tl2br w:val="nil"/>
                    <w:tr2bl w:val="nil"/>
                  </w:tcBorders>
                  <w:vAlign w:val="center"/>
                </w:tcPr>
                <w:p w14:paraId="024BF208">
                  <w:pPr>
                    <w:adjustRightInd w:val="0"/>
                    <w:snapToGrid w:val="0"/>
                    <w:jc w:val="center"/>
                    <w:rPr>
                      <w:color w:val="000000" w:themeColor="text1"/>
                      <w:highlight w:val="none"/>
                      <w14:textFill>
                        <w14:solidFill>
                          <w14:schemeClr w14:val="tx1"/>
                        </w14:solidFill>
                      </w14:textFill>
                    </w:rPr>
                  </w:pPr>
                </w:p>
              </w:tc>
            </w:tr>
            <w:tr w14:paraId="7D16CAE8">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397" w:hRule="atLeast"/>
                <w:jc w:val="center"/>
              </w:trPr>
              <w:tc>
                <w:tcPr>
                  <w:tcW w:w="379" w:type="pct"/>
                  <w:vMerge w:val="continue"/>
                  <w:tcBorders>
                    <w:tl2br w:val="nil"/>
                    <w:tr2bl w:val="nil"/>
                  </w:tcBorders>
                  <w:vAlign w:val="center"/>
                </w:tcPr>
                <w:p w14:paraId="3339A7D2">
                  <w:pPr>
                    <w:adjustRightInd w:val="0"/>
                    <w:snapToGrid w:val="0"/>
                    <w:jc w:val="center"/>
                    <w:rPr>
                      <w:color w:val="000000" w:themeColor="text1"/>
                      <w:highlight w:val="none"/>
                      <w14:textFill>
                        <w14:solidFill>
                          <w14:schemeClr w14:val="tx1"/>
                        </w14:solidFill>
                      </w14:textFill>
                    </w:rPr>
                  </w:pPr>
                </w:p>
              </w:tc>
              <w:tc>
                <w:tcPr>
                  <w:tcW w:w="485" w:type="pct"/>
                  <w:tcBorders>
                    <w:tl2br w:val="nil"/>
                    <w:tr2bl w:val="nil"/>
                  </w:tcBorders>
                  <w:shd w:val="clear" w:color="auto" w:fill="auto"/>
                  <w:vAlign w:val="center"/>
                </w:tcPr>
                <w:p w14:paraId="36A4CE27">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注射成型</w:t>
                  </w:r>
                </w:p>
              </w:tc>
              <w:tc>
                <w:tcPr>
                  <w:tcW w:w="714" w:type="pct"/>
                  <w:tcBorders>
                    <w:tl2br w:val="nil"/>
                    <w:tr2bl w:val="nil"/>
                  </w:tcBorders>
                  <w:shd w:val="clear" w:color="auto" w:fill="auto"/>
                  <w:vAlign w:val="center"/>
                </w:tcPr>
                <w:p w14:paraId="38CCBB88">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非甲烷总烃、乙醛、四氢呋喃</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臭气浓度</w:t>
                  </w:r>
                </w:p>
              </w:tc>
              <w:tc>
                <w:tcPr>
                  <w:tcW w:w="1270" w:type="pct"/>
                  <w:tcBorders>
                    <w:tl2br w:val="nil"/>
                    <w:tr2bl w:val="nil"/>
                  </w:tcBorders>
                  <w:shd w:val="clear" w:color="auto" w:fill="auto"/>
                  <w:vAlign w:val="center"/>
                </w:tcPr>
                <w:p w14:paraId="76F247C5">
                  <w:pPr>
                    <w:jc w:val="center"/>
                    <w:rPr>
                      <w:color w:val="000000" w:themeColor="text1"/>
                      <w:szCs w:val="21"/>
                      <w:highlight w:val="none"/>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经集气罩收集</w:t>
                  </w:r>
                  <w:r>
                    <w:rPr>
                      <w:color w:val="000000" w:themeColor="text1"/>
                      <w:szCs w:val="21"/>
                      <w:highlight w:val="none"/>
                      <w14:textFill>
                        <w14:solidFill>
                          <w14:schemeClr w14:val="tx1"/>
                        </w14:solidFill>
                      </w14:textFill>
                    </w:rPr>
                    <w:t>后通过</w:t>
                  </w:r>
                  <w:r>
                    <w:rPr>
                      <w:rFonts w:hint="eastAsia"/>
                      <w:color w:val="000000" w:themeColor="text1"/>
                      <w:szCs w:val="21"/>
                      <w:highlight w:val="none"/>
                      <w14:textFill>
                        <w14:solidFill>
                          <w14:schemeClr w14:val="tx1"/>
                        </w14:solidFill>
                      </w14:textFill>
                    </w:rPr>
                    <w:t>1套二级活性炭吸附装置（TA00</w:t>
                  </w:r>
                  <w:r>
                    <w:rPr>
                      <w:rFonts w:hint="eastAsia"/>
                      <w:color w:val="000000" w:themeColor="text1"/>
                      <w:szCs w:val="21"/>
                      <w:highlight w:val="none"/>
                      <w:lang w:val="en-US" w:eastAsia="zh-CN"/>
                      <w14:textFill>
                        <w14:solidFill>
                          <w14:schemeClr w14:val="tx1"/>
                        </w14:solidFill>
                      </w14:textFill>
                    </w:rPr>
                    <w:t>2</w:t>
                  </w:r>
                  <w:r>
                    <w:rPr>
                      <w:rFonts w:hint="eastAsia"/>
                      <w:color w:val="000000" w:themeColor="text1"/>
                      <w:szCs w:val="21"/>
                      <w:highlight w:val="none"/>
                      <w14:textFill>
                        <w14:solidFill>
                          <w14:schemeClr w14:val="tx1"/>
                        </w14:solidFill>
                      </w14:textFill>
                    </w:rPr>
                    <w:t>，风量</w:t>
                  </w:r>
                  <w:r>
                    <w:rPr>
                      <w:rFonts w:hint="eastAsia"/>
                      <w:color w:val="000000" w:themeColor="text1"/>
                      <w:szCs w:val="21"/>
                      <w:highlight w:val="none"/>
                      <w:lang w:val="en-US" w:eastAsia="zh-CN"/>
                      <w14:textFill>
                        <w14:solidFill>
                          <w14:schemeClr w14:val="tx1"/>
                        </w14:solidFill>
                      </w14:textFill>
                    </w:rPr>
                    <w:t>4</w:t>
                  </w:r>
                  <w:r>
                    <w:rPr>
                      <w:rFonts w:hint="eastAsia"/>
                      <w:color w:val="000000" w:themeColor="text1"/>
                      <w:szCs w:val="21"/>
                      <w:highlight w:val="none"/>
                      <w:lang w:eastAsia="zh-CN"/>
                      <w14:textFill>
                        <w14:solidFill>
                          <w14:schemeClr w14:val="tx1"/>
                        </w14:solidFill>
                      </w14:textFill>
                    </w:rPr>
                    <w:t>000m</w:t>
                  </w:r>
                  <w:r>
                    <w:rPr>
                      <w:rFonts w:hint="eastAsia"/>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/h）处理后经过15m高排气筒（DA00</w:t>
                  </w:r>
                  <w:r>
                    <w:rPr>
                      <w:rFonts w:hint="eastAsia"/>
                      <w:color w:val="000000" w:themeColor="text1"/>
                      <w:szCs w:val="21"/>
                      <w:highlight w:val="none"/>
                      <w:lang w:val="en-US" w:eastAsia="zh-CN"/>
                      <w14:textFill>
                        <w14:solidFill>
                          <w14:schemeClr w14:val="tx1"/>
                        </w14:solidFill>
                      </w14:textFill>
                    </w:rPr>
                    <w:t>2</w:t>
                  </w:r>
                  <w:r>
                    <w:rPr>
                      <w:rFonts w:hint="eastAsia"/>
                      <w:color w:val="000000" w:themeColor="text1"/>
                      <w:szCs w:val="21"/>
                      <w:highlight w:val="none"/>
                      <w14:textFill>
                        <w14:solidFill>
                          <w14:schemeClr w14:val="tx1"/>
                        </w14:solidFill>
                      </w14:textFill>
                    </w:rPr>
                    <w:t>）排放</w:t>
                  </w:r>
                </w:p>
              </w:tc>
              <w:tc>
                <w:tcPr>
                  <w:tcW w:w="1284" w:type="pct"/>
                  <w:vMerge w:val="continue"/>
                  <w:tcBorders>
                    <w:tl2br w:val="nil"/>
                    <w:tr2bl w:val="nil"/>
                  </w:tcBorders>
                  <w:shd w:val="clear" w:color="auto" w:fill="auto"/>
                  <w:vAlign w:val="center"/>
                </w:tcPr>
                <w:p w14:paraId="2BBBEF85">
                  <w:pPr>
                    <w:adjustRightInd w:val="0"/>
                    <w:snapToGrid w:val="0"/>
                    <w:jc w:val="center"/>
                    <w:rPr>
                      <w:rFonts w:hint="eastAsia" w:cs="Times New Roman"/>
                      <w:color w:val="000000" w:themeColor="text1"/>
                      <w:szCs w:val="21"/>
                      <w:highlight w:val="none"/>
                      <w:lang w:val="en-US" w:eastAsia="zh-CN"/>
                      <w14:textFill>
                        <w14:solidFill>
                          <w14:schemeClr w14:val="tx1"/>
                        </w14:solidFill>
                      </w14:textFill>
                    </w:rPr>
                  </w:pPr>
                </w:p>
              </w:tc>
              <w:tc>
                <w:tcPr>
                  <w:tcW w:w="485" w:type="pct"/>
                  <w:vMerge w:val="continue"/>
                  <w:tcBorders>
                    <w:tl2br w:val="nil"/>
                    <w:tr2bl w:val="nil"/>
                  </w:tcBorders>
                  <w:shd w:val="clear" w:color="auto" w:fill="auto"/>
                  <w:vAlign w:val="center"/>
                </w:tcPr>
                <w:p w14:paraId="5873C555">
                  <w:pPr>
                    <w:adjustRightInd w:val="0"/>
                    <w:snapToGrid w:val="0"/>
                    <w:jc w:val="center"/>
                    <w:rPr>
                      <w:rFonts w:hint="eastAsia"/>
                      <w:color w:val="000000" w:themeColor="text1"/>
                      <w:highlight w:val="none"/>
                      <w:lang w:val="en-US" w:eastAsia="zh-CN"/>
                      <w14:textFill>
                        <w14:solidFill>
                          <w14:schemeClr w14:val="tx1"/>
                        </w14:solidFill>
                      </w14:textFill>
                    </w:rPr>
                  </w:pPr>
                </w:p>
              </w:tc>
              <w:tc>
                <w:tcPr>
                  <w:tcW w:w="379" w:type="pct"/>
                  <w:vMerge w:val="continue"/>
                  <w:tcBorders>
                    <w:tl2br w:val="nil"/>
                    <w:tr2bl w:val="nil"/>
                  </w:tcBorders>
                  <w:vAlign w:val="center"/>
                </w:tcPr>
                <w:p w14:paraId="23F55260">
                  <w:pPr>
                    <w:adjustRightInd w:val="0"/>
                    <w:snapToGrid w:val="0"/>
                    <w:jc w:val="center"/>
                    <w:rPr>
                      <w:color w:val="000000" w:themeColor="text1"/>
                      <w:highlight w:val="none"/>
                      <w14:textFill>
                        <w14:solidFill>
                          <w14:schemeClr w14:val="tx1"/>
                        </w14:solidFill>
                      </w14:textFill>
                    </w:rPr>
                  </w:pPr>
                </w:p>
              </w:tc>
            </w:tr>
            <w:tr w14:paraId="75D9472F">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397" w:hRule="atLeast"/>
                <w:jc w:val="center"/>
              </w:trPr>
              <w:tc>
                <w:tcPr>
                  <w:tcW w:w="379" w:type="pct"/>
                  <w:tcBorders>
                    <w:tl2br w:val="nil"/>
                    <w:tr2bl w:val="nil"/>
                  </w:tcBorders>
                  <w:vAlign w:val="center"/>
                </w:tcPr>
                <w:p w14:paraId="491CC6CF">
                  <w:pPr>
                    <w:widowControl/>
                    <w:adjustRightInd w:val="0"/>
                    <w:snapToGrid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噪声</w:t>
                  </w:r>
                </w:p>
              </w:tc>
              <w:tc>
                <w:tcPr>
                  <w:tcW w:w="1200" w:type="pct"/>
                  <w:gridSpan w:val="2"/>
                  <w:tcBorders>
                    <w:tl2br w:val="nil"/>
                    <w:tr2bl w:val="nil"/>
                  </w:tcBorders>
                  <w:vAlign w:val="center"/>
                </w:tcPr>
                <w:p w14:paraId="1DF48022">
                  <w:pPr>
                    <w:widowControl/>
                    <w:adjustRightInd w:val="0"/>
                    <w:snapToGrid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生产设备</w:t>
                  </w:r>
                </w:p>
              </w:tc>
              <w:tc>
                <w:tcPr>
                  <w:tcW w:w="1270" w:type="pct"/>
                  <w:tcBorders>
                    <w:tl2br w:val="nil"/>
                    <w:tr2bl w:val="nil"/>
                  </w:tcBorders>
                  <w:vAlign w:val="center"/>
                </w:tcPr>
                <w:p w14:paraId="3FE2A4EB">
                  <w:pPr>
                    <w:widowControl/>
                    <w:adjustRightInd w:val="0"/>
                    <w:snapToGrid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选用低噪声设备、减振、隔声</w:t>
                  </w:r>
                  <w:r>
                    <w:rPr>
                      <w:color w:val="000000" w:themeColor="text1"/>
                      <w:highlight w:val="none"/>
                      <w14:textFill>
                        <w14:solidFill>
                          <w14:schemeClr w14:val="tx1"/>
                        </w14:solidFill>
                      </w14:textFill>
                    </w:rPr>
                    <w:t>合理布局</w:t>
                  </w:r>
                  <w:r>
                    <w:rPr>
                      <w:rFonts w:hint="eastAsia"/>
                      <w:color w:val="000000" w:themeColor="text1"/>
                      <w:highlight w:val="none"/>
                      <w14:textFill>
                        <w14:solidFill>
                          <w14:schemeClr w14:val="tx1"/>
                        </w14:solidFill>
                      </w14:textFill>
                    </w:rPr>
                    <w:t>等措施</w:t>
                  </w:r>
                </w:p>
              </w:tc>
              <w:tc>
                <w:tcPr>
                  <w:tcW w:w="1284" w:type="pct"/>
                  <w:tcBorders>
                    <w:tl2br w:val="nil"/>
                    <w:tr2bl w:val="nil"/>
                  </w:tcBorders>
                  <w:vAlign w:val="center"/>
                </w:tcPr>
                <w:p w14:paraId="6C23C97E">
                  <w:pPr>
                    <w:adjustRightInd w:val="0"/>
                    <w:snapToGrid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《工业企业厂界环境噪声排放标准》（GB12348-2008）</w:t>
                  </w:r>
                  <w:r>
                    <w:rPr>
                      <w:rFonts w:hint="eastAsia"/>
                      <w:color w:val="000000" w:themeColor="text1"/>
                      <w:highlight w:val="none"/>
                      <w:lang w:eastAsia="zh-CN"/>
                      <w14:textFill>
                        <w14:solidFill>
                          <w14:schemeClr w14:val="tx1"/>
                        </w14:solidFill>
                      </w14:textFill>
                    </w:rPr>
                    <w:t>3类</w:t>
                  </w:r>
                  <w:r>
                    <w:rPr>
                      <w:color w:val="000000" w:themeColor="text1"/>
                      <w:highlight w:val="none"/>
                      <w14:textFill>
                        <w14:solidFill>
                          <w14:schemeClr w14:val="tx1"/>
                        </w14:solidFill>
                      </w14:textFill>
                    </w:rPr>
                    <w:t>标准</w:t>
                  </w:r>
                </w:p>
              </w:tc>
              <w:tc>
                <w:tcPr>
                  <w:tcW w:w="485" w:type="pct"/>
                  <w:tcBorders>
                    <w:tl2br w:val="nil"/>
                    <w:tr2bl w:val="nil"/>
                  </w:tcBorders>
                  <w:vAlign w:val="center"/>
                </w:tcPr>
                <w:p w14:paraId="7E1DFE76">
                  <w:pPr>
                    <w:adjustRightInd w:val="0"/>
                    <w:snapToGrid w:val="0"/>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379" w:type="pct"/>
                  <w:vMerge w:val="continue"/>
                  <w:tcBorders>
                    <w:tl2br w:val="nil"/>
                    <w:tr2bl w:val="nil"/>
                  </w:tcBorders>
                  <w:vAlign w:val="center"/>
                </w:tcPr>
                <w:p w14:paraId="5A875123">
                  <w:pPr>
                    <w:adjustRightInd w:val="0"/>
                    <w:snapToGrid w:val="0"/>
                    <w:jc w:val="center"/>
                    <w:rPr>
                      <w:color w:val="000000" w:themeColor="text1"/>
                      <w:highlight w:val="none"/>
                      <w14:textFill>
                        <w14:solidFill>
                          <w14:schemeClr w14:val="tx1"/>
                        </w14:solidFill>
                      </w14:textFill>
                    </w:rPr>
                  </w:pPr>
                </w:p>
              </w:tc>
            </w:tr>
            <w:tr w14:paraId="3C1B60E8">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397" w:hRule="atLeast"/>
                <w:jc w:val="center"/>
              </w:trPr>
              <w:tc>
                <w:tcPr>
                  <w:tcW w:w="379" w:type="pct"/>
                  <w:vMerge w:val="restart"/>
                  <w:tcBorders>
                    <w:tl2br w:val="nil"/>
                    <w:tr2bl w:val="nil"/>
                  </w:tcBorders>
                  <w:vAlign w:val="center"/>
                </w:tcPr>
                <w:p w14:paraId="531402A9">
                  <w:pPr>
                    <w:widowControl/>
                    <w:adjustRightInd w:val="0"/>
                    <w:snapToGrid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固废</w:t>
                  </w:r>
                </w:p>
              </w:tc>
              <w:tc>
                <w:tcPr>
                  <w:tcW w:w="1200" w:type="pct"/>
                  <w:gridSpan w:val="2"/>
                  <w:tcBorders>
                    <w:tl2br w:val="nil"/>
                    <w:tr2bl w:val="nil"/>
                  </w:tcBorders>
                  <w:vAlign w:val="center"/>
                </w:tcPr>
                <w:p w14:paraId="24AC151B">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一般固废</w:t>
                  </w:r>
                </w:p>
              </w:tc>
              <w:tc>
                <w:tcPr>
                  <w:tcW w:w="1270" w:type="pct"/>
                  <w:tcBorders>
                    <w:tl2br w:val="nil"/>
                    <w:tr2bl w:val="nil"/>
                  </w:tcBorders>
                  <w:vAlign w:val="center"/>
                </w:tcPr>
                <w:p w14:paraId="31F3775A">
                  <w:pPr>
                    <w:jc w:val="center"/>
                    <w:rPr>
                      <w:color w:val="000000" w:themeColor="text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w:t>
                  </w:r>
                  <w:r>
                    <w:rPr>
                      <w:rFonts w:hint="eastAsia"/>
                      <w:color w:val="000000" w:themeColor="text1"/>
                      <w:szCs w:val="21"/>
                      <w:highlight w:val="none"/>
                      <w14:textFill>
                        <w14:solidFill>
                          <w14:schemeClr w14:val="tx1"/>
                        </w14:solidFill>
                      </w14:textFill>
                    </w:rPr>
                    <w:t>0</w:t>
                  </w:r>
                  <w:r>
                    <w:rPr>
                      <w:color w:val="000000" w:themeColor="text1"/>
                      <w:szCs w:val="21"/>
                      <w:highlight w:val="none"/>
                      <w14:textFill>
                        <w14:solidFill>
                          <w14:schemeClr w14:val="tx1"/>
                        </w14:solidFill>
                      </w14:textFill>
                    </w:rPr>
                    <w:t>m</w:t>
                  </w:r>
                  <w:r>
                    <w:rPr>
                      <w:color w:val="000000" w:themeColor="text1"/>
                      <w:szCs w:val="21"/>
                      <w:highlight w:val="none"/>
                      <w:vertAlign w:val="superscript"/>
                      <w14:textFill>
                        <w14:solidFill>
                          <w14:schemeClr w14:val="tx1"/>
                        </w14:solidFill>
                      </w14:textFill>
                    </w:rPr>
                    <w:t>2</w:t>
                  </w:r>
                </w:p>
              </w:tc>
              <w:tc>
                <w:tcPr>
                  <w:tcW w:w="1284" w:type="pct"/>
                  <w:vMerge w:val="restart"/>
                  <w:tcBorders>
                    <w:tl2br w:val="nil"/>
                    <w:tr2bl w:val="nil"/>
                  </w:tcBorders>
                  <w:vAlign w:val="center"/>
                </w:tcPr>
                <w:p w14:paraId="3C324CF2">
                  <w:pPr>
                    <w:adjustRightInd w:val="0"/>
                    <w:snapToGrid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不产生二次污染</w:t>
                  </w:r>
                </w:p>
              </w:tc>
              <w:tc>
                <w:tcPr>
                  <w:tcW w:w="485" w:type="pct"/>
                  <w:vMerge w:val="restart"/>
                  <w:tcBorders>
                    <w:tl2br w:val="nil"/>
                    <w:tr2bl w:val="nil"/>
                  </w:tcBorders>
                  <w:vAlign w:val="center"/>
                </w:tcPr>
                <w:p w14:paraId="586E33EA">
                  <w:pPr>
                    <w:adjustRightInd w:val="0"/>
                    <w:snapToGrid w:val="0"/>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379" w:type="pct"/>
                  <w:vMerge w:val="continue"/>
                  <w:tcBorders>
                    <w:tl2br w:val="nil"/>
                    <w:tr2bl w:val="nil"/>
                  </w:tcBorders>
                  <w:vAlign w:val="center"/>
                </w:tcPr>
                <w:p w14:paraId="7EBD63E2">
                  <w:pPr>
                    <w:adjustRightInd w:val="0"/>
                    <w:snapToGrid w:val="0"/>
                    <w:jc w:val="center"/>
                    <w:rPr>
                      <w:color w:val="000000" w:themeColor="text1"/>
                      <w:highlight w:val="none"/>
                      <w14:textFill>
                        <w14:solidFill>
                          <w14:schemeClr w14:val="tx1"/>
                        </w14:solidFill>
                      </w14:textFill>
                    </w:rPr>
                  </w:pPr>
                </w:p>
              </w:tc>
            </w:tr>
            <w:tr w14:paraId="7891E6B7">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397" w:hRule="atLeast"/>
                <w:jc w:val="center"/>
              </w:trPr>
              <w:tc>
                <w:tcPr>
                  <w:tcW w:w="379" w:type="pct"/>
                  <w:vMerge w:val="continue"/>
                  <w:tcBorders>
                    <w:tl2br w:val="nil"/>
                    <w:tr2bl w:val="nil"/>
                  </w:tcBorders>
                  <w:vAlign w:val="center"/>
                </w:tcPr>
                <w:p w14:paraId="790CB5A6">
                  <w:pPr>
                    <w:widowControl/>
                    <w:adjustRightInd w:val="0"/>
                    <w:snapToGrid w:val="0"/>
                    <w:jc w:val="center"/>
                    <w:rPr>
                      <w:color w:val="000000" w:themeColor="text1"/>
                      <w:highlight w:val="none"/>
                      <w14:textFill>
                        <w14:solidFill>
                          <w14:schemeClr w14:val="tx1"/>
                        </w14:solidFill>
                      </w14:textFill>
                    </w:rPr>
                  </w:pPr>
                </w:p>
              </w:tc>
              <w:tc>
                <w:tcPr>
                  <w:tcW w:w="1200" w:type="pct"/>
                  <w:gridSpan w:val="2"/>
                  <w:tcBorders>
                    <w:tl2br w:val="nil"/>
                    <w:tr2bl w:val="nil"/>
                  </w:tcBorders>
                  <w:vAlign w:val="center"/>
                </w:tcPr>
                <w:p w14:paraId="01774E77">
                  <w:pPr>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危废仓库</w:t>
                  </w:r>
                </w:p>
              </w:tc>
              <w:tc>
                <w:tcPr>
                  <w:tcW w:w="1270" w:type="pct"/>
                  <w:tcBorders>
                    <w:tl2br w:val="nil"/>
                    <w:tr2bl w:val="nil"/>
                  </w:tcBorders>
                  <w:vAlign w:val="center"/>
                </w:tcPr>
                <w:p w14:paraId="16498FBE">
                  <w:pPr>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w:t>
                  </w:r>
                  <w:r>
                    <w:rPr>
                      <w:rFonts w:hint="eastAsia"/>
                      <w:color w:val="000000" w:themeColor="text1"/>
                      <w:szCs w:val="21"/>
                      <w:highlight w:val="none"/>
                      <w14:textFill>
                        <w14:solidFill>
                          <w14:schemeClr w14:val="tx1"/>
                        </w14:solidFill>
                      </w14:textFill>
                    </w:rPr>
                    <w:t>0</w:t>
                  </w:r>
                  <w:r>
                    <w:rPr>
                      <w:color w:val="000000" w:themeColor="text1"/>
                      <w:szCs w:val="21"/>
                      <w:highlight w:val="none"/>
                      <w14:textFill>
                        <w14:solidFill>
                          <w14:schemeClr w14:val="tx1"/>
                        </w14:solidFill>
                      </w14:textFill>
                    </w:rPr>
                    <w:t>m</w:t>
                  </w:r>
                  <w:r>
                    <w:rPr>
                      <w:rFonts w:hint="eastAsia"/>
                      <w:color w:val="000000" w:themeColor="text1"/>
                      <w:szCs w:val="21"/>
                      <w:highlight w:val="none"/>
                      <w:vertAlign w:val="superscript"/>
                      <w14:textFill>
                        <w14:solidFill>
                          <w14:schemeClr w14:val="tx1"/>
                        </w14:solidFill>
                      </w14:textFill>
                    </w:rPr>
                    <w:t>2</w:t>
                  </w:r>
                </w:p>
              </w:tc>
              <w:tc>
                <w:tcPr>
                  <w:tcW w:w="1284" w:type="pct"/>
                  <w:vMerge w:val="continue"/>
                  <w:tcBorders>
                    <w:tl2br w:val="nil"/>
                    <w:tr2bl w:val="nil"/>
                  </w:tcBorders>
                  <w:vAlign w:val="center"/>
                </w:tcPr>
                <w:p w14:paraId="5B116D3A">
                  <w:pPr>
                    <w:adjustRightInd w:val="0"/>
                    <w:snapToGrid w:val="0"/>
                    <w:jc w:val="center"/>
                    <w:rPr>
                      <w:color w:val="000000" w:themeColor="text1"/>
                      <w:highlight w:val="none"/>
                      <w14:textFill>
                        <w14:solidFill>
                          <w14:schemeClr w14:val="tx1"/>
                        </w14:solidFill>
                      </w14:textFill>
                    </w:rPr>
                  </w:pPr>
                </w:p>
              </w:tc>
              <w:tc>
                <w:tcPr>
                  <w:tcW w:w="485" w:type="pct"/>
                  <w:vMerge w:val="continue"/>
                  <w:tcBorders>
                    <w:tl2br w:val="nil"/>
                    <w:tr2bl w:val="nil"/>
                  </w:tcBorders>
                  <w:vAlign w:val="center"/>
                </w:tcPr>
                <w:p w14:paraId="0E676B71">
                  <w:pPr>
                    <w:adjustRightInd w:val="0"/>
                    <w:snapToGrid w:val="0"/>
                    <w:jc w:val="center"/>
                    <w:rPr>
                      <w:rFonts w:hint="eastAsia"/>
                      <w:color w:val="000000" w:themeColor="text1"/>
                      <w:highlight w:val="none"/>
                      <w14:textFill>
                        <w14:solidFill>
                          <w14:schemeClr w14:val="tx1"/>
                        </w14:solidFill>
                      </w14:textFill>
                    </w:rPr>
                  </w:pPr>
                </w:p>
              </w:tc>
              <w:tc>
                <w:tcPr>
                  <w:tcW w:w="379" w:type="pct"/>
                  <w:vMerge w:val="continue"/>
                  <w:tcBorders>
                    <w:tl2br w:val="nil"/>
                    <w:tr2bl w:val="nil"/>
                  </w:tcBorders>
                  <w:vAlign w:val="center"/>
                </w:tcPr>
                <w:p w14:paraId="7EE3611E">
                  <w:pPr>
                    <w:adjustRightInd w:val="0"/>
                    <w:snapToGrid w:val="0"/>
                    <w:jc w:val="center"/>
                    <w:rPr>
                      <w:color w:val="000000" w:themeColor="text1"/>
                      <w:highlight w:val="none"/>
                      <w14:textFill>
                        <w14:solidFill>
                          <w14:schemeClr w14:val="tx1"/>
                        </w14:solidFill>
                      </w14:textFill>
                    </w:rPr>
                  </w:pPr>
                </w:p>
              </w:tc>
            </w:tr>
            <w:tr w14:paraId="71D4E411">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397" w:hRule="atLeast"/>
                <w:jc w:val="center"/>
              </w:trPr>
              <w:tc>
                <w:tcPr>
                  <w:tcW w:w="379" w:type="pct"/>
                  <w:tcBorders>
                    <w:tl2br w:val="nil"/>
                    <w:tr2bl w:val="nil"/>
                  </w:tcBorders>
                  <w:vAlign w:val="center"/>
                </w:tcPr>
                <w:p w14:paraId="6C7D5609">
                  <w:pPr>
                    <w:widowControl/>
                    <w:adjustRightInd w:val="0"/>
                    <w:snapToGrid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风险应急防范措施</w:t>
                  </w:r>
                </w:p>
              </w:tc>
              <w:tc>
                <w:tcPr>
                  <w:tcW w:w="3755" w:type="pct"/>
                  <w:gridSpan w:val="4"/>
                  <w:tcBorders>
                    <w:tl2br w:val="nil"/>
                    <w:tr2bl w:val="nil"/>
                  </w:tcBorders>
                  <w:vAlign w:val="center"/>
                </w:tcPr>
                <w:p w14:paraId="684DFE6D">
                  <w:pPr>
                    <w:adjustRightInd w:val="0"/>
                    <w:snapToGrid w:val="0"/>
                    <w:jc w:val="center"/>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依托厂区现有</w:t>
                  </w:r>
                  <w:r>
                    <w:rPr>
                      <w:rFonts w:hint="default" w:ascii="Times New Roman" w:hAnsi="Times New Roman" w:eastAsia="宋体" w:cs="Times New Roman"/>
                      <w:color w:val="000000" w:themeColor="text1"/>
                      <w:sz w:val="21"/>
                      <w:szCs w:val="21"/>
                      <w:highlight w:val="none"/>
                      <w14:textFill>
                        <w14:solidFill>
                          <w14:schemeClr w14:val="tx1"/>
                        </w14:solidFill>
                      </w14:textFill>
                    </w:rPr>
                    <w:t>1个</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00m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应急事故池</w:t>
                  </w:r>
                  <w:r>
                    <w:rPr>
                      <w:rFonts w:hint="default" w:ascii="Times New Roman" w:hAnsi="Times New Roman" w:eastAsia="宋体" w:cs="Times New Roman"/>
                      <w:color w:val="000000" w:themeColor="text1"/>
                      <w:sz w:val="21"/>
                      <w:szCs w:val="21"/>
                      <w:highlight w:val="none"/>
                      <w14:textFill>
                        <w14:solidFill>
                          <w14:schemeClr w14:val="tx1"/>
                        </w14:solidFill>
                      </w14:textFill>
                    </w:rPr>
                    <w:t>并设置切换阀，雨污排口</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已</w:t>
                  </w:r>
                  <w:r>
                    <w:rPr>
                      <w:rFonts w:hint="default" w:ascii="Times New Roman" w:hAnsi="Times New Roman" w:eastAsia="宋体" w:cs="Times New Roman"/>
                      <w:color w:val="000000" w:themeColor="text1"/>
                      <w:sz w:val="21"/>
                      <w:szCs w:val="21"/>
                      <w:highlight w:val="none"/>
                      <w14:textFill>
                        <w14:solidFill>
                          <w14:schemeClr w14:val="tx1"/>
                        </w14:solidFill>
                      </w14:textFill>
                    </w:rPr>
                    <w:t>安装截止阀</w:t>
                  </w:r>
                </w:p>
              </w:tc>
              <w:tc>
                <w:tcPr>
                  <w:tcW w:w="485" w:type="pct"/>
                  <w:tcBorders>
                    <w:tl2br w:val="nil"/>
                    <w:tr2bl w:val="nil"/>
                  </w:tcBorders>
                  <w:vAlign w:val="center"/>
                </w:tcPr>
                <w:p w14:paraId="5F5A2DAF">
                  <w:pPr>
                    <w:adjustRightInd w:val="0"/>
                    <w:snapToGrid w:val="0"/>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379" w:type="pct"/>
                  <w:vMerge w:val="continue"/>
                  <w:tcBorders>
                    <w:tl2br w:val="nil"/>
                    <w:tr2bl w:val="nil"/>
                  </w:tcBorders>
                  <w:vAlign w:val="center"/>
                </w:tcPr>
                <w:p w14:paraId="404B49D0">
                  <w:pPr>
                    <w:adjustRightInd w:val="0"/>
                    <w:snapToGrid w:val="0"/>
                    <w:jc w:val="center"/>
                    <w:rPr>
                      <w:color w:val="000000" w:themeColor="text1"/>
                      <w:highlight w:val="none"/>
                      <w14:textFill>
                        <w14:solidFill>
                          <w14:schemeClr w14:val="tx1"/>
                        </w14:solidFill>
                      </w14:textFill>
                    </w:rPr>
                  </w:pPr>
                </w:p>
              </w:tc>
            </w:tr>
            <w:tr w14:paraId="47119A7B">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397" w:hRule="atLeast"/>
                <w:jc w:val="center"/>
              </w:trPr>
              <w:tc>
                <w:tcPr>
                  <w:tcW w:w="379" w:type="pct"/>
                  <w:tcBorders>
                    <w:tl2br w:val="nil"/>
                    <w:tr2bl w:val="nil"/>
                  </w:tcBorders>
                  <w:vAlign w:val="center"/>
                </w:tcPr>
                <w:p w14:paraId="595BB01B">
                  <w:pPr>
                    <w:adjustRightInd w:val="0"/>
                    <w:snapToGrid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清污分流、排污口规范化设置</w:t>
                  </w:r>
                </w:p>
              </w:tc>
              <w:tc>
                <w:tcPr>
                  <w:tcW w:w="2471" w:type="pct"/>
                  <w:gridSpan w:val="3"/>
                  <w:tcBorders>
                    <w:tl2br w:val="nil"/>
                    <w:tr2bl w:val="nil"/>
                  </w:tcBorders>
                  <w:vAlign w:val="center"/>
                </w:tcPr>
                <w:p w14:paraId="59EF183A">
                  <w:pPr>
                    <w:widowControl/>
                    <w:adjustRightInd w:val="0"/>
                    <w:snapToGrid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规范化接管口</w:t>
                  </w:r>
                </w:p>
              </w:tc>
              <w:tc>
                <w:tcPr>
                  <w:tcW w:w="1770" w:type="pct"/>
                  <w:gridSpan w:val="2"/>
                  <w:tcBorders>
                    <w:tl2br w:val="nil"/>
                    <w:tr2bl w:val="nil"/>
                  </w:tcBorders>
                  <w:vAlign w:val="center"/>
                </w:tcPr>
                <w:p w14:paraId="6C8A5813">
                  <w:pPr>
                    <w:widowControl/>
                    <w:adjustRightInd w:val="0"/>
                    <w:snapToGrid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满足《江苏省排污口设置及规范化整治管理办法》的要求</w:t>
                  </w:r>
                </w:p>
              </w:tc>
              <w:tc>
                <w:tcPr>
                  <w:tcW w:w="379" w:type="pct"/>
                  <w:vMerge w:val="continue"/>
                  <w:tcBorders>
                    <w:tl2br w:val="nil"/>
                    <w:tr2bl w:val="nil"/>
                  </w:tcBorders>
                  <w:vAlign w:val="center"/>
                </w:tcPr>
                <w:p w14:paraId="08AB48A7">
                  <w:pPr>
                    <w:adjustRightInd w:val="0"/>
                    <w:snapToGrid w:val="0"/>
                    <w:jc w:val="center"/>
                    <w:rPr>
                      <w:color w:val="000000" w:themeColor="text1"/>
                      <w:highlight w:val="none"/>
                      <w14:textFill>
                        <w14:solidFill>
                          <w14:schemeClr w14:val="tx1"/>
                        </w14:solidFill>
                      </w14:textFill>
                    </w:rPr>
                  </w:pPr>
                </w:p>
              </w:tc>
            </w:tr>
            <w:tr w14:paraId="6DFE2D17">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397" w:hRule="atLeast"/>
                <w:jc w:val="center"/>
              </w:trPr>
              <w:tc>
                <w:tcPr>
                  <w:tcW w:w="379" w:type="pct"/>
                  <w:tcBorders>
                    <w:tl2br w:val="nil"/>
                    <w:tr2bl w:val="nil"/>
                  </w:tcBorders>
                  <w:vAlign w:val="center"/>
                </w:tcPr>
                <w:p w14:paraId="0518337C">
                  <w:pPr>
                    <w:adjustRightInd w:val="0"/>
                    <w:snapToGrid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总量平衡具体方案</w:t>
                  </w:r>
                </w:p>
              </w:tc>
              <w:tc>
                <w:tcPr>
                  <w:tcW w:w="4241" w:type="pct"/>
                  <w:gridSpan w:val="5"/>
                  <w:tcBorders>
                    <w:tl2br w:val="nil"/>
                    <w:tr2bl w:val="nil"/>
                  </w:tcBorders>
                  <w:vAlign w:val="center"/>
                </w:tcPr>
                <w:p w14:paraId="4E2F909D">
                  <w:pPr>
                    <w:widowControl/>
                    <w:adjustRightInd w:val="0"/>
                    <w:snapToGrid w:val="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（1）废气：</w:t>
                  </w:r>
                </w:p>
                <w:p w14:paraId="180DF524">
                  <w:pPr>
                    <w:widowControl/>
                    <w:adjustRightInd w:val="0"/>
                    <w:snapToGrid w:val="0"/>
                    <w:jc w:val="left"/>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eastAsia" w:ascii="Times New Roman" w:hAnsi="Times New Roman" w:eastAsia="宋体" w:cs="Times New Roman"/>
                      <w:color w:val="000000" w:themeColor="text1"/>
                      <w:highlight w:val="none"/>
                      <w:lang w:eastAsia="zh-CN"/>
                      <w14:textFill>
                        <w14:solidFill>
                          <w14:schemeClr w14:val="tx1"/>
                        </w14:solidFill>
                      </w14:textFill>
                    </w:rPr>
                    <w:t>本项目有组织排放量（年新增）：</w:t>
                  </w:r>
                  <w:r>
                    <w:rPr>
                      <w:rFonts w:hint="eastAsia" w:cs="Times New Roman"/>
                      <w:color w:val="000000" w:themeColor="text1"/>
                      <w:highlight w:val="none"/>
                      <w:lang w:eastAsia="zh-CN"/>
                      <w14:textFill>
                        <w14:solidFill>
                          <w14:schemeClr w14:val="tx1"/>
                        </w14:solidFill>
                      </w14:textFill>
                    </w:rPr>
                    <w:t>VOCs≤0.0253吨</w:t>
                  </w:r>
                  <w:r>
                    <w:rPr>
                      <w:rFonts w:hint="eastAsia" w:ascii="Times New Roman" w:hAnsi="Times New Roman" w:eastAsia="宋体" w:cs="Times New Roman"/>
                      <w:color w:val="000000" w:themeColor="text1"/>
                      <w:highlight w:val="none"/>
                      <w:lang w:eastAsia="zh-CN"/>
                      <w14:textFill>
                        <w14:solidFill>
                          <w14:schemeClr w14:val="tx1"/>
                        </w14:solidFill>
                      </w14:textFill>
                    </w:rPr>
                    <w:t>；</w:t>
                  </w:r>
                </w:p>
                <w:p w14:paraId="27A3314B">
                  <w:pPr>
                    <w:widowControl/>
                    <w:adjustRightInd w:val="0"/>
                    <w:snapToGrid w:val="0"/>
                    <w:jc w:val="left"/>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eastAsia="zh-CN"/>
                      <w14:textFill>
                        <w14:solidFill>
                          <w14:schemeClr w14:val="tx1"/>
                        </w14:solidFill>
                      </w14:textFill>
                    </w:rPr>
                    <w:t>无组织排放量（年新增）：</w:t>
                  </w:r>
                  <w:r>
                    <w:rPr>
                      <w:rFonts w:hint="eastAsia" w:cs="Times New Roman"/>
                      <w:color w:val="000000" w:themeColor="text1"/>
                      <w:highlight w:val="none"/>
                      <w:lang w:eastAsia="zh-CN"/>
                      <w14:textFill>
                        <w14:solidFill>
                          <w14:schemeClr w14:val="tx1"/>
                        </w14:solidFill>
                      </w14:textFill>
                    </w:rPr>
                    <w:t>VOCs≤0.0281吨</w:t>
                  </w:r>
                  <w:r>
                    <w:rPr>
                      <w:rFonts w:hint="eastAsia" w:ascii="Times New Roman" w:hAnsi="Times New Roman" w:eastAsia="宋体" w:cs="Times New Roman"/>
                      <w:color w:val="000000" w:themeColor="text1"/>
                      <w:highlight w:val="none"/>
                      <w:lang w:eastAsia="zh-CN"/>
                      <w14:textFill>
                        <w14:solidFill>
                          <w14:schemeClr w14:val="tx1"/>
                        </w14:solidFill>
                      </w14:textFill>
                    </w:rPr>
                    <w:t>；污染物由江宁区大气减排项目平衡</w:t>
                  </w:r>
                  <w:r>
                    <w:rPr>
                      <w:rFonts w:hint="eastAsia" w:ascii="Times New Roman" w:hAnsi="Times New Roman" w:eastAsia="宋体" w:cs="Times New Roman"/>
                      <w:color w:val="000000" w:themeColor="text1"/>
                      <w:highlight w:val="none"/>
                      <w14:textFill>
                        <w14:solidFill>
                          <w14:schemeClr w14:val="tx1"/>
                        </w14:solidFill>
                      </w14:textFill>
                    </w:rPr>
                    <w:t>。</w:t>
                  </w:r>
                </w:p>
                <w:p w14:paraId="3DDED510">
                  <w:pPr>
                    <w:widowControl/>
                    <w:adjustRightInd w:val="0"/>
                    <w:snapToGrid w:val="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废水：</w:t>
                  </w:r>
                </w:p>
                <w:p w14:paraId="568358B1">
                  <w:pPr>
                    <w:widowControl/>
                    <w:adjustRightInd w:val="0"/>
                    <w:snapToGrid w:val="0"/>
                    <w:jc w:val="left"/>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废水外排量（年新增192t/a）：COD≤0.0058吨、氨氮≤0.0003吨</w:t>
                  </w:r>
                  <w:r>
                    <w:rPr>
                      <w:rFonts w:hint="eastAsia"/>
                      <w:color w:val="000000" w:themeColor="text1"/>
                      <w:highlight w:val="none"/>
                      <w14:textFill>
                        <w14:solidFill>
                          <w14:schemeClr w14:val="tx1"/>
                        </w14:solidFill>
                      </w14:textFill>
                    </w:rPr>
                    <w:t>；废水污染物总量指标由江宁区水减排项目平衡</w:t>
                  </w:r>
                  <w:r>
                    <w:rPr>
                      <w:color w:val="000000" w:themeColor="text1"/>
                      <w:highlight w:val="none"/>
                      <w14:textFill>
                        <w14:solidFill>
                          <w14:schemeClr w14:val="tx1"/>
                        </w14:solidFill>
                      </w14:textFill>
                    </w:rPr>
                    <w:t>。</w:t>
                  </w:r>
                </w:p>
                <w:p w14:paraId="70622DAB">
                  <w:pPr>
                    <w:widowControl/>
                    <w:adjustRightInd w:val="0"/>
                    <w:snapToGrid w:val="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）固废：</w:t>
                  </w:r>
                </w:p>
                <w:p w14:paraId="1744A819">
                  <w:pPr>
                    <w:widowControl/>
                    <w:adjustRightInd w:val="0"/>
                    <w:snapToGrid w:val="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固废均得到妥善处置，无需申请总量</w:t>
                  </w:r>
                </w:p>
              </w:tc>
              <w:tc>
                <w:tcPr>
                  <w:tcW w:w="379" w:type="pct"/>
                  <w:vMerge w:val="continue"/>
                  <w:tcBorders>
                    <w:tl2br w:val="nil"/>
                    <w:tr2bl w:val="nil"/>
                  </w:tcBorders>
                  <w:vAlign w:val="center"/>
                </w:tcPr>
                <w:p w14:paraId="48C62857">
                  <w:pPr>
                    <w:adjustRightInd w:val="0"/>
                    <w:snapToGrid w:val="0"/>
                    <w:jc w:val="center"/>
                    <w:rPr>
                      <w:color w:val="000000" w:themeColor="text1"/>
                      <w:highlight w:val="none"/>
                      <w14:textFill>
                        <w14:solidFill>
                          <w14:schemeClr w14:val="tx1"/>
                        </w14:solidFill>
                      </w14:textFill>
                    </w:rPr>
                  </w:pPr>
                </w:p>
              </w:tc>
            </w:tr>
            <w:tr w14:paraId="42F4CEA0">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397" w:hRule="atLeast"/>
                <w:jc w:val="center"/>
              </w:trPr>
              <w:tc>
                <w:tcPr>
                  <w:tcW w:w="379" w:type="pct"/>
                  <w:tcBorders>
                    <w:tl2br w:val="nil"/>
                    <w:tr2bl w:val="nil"/>
                  </w:tcBorders>
                  <w:vAlign w:val="center"/>
                </w:tcPr>
                <w:p w14:paraId="1B28A339">
                  <w:pPr>
                    <w:widowControl/>
                    <w:adjustRightInd w:val="0"/>
                    <w:snapToGrid w:val="0"/>
                    <w:jc w:val="center"/>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“以新带老措施”</w:t>
                  </w:r>
                </w:p>
              </w:tc>
              <w:tc>
                <w:tcPr>
                  <w:tcW w:w="4241" w:type="pct"/>
                  <w:gridSpan w:val="5"/>
                  <w:tcBorders>
                    <w:tl2br w:val="nil"/>
                    <w:tr2bl w:val="nil"/>
                  </w:tcBorders>
                  <w:vAlign w:val="center"/>
                </w:tcPr>
                <w:p w14:paraId="73B81629">
                  <w:pPr>
                    <w:widowControl/>
                    <w:adjustRightInd w:val="0"/>
                    <w:snapToGrid w:val="0"/>
                    <w:jc w:val="center"/>
                    <w:rPr>
                      <w:rFonts w:ascii="Times New Roman" w:hAnsi="Times New Roman" w:eastAsia="宋体"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w:t>
                  </w:r>
                </w:p>
              </w:tc>
              <w:tc>
                <w:tcPr>
                  <w:tcW w:w="379" w:type="pct"/>
                  <w:vMerge w:val="continue"/>
                  <w:tcBorders>
                    <w:tl2br w:val="nil"/>
                    <w:tr2bl w:val="nil"/>
                  </w:tcBorders>
                  <w:vAlign w:val="center"/>
                </w:tcPr>
                <w:p w14:paraId="3522CDB5">
                  <w:pPr>
                    <w:widowControl/>
                    <w:adjustRightInd w:val="0"/>
                    <w:snapToGrid w:val="0"/>
                    <w:jc w:val="center"/>
                    <w:rPr>
                      <w:color w:val="000000" w:themeColor="text1"/>
                      <w:highlight w:val="none"/>
                      <w14:textFill>
                        <w14:solidFill>
                          <w14:schemeClr w14:val="tx1"/>
                        </w14:solidFill>
                      </w14:textFill>
                    </w:rPr>
                  </w:pPr>
                </w:p>
              </w:tc>
            </w:tr>
            <w:tr w14:paraId="51AD5538">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397" w:hRule="atLeast"/>
                <w:jc w:val="center"/>
              </w:trPr>
              <w:tc>
                <w:tcPr>
                  <w:tcW w:w="379" w:type="pct"/>
                  <w:tcBorders>
                    <w:tl2br w:val="nil"/>
                    <w:tr2bl w:val="nil"/>
                  </w:tcBorders>
                  <w:vAlign w:val="center"/>
                </w:tcPr>
                <w:p w14:paraId="38415C02">
                  <w:pPr>
                    <w:widowControl/>
                    <w:adjustRightInd w:val="0"/>
                    <w:snapToGrid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合计</w:t>
                  </w:r>
                </w:p>
              </w:tc>
              <w:tc>
                <w:tcPr>
                  <w:tcW w:w="3755" w:type="pct"/>
                  <w:gridSpan w:val="4"/>
                  <w:tcBorders>
                    <w:tl2br w:val="nil"/>
                    <w:tr2bl w:val="nil"/>
                  </w:tcBorders>
                  <w:vAlign w:val="center"/>
                </w:tcPr>
                <w:p w14:paraId="76D092CB">
                  <w:pPr>
                    <w:widowControl/>
                    <w:adjustRightInd w:val="0"/>
                    <w:snapToGrid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485" w:type="pct"/>
                  <w:tcBorders>
                    <w:tl2br w:val="nil"/>
                    <w:tr2bl w:val="nil"/>
                  </w:tcBorders>
                  <w:vAlign w:val="center"/>
                </w:tcPr>
                <w:p w14:paraId="7A4EC8FA">
                  <w:pPr>
                    <w:widowControl/>
                    <w:adjustRightInd w:val="0"/>
                    <w:snapToGrid w:val="0"/>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p>
              </w:tc>
              <w:tc>
                <w:tcPr>
                  <w:tcW w:w="379" w:type="pct"/>
                  <w:tcBorders>
                    <w:tl2br w:val="nil"/>
                    <w:tr2bl w:val="nil"/>
                  </w:tcBorders>
                  <w:vAlign w:val="center"/>
                </w:tcPr>
                <w:p w14:paraId="56AF698B">
                  <w:pPr>
                    <w:widowControl/>
                    <w:adjustRightInd w:val="0"/>
                    <w:snapToGrid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bl>
          <w:p w14:paraId="571C6F38">
            <w:pPr>
              <w:adjustRightInd w:val="0"/>
              <w:snapToGrid w:val="0"/>
              <w:spacing w:line="440" w:lineRule="exact"/>
              <w:jc w:val="cente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p>
          <w:p w14:paraId="4787DDAE">
            <w:pPr>
              <w:spacing w:line="360" w:lineRule="auto"/>
              <w:rPr>
                <w:bCs/>
                <w:color w:val="000000" w:themeColor="text1"/>
                <w:sz w:val="24"/>
                <w:highlight w:val="none"/>
                <w14:textFill>
                  <w14:solidFill>
                    <w14:schemeClr w14:val="tx1"/>
                  </w14:solidFill>
                </w14:textFill>
              </w:rPr>
            </w:pPr>
          </w:p>
        </w:tc>
      </w:tr>
      <w:tr w14:paraId="04E87F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1" w:type="pct"/>
            <w:vAlign w:val="center"/>
          </w:tcPr>
          <w:p w14:paraId="6361D348">
            <w:pPr>
              <w:pStyle w:val="34"/>
              <w:adjustRightInd w:val="0"/>
              <w:snapToGrid w:val="0"/>
              <w:spacing w:before="0" w:beforeAutospacing="0" w:after="0" w:afterAutospacing="0" w:line="440" w:lineRule="exact"/>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Cs w:val="24"/>
                <w:highlight w:val="none"/>
                <w14:textFill>
                  <w14:solidFill>
                    <w14:schemeClr w14:val="tx1"/>
                  </w14:solidFill>
                </w14:textFill>
              </w:rPr>
              <w:t>工艺流程和产排污环节</w:t>
            </w:r>
          </w:p>
        </w:tc>
        <w:tc>
          <w:tcPr>
            <w:tcW w:w="4748" w:type="pct"/>
          </w:tcPr>
          <w:p w14:paraId="7DBF5C8C">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一、施工期工程分析</w:t>
            </w:r>
          </w:p>
          <w:p w14:paraId="13A638F6">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rFonts w:hint="eastAsia"/>
                <w:color w:val="000000" w:themeColor="text1"/>
                <w:sz w:val="24"/>
                <w:highlight w:val="none"/>
                <w14:textFill>
                  <w14:solidFill>
                    <w14:schemeClr w14:val="tx1"/>
                  </w14:solidFill>
                </w14:textFill>
              </w:rPr>
              <w:t>本项目建筑主体工程已建成，施工期无土建过程，只需进行厂房装修和设备的安装调试。施工期主要为设备进场安装与调试产生的噪声。本报告不再对施工期污染情况进行分析</w:t>
            </w:r>
            <w:r>
              <w:rPr>
                <w:rFonts w:hint="eastAsia"/>
                <w:color w:val="000000" w:themeColor="text1"/>
                <w:sz w:val="24"/>
                <w:highlight w:val="none"/>
                <w:lang w:val="zh-CN"/>
                <w14:textFill>
                  <w14:solidFill>
                    <w14:schemeClr w14:val="tx1"/>
                  </w14:solidFill>
                </w14:textFill>
              </w:rPr>
              <w:t>。</w:t>
            </w:r>
          </w:p>
          <w:p w14:paraId="2AA68F4A">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二、运营期工艺流程：</w:t>
            </w:r>
          </w:p>
          <w:p w14:paraId="0421C397">
            <w:pPr>
              <w:adjustRightInd w:val="0"/>
              <w:snapToGrid w:val="0"/>
              <w:spacing w:line="460" w:lineRule="exact"/>
              <w:ind w:firstLine="480" w:firstLineChars="200"/>
              <w:rPr>
                <w:rFonts w:hint="eastAsia" w:ascii="Times New Roman" w:hAnsi="Times New Roman" w:eastAsia="宋体" w:cs="Times New Roman"/>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sz w:val="24"/>
                <w:highlight w:val="none"/>
                <w14:textFill>
                  <w14:solidFill>
                    <w14:schemeClr w14:val="tx1"/>
                  </w14:solidFill>
                </w14:textFill>
              </w:rPr>
              <w:t>1工艺和产污环节</w:t>
            </w:r>
          </w:p>
          <w:p w14:paraId="5535146D">
            <w:pPr>
              <w:adjustRightInd w:val="0"/>
              <w:snapToGrid w:val="0"/>
              <w:spacing w:line="460" w:lineRule="exact"/>
              <w:ind w:firstLine="480" w:firstLineChars="200"/>
              <w:rPr>
                <w:rFonts w:hint="eastAsia" w:ascii="Times New Roman" w:hAnsi="Times New Roman" w:eastAsia="宋体" w:cs="Times New Roman"/>
                <w:color w:val="000000" w:themeColor="text1"/>
                <w:sz w:val="24"/>
                <w:highlight w:val="none"/>
                <w:lang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本项目汽车连接器分为防水栓和护套，</w:t>
            </w:r>
            <w:r>
              <w:rPr>
                <w:rFonts w:hint="eastAsia" w:ascii="Times New Roman" w:hAnsi="Times New Roman" w:eastAsia="宋体" w:cs="Times New Roman"/>
                <w:color w:val="000000" w:themeColor="text1"/>
                <w:sz w:val="24"/>
                <w:highlight w:val="none"/>
                <w14:textFill>
                  <w14:solidFill>
                    <w14:schemeClr w14:val="tx1"/>
                  </w14:solidFill>
                </w14:textFill>
              </w:rPr>
              <w:t>生产工艺</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及产污环节</w:t>
            </w:r>
            <w:r>
              <w:rPr>
                <w:rFonts w:hint="eastAsia" w:ascii="Times New Roman" w:hAnsi="Times New Roman" w:eastAsia="宋体" w:cs="Times New Roman"/>
                <w:color w:val="000000" w:themeColor="text1"/>
                <w:sz w:val="24"/>
                <w:highlight w:val="none"/>
                <w14:textFill>
                  <w14:solidFill>
                    <w14:schemeClr w14:val="tx1"/>
                  </w14:solidFill>
                </w14:textFill>
              </w:rPr>
              <w:t>流程图如下</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p>
          <w:p w14:paraId="324132C8">
            <w:pPr>
              <w:adjustRightInd w:val="0"/>
              <w:snapToGrid w:val="0"/>
              <w:spacing w:line="460" w:lineRule="exact"/>
              <w:ind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1）防水栓</w:t>
            </w:r>
          </w:p>
          <w:p w14:paraId="107D208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b/>
                <w:bCs/>
                <w:color w:val="000000" w:themeColor="text1"/>
                <w:kern w:val="0"/>
                <w:sz w:val="24"/>
                <w:highlight w:val="none"/>
                <w:lang w:val="en-US" w:bidi="ar-SA"/>
                <w14:textFill>
                  <w14:solidFill>
                    <w14:schemeClr w14:val="tx1"/>
                  </w14:solidFill>
                </w14:textFill>
              </w:rPr>
            </w:pPr>
            <w:r>
              <w:rPr>
                <w:rFonts w:hint="eastAsia" w:ascii="Times New Roman" w:hAnsi="Times New Roman" w:cs="Times New Roman"/>
                <w:b/>
                <w:bCs/>
                <w:color w:val="000000" w:themeColor="text1"/>
                <w:kern w:val="0"/>
                <w:sz w:val="24"/>
                <w:highlight w:val="none"/>
                <w:lang w:val="en-US" w:bidi="ar-SA"/>
                <w14:textFill>
                  <w14:solidFill>
                    <w14:schemeClr w14:val="tx1"/>
                  </w14:solidFill>
                </w14:textFill>
              </w:rPr>
              <w:object>
                <v:shape id="_x0000_i1026" o:spt="75" type="#_x0000_t75" style="height:357.75pt;width:384pt;" o:ole="t" filled="f" o:preferrelative="t" stroked="f" coordsize="21600,21600">
                  <v:path/>
                  <v:fill on="f" focussize="0,0"/>
                  <v:stroke on="f"/>
                  <v:imagedata r:id="rId19" o:title=""/>
                  <o:lock v:ext="edit" aspectratio="f"/>
                  <w10:wrap type="none"/>
                  <w10:anchorlock/>
                </v:shape>
                <o:OLEObject Type="Embed" ProgID="Visio.Drawing.15" ShapeID="_x0000_i1026" DrawAspect="Content" ObjectID="_1468075726" r:id="rId18">
                  <o:LockedField>false</o:LockedField>
                </o:OLEObject>
              </w:object>
            </w:r>
          </w:p>
          <w:p w14:paraId="2CFC9BE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cs="宋体"/>
                <w:b/>
                <w:bCs/>
                <w:color w:val="000000" w:themeColor="text1"/>
                <w:kern w:val="0"/>
                <w:sz w:val="24"/>
                <w:highlight w:val="none"/>
                <w:lang w:val="en-US" w:eastAsia="zh-CN"/>
                <w14:textFill>
                  <w14:solidFill>
                    <w14:schemeClr w14:val="tx1"/>
                  </w14:solidFill>
                </w14:textFill>
              </w:rPr>
            </w:pPr>
            <w:r>
              <w:rPr>
                <w:rFonts w:hint="eastAsia" w:ascii="Times New Roman" w:hAnsi="Times New Roman" w:cs="Times New Roman"/>
                <w:b/>
                <w:bCs/>
                <w:color w:val="000000" w:themeColor="text1"/>
                <w:kern w:val="0"/>
                <w:sz w:val="24"/>
                <w:highlight w:val="none"/>
                <w:lang w:val="en-US" w:bidi="ar-SA"/>
                <w14:textFill>
                  <w14:solidFill>
                    <w14:schemeClr w14:val="tx1"/>
                  </w14:solidFill>
                </w14:textFill>
              </w:rPr>
              <w:t>图2-</w:t>
            </w:r>
            <w:r>
              <w:rPr>
                <w:rFonts w:hint="eastAsia" w:cs="Times New Roman"/>
                <w:b/>
                <w:bCs/>
                <w:color w:val="000000" w:themeColor="text1"/>
                <w:kern w:val="0"/>
                <w:sz w:val="24"/>
                <w:highlight w:val="none"/>
                <w:lang w:val="en-US" w:eastAsia="zh-CN" w:bidi="ar-SA"/>
                <w14:textFill>
                  <w14:solidFill>
                    <w14:schemeClr w14:val="tx1"/>
                  </w14:solidFill>
                </w14:textFill>
              </w:rPr>
              <w:t>2  防水栓生产工艺</w:t>
            </w:r>
            <w:r>
              <w:rPr>
                <w:rFonts w:hint="eastAsia" w:ascii="Times New Roman" w:hAnsi="Times New Roman" w:cs="Times New Roman"/>
                <w:b/>
                <w:bCs/>
                <w:color w:val="000000" w:themeColor="text1"/>
                <w:kern w:val="0"/>
                <w:sz w:val="24"/>
                <w:highlight w:val="none"/>
                <w:lang w:val="en-US" w:bidi="ar-SA"/>
                <w14:textFill>
                  <w14:solidFill>
                    <w14:schemeClr w14:val="tx1"/>
                  </w14:solidFill>
                </w14:textFill>
              </w:rPr>
              <w:t>流程及产</w:t>
            </w:r>
            <w:r>
              <w:rPr>
                <w:rFonts w:hint="eastAsia" w:ascii="Times New Roman" w:hAnsi="Times New Roman" w:cs="Times New Roman"/>
                <w:b/>
                <w:bCs/>
                <w:color w:val="000000" w:themeColor="text1"/>
                <w:kern w:val="0"/>
                <w:sz w:val="24"/>
                <w:highlight w:val="none"/>
                <w:shd w:val="clear"/>
                <w:lang w:val="en-US" w:bidi="ar-SA"/>
                <w14:textFill>
                  <w14:solidFill>
                    <w14:schemeClr w14:val="tx1"/>
                  </w14:solidFill>
                </w14:textFill>
              </w:rPr>
              <w:t>污环节图</w:t>
            </w:r>
          </w:p>
          <w:p w14:paraId="088B6EAB">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cs="Times New Roman"/>
                <w:b/>
                <w:bCs/>
                <w:color w:val="000000" w:themeColor="text1"/>
                <w:kern w:val="0"/>
                <w:sz w:val="24"/>
                <w:highlight w:val="none"/>
                <w:lang w:val="en-US" w:bidi="ar-SA"/>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工艺流程简述：</w:t>
            </w:r>
          </w:p>
          <w:p w14:paraId="06A2F57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pP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①</w:t>
            </w:r>
            <w:r>
              <w:rPr>
                <w:rFonts w:hint="eastAsia"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滚</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料</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：将硅胶、硫化剂及色</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粉</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等添加剂</w:t>
            </w:r>
            <w:r>
              <w:rPr>
                <w:rFonts w:hint="eastAsia"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人工</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投入</w:t>
            </w:r>
            <w:r>
              <w:rPr>
                <w:rFonts w:hint="eastAsia"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开放式</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滚料机</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进行反复碾压、混合。其目的就是将各种原料混合成一个均匀、可塑性强的胶料，此过程会产生G1</w:t>
            </w:r>
            <w:r>
              <w:rPr>
                <w:rFonts w:hint="eastAsia"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投料废气</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w:t>
            </w:r>
          </w:p>
          <w:p w14:paraId="1582EEB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pP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②硫化成型</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通过油压机将</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胶料</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放入加热的金属模具中合模并加压，使胶料在高温高压下发生交联反应，通过交联，胶料中的单个分子产生交联，且随交联密度的增加，硬度也就相应增加，进而固化成型。采用电加热，温度180℃。硫化完成后取出模具，进而取出硅胶制品半成品。硫化使用的是‌过氧化物硫化体系，</w:t>
            </w:r>
            <w:r>
              <w:rPr>
                <w:rFonts w:hint="eastAsia"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无</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硫化物污染物产生。</w:t>
            </w:r>
            <w:r>
              <w:rPr>
                <w:color w:val="000000" w:themeColor="text1"/>
                <w:sz w:val="24"/>
                <w:highlight w:val="none"/>
                <w14:textFill>
                  <w14:solidFill>
                    <w14:schemeClr w14:val="tx1"/>
                  </w14:solidFill>
                </w14:textFill>
              </w:rPr>
              <w:t>设备设有冷却水管进行间接冷却，冷却水</w:t>
            </w:r>
            <w:r>
              <w:rPr>
                <w:rFonts w:hint="eastAsia"/>
                <w:color w:val="000000" w:themeColor="text1"/>
                <w:sz w:val="24"/>
                <w:highlight w:val="none"/>
                <w:lang w:val="en-US" w:eastAsia="zh-CN"/>
                <w14:textFill>
                  <w14:solidFill>
                    <w14:schemeClr w14:val="tx1"/>
                  </w14:solidFill>
                </w14:textFill>
              </w:rPr>
              <w:t>循环使用，不外排。</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此过程会产生</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G2硫化废气</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、S</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1边角料；</w:t>
            </w:r>
          </w:p>
          <w:p w14:paraId="7BA5A41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pP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③检验：脱模后人工通过目测（检查是否有缺料、气泡、毛刺等）。此过程会产生S2不合格品；</w:t>
            </w:r>
          </w:p>
          <w:p w14:paraId="79832CD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pP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④组装</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人工进行组装，实现密封功能。此过程无污染物产生；</w:t>
            </w:r>
          </w:p>
          <w:p w14:paraId="0A00EDA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pP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⑤包装：按照包装规范，人工将合格的产品放入包装箱。此过程会产生S3废包装材料‌。</w:t>
            </w:r>
          </w:p>
          <w:p w14:paraId="78C180AD">
            <w:pPr>
              <w:adjustRightInd w:val="0"/>
              <w:snapToGrid w:val="0"/>
              <w:spacing w:line="460" w:lineRule="exact"/>
              <w:ind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2）护套</w:t>
            </w:r>
          </w:p>
          <w:p w14:paraId="6E85692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b/>
                <w:bCs/>
                <w:color w:val="000000" w:themeColor="text1"/>
                <w:kern w:val="0"/>
                <w:sz w:val="24"/>
                <w:highlight w:val="none"/>
                <w:lang w:val="en-US" w:bidi="ar-SA"/>
                <w14:textFill>
                  <w14:solidFill>
                    <w14:schemeClr w14:val="tx1"/>
                  </w14:solidFill>
                </w14:textFill>
              </w:rPr>
            </w:pPr>
            <w:r>
              <w:rPr>
                <w:rFonts w:hint="eastAsia" w:ascii="Times New Roman" w:hAnsi="Times New Roman" w:cs="Times New Roman"/>
                <w:b/>
                <w:bCs/>
                <w:color w:val="000000" w:themeColor="text1"/>
                <w:kern w:val="0"/>
                <w:sz w:val="24"/>
                <w:highlight w:val="none"/>
                <w:lang w:val="en-US" w:bidi="ar-SA"/>
                <w14:textFill>
                  <w14:solidFill>
                    <w14:schemeClr w14:val="tx1"/>
                  </w14:solidFill>
                </w14:textFill>
              </w:rPr>
              <w:object>
                <v:shape id="_x0000_i1027" o:spt="75" type="#_x0000_t75" style="height:357.75pt;width:384pt;" o:ole="t" filled="f" o:preferrelative="t" stroked="f" coordsize="21600,21600">
                  <v:path/>
                  <v:fill on="f" focussize="0,0"/>
                  <v:stroke on="f"/>
                  <v:imagedata r:id="rId21" o:title=""/>
                  <o:lock v:ext="edit" aspectratio="f"/>
                  <w10:wrap type="none"/>
                  <w10:anchorlock/>
                </v:shape>
                <o:OLEObject Type="Embed" ProgID="Visio.Drawing.15" ShapeID="_x0000_i1027" DrawAspect="Content" ObjectID="_1468075727" r:id="rId20">
                  <o:LockedField>false</o:LockedField>
                </o:OLEObject>
              </w:object>
            </w:r>
          </w:p>
          <w:p w14:paraId="6DAA95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cs="宋体"/>
                <w:b/>
                <w:bCs/>
                <w:color w:val="000000" w:themeColor="text1"/>
                <w:kern w:val="0"/>
                <w:sz w:val="24"/>
                <w:highlight w:val="none"/>
                <w:lang w:val="en-US" w:eastAsia="zh-CN"/>
                <w14:textFill>
                  <w14:solidFill>
                    <w14:schemeClr w14:val="tx1"/>
                  </w14:solidFill>
                </w14:textFill>
              </w:rPr>
            </w:pPr>
            <w:r>
              <w:rPr>
                <w:rFonts w:hint="eastAsia" w:ascii="Times New Roman" w:hAnsi="Times New Roman" w:cs="Times New Roman"/>
                <w:b/>
                <w:bCs/>
                <w:color w:val="000000" w:themeColor="text1"/>
                <w:kern w:val="0"/>
                <w:sz w:val="24"/>
                <w:highlight w:val="none"/>
                <w:lang w:val="en-US" w:bidi="ar-SA"/>
                <w14:textFill>
                  <w14:solidFill>
                    <w14:schemeClr w14:val="tx1"/>
                  </w14:solidFill>
                </w14:textFill>
              </w:rPr>
              <w:t>图2-</w:t>
            </w:r>
            <w:r>
              <w:rPr>
                <w:rFonts w:hint="eastAsia" w:cs="Times New Roman"/>
                <w:b/>
                <w:bCs/>
                <w:color w:val="000000" w:themeColor="text1"/>
                <w:kern w:val="0"/>
                <w:sz w:val="24"/>
                <w:highlight w:val="none"/>
                <w:lang w:val="en-US" w:eastAsia="zh-CN" w:bidi="ar-SA"/>
                <w14:textFill>
                  <w14:solidFill>
                    <w14:schemeClr w14:val="tx1"/>
                  </w14:solidFill>
                </w14:textFill>
              </w:rPr>
              <w:t>3  护套生产工艺</w:t>
            </w:r>
            <w:r>
              <w:rPr>
                <w:rFonts w:hint="eastAsia" w:ascii="Times New Roman" w:hAnsi="Times New Roman" w:cs="Times New Roman"/>
                <w:b/>
                <w:bCs/>
                <w:color w:val="000000" w:themeColor="text1"/>
                <w:kern w:val="0"/>
                <w:sz w:val="24"/>
                <w:highlight w:val="none"/>
                <w:lang w:val="en-US" w:bidi="ar-SA"/>
                <w14:textFill>
                  <w14:solidFill>
                    <w14:schemeClr w14:val="tx1"/>
                  </w14:solidFill>
                </w14:textFill>
              </w:rPr>
              <w:t>流程及产</w:t>
            </w:r>
            <w:r>
              <w:rPr>
                <w:rFonts w:hint="eastAsia" w:ascii="Times New Roman" w:hAnsi="Times New Roman" w:cs="Times New Roman"/>
                <w:b/>
                <w:bCs/>
                <w:color w:val="000000" w:themeColor="text1"/>
                <w:kern w:val="0"/>
                <w:sz w:val="24"/>
                <w:highlight w:val="none"/>
                <w:shd w:val="clear"/>
                <w:lang w:val="en-US" w:bidi="ar-SA"/>
                <w14:textFill>
                  <w14:solidFill>
                    <w14:schemeClr w14:val="tx1"/>
                  </w14:solidFill>
                </w14:textFill>
              </w:rPr>
              <w:t>污环节图</w:t>
            </w:r>
          </w:p>
          <w:p w14:paraId="07821967">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cs="Times New Roman"/>
                <w:b/>
                <w:bCs/>
                <w:color w:val="000000" w:themeColor="text1"/>
                <w:kern w:val="0"/>
                <w:sz w:val="24"/>
                <w:highlight w:val="none"/>
                <w:lang w:val="en-US" w:bidi="ar-SA"/>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工艺流程简述：</w:t>
            </w:r>
          </w:p>
          <w:p w14:paraId="3372867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pP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①</w:t>
            </w:r>
            <w:r>
              <w:rPr>
                <w:rFonts w:hint="eastAsia"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滚</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料</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人工</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将</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PET</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色母</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投入</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塑料注射成型机进行</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混合。此过程会产生G</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3</w:t>
            </w:r>
            <w:r>
              <w:rPr>
                <w:rFonts w:hint="eastAsia"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混合</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废气；</w:t>
            </w:r>
          </w:p>
          <w:p w14:paraId="6CC755F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pP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②注射成型</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使用塑料注射成型机利用电加热圈将料筒分段加热，使固体原料在螺杆旋转过程中被逐步熔化。</w:t>
            </w:r>
            <w:r>
              <w:rPr>
                <w:color w:val="000000" w:themeColor="text1"/>
                <w:sz w:val="24"/>
                <w:highlight w:val="none"/>
                <w14:textFill>
                  <w14:solidFill>
                    <w14:schemeClr w14:val="tx1"/>
                  </w14:solidFill>
                </w14:textFill>
              </w:rPr>
              <w:t>借助螺杆的推力，将熔融状态下的</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物料</w:t>
            </w:r>
            <w:r>
              <w:rPr>
                <w:color w:val="000000" w:themeColor="text1"/>
                <w:sz w:val="24"/>
                <w:highlight w:val="none"/>
                <w14:textFill>
                  <w14:solidFill>
                    <w14:schemeClr w14:val="tx1"/>
                  </w14:solidFill>
                </w14:textFill>
              </w:rPr>
              <w:t>通过</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塑料注射成型机</w:t>
            </w:r>
            <w:r>
              <w:rPr>
                <w:color w:val="000000" w:themeColor="text1"/>
                <w:sz w:val="24"/>
                <w:highlight w:val="none"/>
                <w14:textFill>
                  <w14:solidFill>
                    <w14:schemeClr w14:val="tx1"/>
                  </w14:solidFill>
                </w14:textFill>
              </w:rPr>
              <w:t>注射入模具中。</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加热方式为</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电加热</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，温度200-300℃。</w:t>
            </w:r>
            <w:r>
              <w:rPr>
                <w:color w:val="000000" w:themeColor="text1"/>
                <w:sz w:val="24"/>
                <w:highlight w:val="none"/>
                <w14:textFill>
                  <w14:solidFill>
                    <w14:schemeClr w14:val="tx1"/>
                  </w14:solidFill>
                </w14:textFill>
              </w:rPr>
              <w:t>在模具中使原料熔融流动并均匀地充满模腔，在加热和加压的条件下经过</w:t>
            </w:r>
            <w:r>
              <w:rPr>
                <w:rFonts w:hint="eastAsia"/>
                <w:color w:val="000000" w:themeColor="text1"/>
                <w:sz w:val="24"/>
                <w:highlight w:val="none"/>
                <w:lang w:eastAsia="zh-CN"/>
                <w14:textFill>
                  <w14:solidFill>
                    <w14:schemeClr w14:val="tx1"/>
                  </w14:solidFill>
                </w14:textFill>
              </w:rPr>
              <w:t>一定</w:t>
            </w:r>
            <w:r>
              <w:rPr>
                <w:color w:val="000000" w:themeColor="text1"/>
                <w:sz w:val="24"/>
                <w:highlight w:val="none"/>
                <w14:textFill>
                  <w14:solidFill>
                    <w14:schemeClr w14:val="tx1"/>
                  </w14:solidFill>
                </w14:textFill>
              </w:rPr>
              <w:t>的时间，使原料形成制品，1分钟左右得到本项目所生产的塑料零部件。设备设有冷却水管进行间接冷却，冷却水</w:t>
            </w:r>
            <w:r>
              <w:rPr>
                <w:rFonts w:hint="eastAsia"/>
                <w:color w:val="000000" w:themeColor="text1"/>
                <w:sz w:val="24"/>
                <w:highlight w:val="none"/>
                <w:lang w:val="en-US" w:eastAsia="zh-CN"/>
                <w14:textFill>
                  <w14:solidFill>
                    <w14:schemeClr w14:val="tx1"/>
                  </w14:solidFill>
                </w14:textFill>
              </w:rPr>
              <w:t>循环使用，不外排。</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此过程会产生</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G4成型废气、S4边角料；</w:t>
            </w:r>
          </w:p>
          <w:p w14:paraId="45543CE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pP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③检验：脱模后人工通过目测（检查是否有缺料、气泡、毛刺等）。此过程会产生S5不合格品；</w:t>
            </w:r>
          </w:p>
          <w:p w14:paraId="5C18A31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pP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④组装</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人工进行组装，实现密封功能。此过程无污染物产生；</w:t>
            </w:r>
          </w:p>
          <w:p w14:paraId="2C8C6698">
            <w:pPr>
              <w:adjustRightInd w:val="0"/>
              <w:snapToGrid w:val="0"/>
              <w:spacing w:line="440" w:lineRule="exact"/>
              <w:ind w:firstLine="480" w:firstLineChars="200"/>
              <w:rPr>
                <w:rFonts w:hint="eastAsia" w:cs="Times New Roman"/>
                <w:b w:val="0"/>
                <w:bCs w:val="0"/>
                <w:color w:val="000000" w:themeColor="text1"/>
                <w:sz w:val="24"/>
                <w:highlight w:val="none"/>
                <w:lang w:val="en-US" w:eastAsia="zh-CN"/>
                <w14:textFill>
                  <w14:solidFill>
                    <w14:schemeClr w14:val="tx1"/>
                  </w14:solidFill>
                </w14:textFill>
              </w:rPr>
            </w:pP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⑤包装：按照包装规范，人工将合格的产品放入包装箱。此过程会产生S6废包装材料</w:t>
            </w:r>
            <w:r>
              <w:rPr>
                <w:rFonts w:hint="eastAsia" w:cs="Times New Roman"/>
                <w:b w:val="0"/>
                <w:bCs w:val="0"/>
                <w:color w:val="000000" w:themeColor="text1"/>
                <w:sz w:val="24"/>
                <w:highlight w:val="none"/>
                <w:lang w:val="en-US" w:eastAsia="zh-CN"/>
                <w14:textFill>
                  <w14:solidFill>
                    <w14:schemeClr w14:val="tx1"/>
                  </w14:solidFill>
                </w14:textFill>
              </w:rPr>
              <w:t>‌。</w:t>
            </w:r>
          </w:p>
          <w:p w14:paraId="2AD579E3">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2.其他产污环节</w:t>
            </w:r>
          </w:p>
          <w:p w14:paraId="4609203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eastAsia="宋体" w:cs="Times New Roman"/>
                <w:b w:val="0"/>
                <w:bCs w:val="0"/>
                <w:color w:val="000000" w:themeColor="text1"/>
                <w:sz w:val="24"/>
                <w:highlight w:val="none"/>
                <w:lang w:val="en-US" w:eastAsia="zh-CN"/>
                <w14:textFill>
                  <w14:solidFill>
                    <w14:schemeClr w14:val="tx1"/>
                  </w14:solidFill>
                </w14:textFill>
              </w:rPr>
            </w:pPr>
            <w:r>
              <w:rPr>
                <w:rFonts w:hint="eastAsia" w:eastAsia="宋体" w:cs="Times New Roman"/>
                <w:b w:val="0"/>
                <w:bCs w:val="0"/>
                <w:color w:val="000000" w:themeColor="text1"/>
                <w:sz w:val="24"/>
                <w:highlight w:val="none"/>
                <w:lang w:val="en-US" w:eastAsia="zh-CN"/>
                <w14:textFill>
                  <w14:solidFill>
                    <w14:schemeClr w14:val="tx1"/>
                  </w14:solidFill>
                </w14:textFill>
              </w:rPr>
              <w:t>危废仓库日常运行中会产生危废仓库废气G</w:t>
            </w:r>
            <w:r>
              <w:rPr>
                <w:rFonts w:hint="eastAsia" w:cs="Times New Roman"/>
                <w:b w:val="0"/>
                <w:bCs w:val="0"/>
                <w:color w:val="000000" w:themeColor="text1"/>
                <w:sz w:val="24"/>
                <w:highlight w:val="none"/>
                <w:lang w:val="en-US" w:eastAsia="zh-CN"/>
                <w14:textFill>
                  <w14:solidFill>
                    <w14:schemeClr w14:val="tx1"/>
                  </w14:solidFill>
                </w14:textFill>
              </w:rPr>
              <w:t>5</w:t>
            </w:r>
            <w:r>
              <w:rPr>
                <w:rFonts w:hint="eastAsia" w:eastAsia="宋体" w:cs="Times New Roman"/>
                <w:b w:val="0"/>
                <w:bCs w:val="0"/>
                <w:color w:val="000000" w:themeColor="text1"/>
                <w:sz w:val="24"/>
                <w:highlight w:val="none"/>
                <w:lang w:val="en-US" w:eastAsia="zh-CN"/>
                <w14:textFill>
                  <w14:solidFill>
                    <w14:schemeClr w14:val="tx1"/>
                  </w14:solidFill>
                </w14:textFill>
              </w:rPr>
              <w:t>。</w:t>
            </w:r>
          </w:p>
          <w:p w14:paraId="313B0E7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eastAsia="宋体" w:cs="Times New Roman"/>
                <w:b w:val="0"/>
                <w:bCs w:val="0"/>
                <w:color w:val="000000" w:themeColor="text1"/>
                <w:sz w:val="24"/>
                <w:highlight w:val="none"/>
                <w:lang w:val="en-US" w:eastAsia="zh-CN"/>
                <w14:textFill>
                  <w14:solidFill>
                    <w14:schemeClr w14:val="tx1"/>
                  </w14:solidFill>
                </w14:textFill>
              </w:rPr>
            </w:pPr>
            <w:r>
              <w:rPr>
                <w:rFonts w:hint="eastAsia" w:eastAsia="宋体" w:cs="Times New Roman"/>
                <w:b w:val="0"/>
                <w:bCs w:val="0"/>
                <w:color w:val="000000" w:themeColor="text1"/>
                <w:sz w:val="24"/>
                <w:highlight w:val="none"/>
                <w:lang w:val="en-US" w:eastAsia="zh-CN"/>
                <w14:textFill>
                  <w14:solidFill>
                    <w14:schemeClr w14:val="tx1"/>
                  </w14:solidFill>
                </w14:textFill>
              </w:rPr>
              <w:t>废气处理产生</w:t>
            </w:r>
            <w:r>
              <w:rPr>
                <w:rFonts w:hint="eastAsia" w:cs="Times New Roman"/>
                <w:b w:val="0"/>
                <w:bCs w:val="0"/>
                <w:color w:val="000000" w:themeColor="text1"/>
                <w:sz w:val="24"/>
                <w:highlight w:val="none"/>
                <w:lang w:val="en-US" w:eastAsia="zh-CN"/>
                <w14:textFill>
                  <w14:solidFill>
                    <w14:schemeClr w14:val="tx1"/>
                  </w14:solidFill>
                </w14:textFill>
              </w:rPr>
              <w:t>废过滤棉S7、</w:t>
            </w:r>
            <w:r>
              <w:rPr>
                <w:rFonts w:hint="eastAsia" w:eastAsia="宋体" w:cs="Times New Roman"/>
                <w:b w:val="0"/>
                <w:bCs w:val="0"/>
                <w:color w:val="000000" w:themeColor="text1"/>
                <w:sz w:val="24"/>
                <w:highlight w:val="none"/>
                <w:lang w:val="en-US" w:eastAsia="zh-CN"/>
                <w14:textFill>
                  <w14:solidFill>
                    <w14:schemeClr w14:val="tx1"/>
                  </w14:solidFill>
                </w14:textFill>
              </w:rPr>
              <w:t>废活性炭S</w:t>
            </w:r>
            <w:r>
              <w:rPr>
                <w:rFonts w:hint="eastAsia" w:cs="Times New Roman"/>
                <w:b w:val="0"/>
                <w:bCs w:val="0"/>
                <w:color w:val="000000" w:themeColor="text1"/>
                <w:sz w:val="24"/>
                <w:highlight w:val="none"/>
                <w:lang w:val="en-US" w:eastAsia="zh-CN"/>
                <w14:textFill>
                  <w14:solidFill>
                    <w14:schemeClr w14:val="tx1"/>
                  </w14:solidFill>
                </w14:textFill>
              </w:rPr>
              <w:t>8</w:t>
            </w:r>
            <w:r>
              <w:rPr>
                <w:rFonts w:hint="eastAsia" w:eastAsia="宋体" w:cs="Times New Roman"/>
                <w:b w:val="0"/>
                <w:bCs w:val="0"/>
                <w:color w:val="000000" w:themeColor="text1"/>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职工生活产生生活污水W</w:t>
            </w:r>
            <w:r>
              <w:rPr>
                <w:rFonts w:hint="eastAsia" w:cs="Times New Roman"/>
                <w:b w:val="0"/>
                <w:bCs w:val="0"/>
                <w:color w:val="000000" w:themeColor="text1"/>
                <w:sz w:val="24"/>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、生活垃圾S</w:t>
            </w:r>
            <w:r>
              <w:rPr>
                <w:rFonts w:hint="eastAsia" w:cs="Times New Roman"/>
                <w:b w:val="0"/>
                <w:bCs w:val="0"/>
                <w:color w:val="000000" w:themeColor="text1"/>
                <w:sz w:val="24"/>
                <w:highlight w:val="none"/>
                <w:lang w:val="en-US" w:eastAsia="zh-CN"/>
                <w14:textFill>
                  <w14:solidFill>
                    <w14:schemeClr w14:val="tx1"/>
                  </w14:solidFill>
                </w14:textFill>
              </w:rPr>
              <w:t>9</w:t>
            </w: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、化粪池污泥S</w:t>
            </w:r>
            <w:r>
              <w:rPr>
                <w:rFonts w:hint="eastAsia" w:cs="Times New Roman"/>
                <w:b w:val="0"/>
                <w:bCs w:val="0"/>
                <w:color w:val="000000" w:themeColor="text1"/>
                <w:sz w:val="24"/>
                <w:highlight w:val="none"/>
                <w:lang w:val="en-US" w:eastAsia="zh-CN"/>
                <w14:textFill>
                  <w14:solidFill>
                    <w14:schemeClr w14:val="tx1"/>
                  </w14:solidFill>
                </w14:textFill>
              </w:rPr>
              <w:t>10</w:t>
            </w:r>
            <w:r>
              <w:rPr>
                <w:rFonts w:hint="eastAsia" w:ascii="Times New Roman" w:hAnsi="Times New Roman" w:eastAsia="宋体" w:cs="Times New Roman"/>
                <w:b w:val="0"/>
                <w:bCs w:val="0"/>
                <w:color w:val="000000" w:themeColor="text1"/>
                <w:sz w:val="24"/>
                <w:highlight w:val="none"/>
                <w:lang w:val="en-US" w:eastAsia="zh-CN"/>
                <w14:textFill>
                  <w14:solidFill>
                    <w14:schemeClr w14:val="tx1"/>
                  </w14:solidFill>
                </w14:textFill>
              </w:rPr>
              <w:t>，</w:t>
            </w:r>
            <w:r>
              <w:rPr>
                <w:rFonts w:hint="eastAsia" w:eastAsia="宋体" w:cs="Times New Roman"/>
                <w:b w:val="0"/>
                <w:bCs w:val="0"/>
                <w:color w:val="000000" w:themeColor="text1"/>
                <w:sz w:val="24"/>
                <w:highlight w:val="none"/>
                <w:lang w:val="en-US" w:eastAsia="zh-CN"/>
                <w14:textFill>
                  <w14:solidFill>
                    <w14:schemeClr w14:val="tx1"/>
                  </w14:solidFill>
                </w14:textFill>
              </w:rPr>
              <w:t>生产过程中产生废</w:t>
            </w:r>
            <w:r>
              <w:rPr>
                <w:rFonts w:hint="eastAsia" w:cs="Times New Roman"/>
                <w:b w:val="0"/>
                <w:bCs w:val="0"/>
                <w:color w:val="000000" w:themeColor="text1"/>
                <w:sz w:val="24"/>
                <w:highlight w:val="none"/>
                <w:lang w:val="en-US" w:eastAsia="zh-CN"/>
                <w14:textFill>
                  <w14:solidFill>
                    <w14:schemeClr w14:val="tx1"/>
                  </w14:solidFill>
                </w14:textFill>
              </w:rPr>
              <w:t>包装物</w:t>
            </w:r>
            <w:r>
              <w:rPr>
                <w:rFonts w:hint="eastAsia" w:eastAsia="宋体" w:cs="Times New Roman"/>
                <w:b w:val="0"/>
                <w:bCs w:val="0"/>
                <w:color w:val="000000" w:themeColor="text1"/>
                <w:sz w:val="24"/>
                <w:highlight w:val="none"/>
                <w:lang w:val="en-US" w:eastAsia="zh-CN"/>
                <w14:textFill>
                  <w14:solidFill>
                    <w14:schemeClr w14:val="tx1"/>
                  </w14:solidFill>
                </w14:textFill>
              </w:rPr>
              <w:t>S</w:t>
            </w:r>
            <w:r>
              <w:rPr>
                <w:rFonts w:hint="eastAsia" w:cs="Times New Roman"/>
                <w:b w:val="0"/>
                <w:bCs w:val="0"/>
                <w:color w:val="000000" w:themeColor="text1"/>
                <w:sz w:val="24"/>
                <w:highlight w:val="none"/>
                <w:lang w:val="en-US" w:eastAsia="zh-CN"/>
                <w14:textFill>
                  <w14:solidFill>
                    <w14:schemeClr w14:val="tx1"/>
                  </w14:solidFill>
                </w14:textFill>
              </w:rPr>
              <w:t>11</w:t>
            </w: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w:t>
            </w:r>
          </w:p>
          <w:p w14:paraId="1DA8A70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eastAsia="宋体" w:cs="Times New Roman"/>
                <w:b w:val="0"/>
                <w:bCs w:val="0"/>
                <w:color w:val="000000" w:themeColor="text1"/>
                <w:sz w:val="24"/>
                <w:highlight w:val="none"/>
                <w:lang w:val="en-US" w:eastAsia="zh-CN"/>
                <w14:textFill>
                  <w14:solidFill>
                    <w14:schemeClr w14:val="tx1"/>
                  </w14:solidFill>
                </w14:textFill>
              </w:rPr>
            </w:pPr>
            <w:r>
              <w:rPr>
                <w:rFonts w:hint="eastAsia" w:eastAsia="宋体" w:cs="Times New Roman"/>
                <w:b w:val="0"/>
                <w:bCs w:val="0"/>
                <w:color w:val="000000" w:themeColor="text1"/>
                <w:sz w:val="24"/>
                <w:highlight w:val="none"/>
                <w:lang w:val="en-US" w:eastAsia="zh-CN"/>
                <w14:textFill>
                  <w14:solidFill>
                    <w14:schemeClr w14:val="tx1"/>
                  </w14:solidFill>
                </w14:textFill>
              </w:rPr>
              <w:t>本项目建成后营运期产排污情况见下表：</w:t>
            </w:r>
          </w:p>
          <w:p w14:paraId="2BDAAA1B">
            <w:pPr>
              <w:widowControl/>
              <w:spacing w:line="440" w:lineRule="exact"/>
              <w:jc w:val="center"/>
              <w:rPr>
                <w:b/>
                <w:bCs/>
                <w:color w:val="000000" w:themeColor="text1"/>
                <w:sz w:val="24"/>
                <w:highlight w:val="none"/>
                <w:lang w:val="zh-CN"/>
                <w14:textFill>
                  <w14:solidFill>
                    <w14:schemeClr w14:val="tx1"/>
                  </w14:solidFill>
                </w14:textFill>
              </w:rPr>
            </w:pPr>
            <w:r>
              <w:rPr>
                <w:b/>
                <w:bCs/>
                <w:color w:val="000000" w:themeColor="text1"/>
                <w:sz w:val="24"/>
                <w:highlight w:val="none"/>
                <w:lang w:val="zh-CN"/>
                <w14:textFill>
                  <w14:solidFill>
                    <w14:schemeClr w14:val="tx1"/>
                  </w14:solidFill>
                </w14:textFill>
              </w:rPr>
              <w:t>表2-</w:t>
            </w:r>
            <w:r>
              <w:rPr>
                <w:rFonts w:hint="eastAsia"/>
                <w:b/>
                <w:bCs/>
                <w:color w:val="000000" w:themeColor="text1"/>
                <w:sz w:val="24"/>
                <w:highlight w:val="none"/>
                <w:lang w:val="en-US" w:eastAsia="zh-CN"/>
                <w14:textFill>
                  <w14:solidFill>
                    <w14:schemeClr w14:val="tx1"/>
                  </w14:solidFill>
                </w14:textFill>
              </w:rPr>
              <w:t xml:space="preserve">9  </w:t>
            </w:r>
            <w:r>
              <w:rPr>
                <w:b/>
                <w:bCs/>
                <w:color w:val="000000" w:themeColor="text1"/>
                <w:sz w:val="24"/>
                <w:highlight w:val="none"/>
                <w:lang w:val="zh-CN"/>
                <w14:textFill>
                  <w14:solidFill>
                    <w14:schemeClr w14:val="tx1"/>
                  </w14:solidFill>
                </w14:textFill>
              </w:rPr>
              <w:t>本项目营运期主要产污环节</w:t>
            </w:r>
          </w:p>
          <w:tbl>
            <w:tblPr>
              <w:tblStyle w:val="39"/>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Layout w:type="autofit"/>
              <w:tblCellMar>
                <w:top w:w="0" w:type="dxa"/>
                <w:left w:w="108" w:type="dxa"/>
                <w:bottom w:w="0" w:type="dxa"/>
                <w:right w:w="108" w:type="dxa"/>
              </w:tblCellMar>
            </w:tblPr>
            <w:tblGrid>
              <w:gridCol w:w="680"/>
              <w:gridCol w:w="1426"/>
              <w:gridCol w:w="1275"/>
              <w:gridCol w:w="1540"/>
              <w:gridCol w:w="2054"/>
              <w:gridCol w:w="1410"/>
            </w:tblGrid>
            <w:tr w14:paraId="098DD035">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40" w:hRule="atLeast"/>
              </w:trPr>
              <w:tc>
                <w:tcPr>
                  <w:tcW w:w="405" w:type="pct"/>
                  <w:tcBorders>
                    <w:tl2br w:val="nil"/>
                    <w:tr2bl w:val="nil"/>
                  </w:tcBorders>
                  <w:vAlign w:val="center"/>
                </w:tcPr>
                <w:p w14:paraId="16F2320C">
                  <w:pPr>
                    <w:keepNext w:val="0"/>
                    <w:keepLines w:val="0"/>
                    <w:pageBreakBefore w:val="0"/>
                    <w:kinsoku/>
                    <w:wordWrap/>
                    <w:overflowPunct/>
                    <w:topLinePunct w:val="0"/>
                    <w:autoSpaceDE/>
                    <w:autoSpaceDN/>
                    <w:bidi w:val="0"/>
                    <w:spacing w:line="240" w:lineRule="exact"/>
                    <w:jc w:val="center"/>
                    <w:textAlignment w:val="auto"/>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类别</w:t>
                  </w:r>
                </w:p>
              </w:tc>
              <w:tc>
                <w:tcPr>
                  <w:tcW w:w="850" w:type="pct"/>
                  <w:tcBorders>
                    <w:tl2br w:val="nil"/>
                    <w:tr2bl w:val="nil"/>
                  </w:tcBorders>
                  <w:vAlign w:val="center"/>
                </w:tcPr>
                <w:p w14:paraId="11C79F61">
                  <w:pPr>
                    <w:keepNext w:val="0"/>
                    <w:keepLines w:val="0"/>
                    <w:pageBreakBefore w:val="0"/>
                    <w:kinsoku/>
                    <w:wordWrap/>
                    <w:overflowPunct/>
                    <w:topLinePunct w:val="0"/>
                    <w:autoSpaceDE/>
                    <w:autoSpaceDN/>
                    <w:bidi w:val="0"/>
                    <w:spacing w:line="240" w:lineRule="exact"/>
                    <w:jc w:val="center"/>
                    <w:textAlignment w:val="auto"/>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编号</w:t>
                  </w:r>
                </w:p>
              </w:tc>
              <w:tc>
                <w:tcPr>
                  <w:tcW w:w="760" w:type="pct"/>
                  <w:tcBorders>
                    <w:tl2br w:val="nil"/>
                    <w:tr2bl w:val="nil"/>
                  </w:tcBorders>
                  <w:vAlign w:val="center"/>
                </w:tcPr>
                <w:p w14:paraId="24718F91">
                  <w:pPr>
                    <w:keepNext w:val="0"/>
                    <w:keepLines w:val="0"/>
                    <w:pageBreakBefore w:val="0"/>
                    <w:kinsoku/>
                    <w:wordWrap/>
                    <w:overflowPunct/>
                    <w:topLinePunct w:val="0"/>
                    <w:autoSpaceDE/>
                    <w:autoSpaceDN/>
                    <w:bidi w:val="0"/>
                    <w:spacing w:line="240" w:lineRule="exact"/>
                    <w:jc w:val="center"/>
                    <w:textAlignment w:val="auto"/>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产生</w:t>
                  </w:r>
                  <w:r>
                    <w:rPr>
                      <w:rFonts w:hint="eastAsia"/>
                      <w:b/>
                      <w:bCs/>
                      <w:color w:val="000000" w:themeColor="text1"/>
                      <w:highlight w:val="none"/>
                      <w14:textFill>
                        <w14:solidFill>
                          <w14:schemeClr w14:val="tx1"/>
                        </w14:solidFill>
                      </w14:textFill>
                    </w:rPr>
                    <w:t>工序</w:t>
                  </w:r>
                </w:p>
              </w:tc>
              <w:tc>
                <w:tcPr>
                  <w:tcW w:w="918" w:type="pct"/>
                  <w:tcBorders>
                    <w:tl2br w:val="nil"/>
                    <w:tr2bl w:val="nil"/>
                  </w:tcBorders>
                  <w:vAlign w:val="center"/>
                </w:tcPr>
                <w:p w14:paraId="435861AE">
                  <w:pPr>
                    <w:keepNext w:val="0"/>
                    <w:keepLines w:val="0"/>
                    <w:pageBreakBefore w:val="0"/>
                    <w:kinsoku/>
                    <w:wordWrap/>
                    <w:overflowPunct/>
                    <w:topLinePunct w:val="0"/>
                    <w:autoSpaceDE/>
                    <w:autoSpaceDN/>
                    <w:bidi w:val="0"/>
                    <w:spacing w:line="240" w:lineRule="exact"/>
                    <w:jc w:val="center"/>
                    <w:textAlignment w:val="auto"/>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污染物</w:t>
                  </w:r>
                </w:p>
              </w:tc>
              <w:tc>
                <w:tcPr>
                  <w:tcW w:w="1224" w:type="pct"/>
                  <w:tcBorders>
                    <w:tl2br w:val="nil"/>
                    <w:tr2bl w:val="nil"/>
                  </w:tcBorders>
                  <w:vAlign w:val="center"/>
                </w:tcPr>
                <w:p w14:paraId="05EC15D5">
                  <w:pPr>
                    <w:keepNext w:val="0"/>
                    <w:keepLines w:val="0"/>
                    <w:pageBreakBefore w:val="0"/>
                    <w:kinsoku/>
                    <w:wordWrap/>
                    <w:overflowPunct/>
                    <w:topLinePunct w:val="0"/>
                    <w:autoSpaceDE/>
                    <w:autoSpaceDN/>
                    <w:bidi w:val="0"/>
                    <w:spacing w:line="240" w:lineRule="exact"/>
                    <w:jc w:val="center"/>
                    <w:textAlignment w:val="auto"/>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治理措施</w:t>
                  </w:r>
                </w:p>
              </w:tc>
              <w:tc>
                <w:tcPr>
                  <w:tcW w:w="840" w:type="pct"/>
                  <w:tcBorders>
                    <w:tl2br w:val="nil"/>
                    <w:tr2bl w:val="nil"/>
                  </w:tcBorders>
                  <w:vAlign w:val="center"/>
                </w:tcPr>
                <w:p w14:paraId="3116D03D">
                  <w:pPr>
                    <w:keepNext w:val="0"/>
                    <w:keepLines w:val="0"/>
                    <w:pageBreakBefore w:val="0"/>
                    <w:kinsoku/>
                    <w:wordWrap/>
                    <w:overflowPunct/>
                    <w:topLinePunct w:val="0"/>
                    <w:autoSpaceDE/>
                    <w:autoSpaceDN/>
                    <w:bidi w:val="0"/>
                    <w:spacing w:line="240" w:lineRule="exact"/>
                    <w:jc w:val="center"/>
                    <w:textAlignment w:val="auto"/>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排放去向</w:t>
                  </w:r>
                </w:p>
              </w:tc>
            </w:tr>
            <w:tr w14:paraId="3FEA5382">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40" w:hRule="atLeast"/>
              </w:trPr>
              <w:tc>
                <w:tcPr>
                  <w:tcW w:w="405" w:type="pct"/>
                  <w:tcBorders>
                    <w:tl2br w:val="nil"/>
                    <w:tr2bl w:val="nil"/>
                  </w:tcBorders>
                  <w:vAlign w:val="center"/>
                </w:tcPr>
                <w:p w14:paraId="1FDCCA43">
                  <w:pPr>
                    <w:keepNext w:val="0"/>
                    <w:keepLines w:val="0"/>
                    <w:pageBreakBefore w:val="0"/>
                    <w:kinsoku/>
                    <w:wordWrap/>
                    <w:overflowPunct/>
                    <w:topLinePunct w:val="0"/>
                    <w:autoSpaceDE/>
                    <w:autoSpaceDN/>
                    <w:bidi w:val="0"/>
                    <w:spacing w:line="240" w:lineRule="exact"/>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废水</w:t>
                  </w:r>
                </w:p>
              </w:tc>
              <w:tc>
                <w:tcPr>
                  <w:tcW w:w="850" w:type="pct"/>
                  <w:tcBorders>
                    <w:tl2br w:val="nil"/>
                    <w:tr2bl w:val="nil"/>
                  </w:tcBorders>
                  <w:vAlign w:val="center"/>
                </w:tcPr>
                <w:p w14:paraId="364C6CA1">
                  <w:pPr>
                    <w:keepNext w:val="0"/>
                    <w:keepLines w:val="0"/>
                    <w:pageBreakBefore w:val="0"/>
                    <w:kinsoku/>
                    <w:wordWrap/>
                    <w:overflowPunct/>
                    <w:topLinePunct w:val="0"/>
                    <w:autoSpaceDE/>
                    <w:autoSpaceDN/>
                    <w:bidi w:val="0"/>
                    <w:spacing w:line="240" w:lineRule="exact"/>
                    <w:jc w:val="center"/>
                    <w:textAlignment w:val="auto"/>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W1</w:t>
                  </w:r>
                </w:p>
              </w:tc>
              <w:tc>
                <w:tcPr>
                  <w:tcW w:w="760" w:type="pct"/>
                  <w:tcBorders>
                    <w:tl2br w:val="nil"/>
                    <w:tr2bl w:val="nil"/>
                  </w:tcBorders>
                  <w:vAlign w:val="center"/>
                </w:tcPr>
                <w:p w14:paraId="3B4EB158">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生活污水</w:t>
                  </w:r>
                </w:p>
              </w:tc>
              <w:tc>
                <w:tcPr>
                  <w:tcW w:w="918" w:type="pct"/>
                  <w:tcBorders>
                    <w:tl2br w:val="nil"/>
                    <w:tr2bl w:val="nil"/>
                  </w:tcBorders>
                  <w:vAlign w:val="center"/>
                </w:tcPr>
                <w:p w14:paraId="41BAC518">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color w:val="000000" w:themeColor="text1"/>
                      <w:highlight w:val="none"/>
                      <w14:textFill>
                        <w14:solidFill>
                          <w14:schemeClr w14:val="tx1"/>
                        </w14:solidFill>
                      </w14:textFill>
                    </w:rPr>
                    <w:t>pH、</w:t>
                  </w:r>
                  <w:r>
                    <w:rPr>
                      <w:rFonts w:hint="eastAsia"/>
                      <w:color w:val="000000" w:themeColor="text1"/>
                      <w:szCs w:val="21"/>
                      <w:highlight w:val="none"/>
                      <w:lang w:val="en-US" w:eastAsia="zh-CN"/>
                      <w14:textFill>
                        <w14:solidFill>
                          <w14:schemeClr w14:val="tx1"/>
                        </w14:solidFill>
                      </w14:textFill>
                    </w:rPr>
                    <w:t>COD、SS、TN、TP、NH</w:t>
                  </w:r>
                  <w:r>
                    <w:rPr>
                      <w:rFonts w:hint="eastAsia"/>
                      <w:color w:val="000000" w:themeColor="text1"/>
                      <w:szCs w:val="21"/>
                      <w:highlight w:val="none"/>
                      <w:vertAlign w:val="subscript"/>
                      <w:lang w:val="en-US" w:eastAsia="zh-CN"/>
                      <w14:textFill>
                        <w14:solidFill>
                          <w14:schemeClr w14:val="tx1"/>
                        </w14:solidFill>
                      </w14:textFill>
                    </w:rPr>
                    <w:t>3</w:t>
                  </w:r>
                  <w:r>
                    <w:rPr>
                      <w:rFonts w:hint="eastAsia"/>
                      <w:color w:val="000000" w:themeColor="text1"/>
                      <w:szCs w:val="21"/>
                      <w:highlight w:val="none"/>
                      <w:lang w:val="en-US" w:eastAsia="zh-CN"/>
                      <w14:textFill>
                        <w14:solidFill>
                          <w14:schemeClr w14:val="tx1"/>
                        </w14:solidFill>
                      </w14:textFill>
                    </w:rPr>
                    <w:t>-N</w:t>
                  </w:r>
                </w:p>
              </w:tc>
              <w:tc>
                <w:tcPr>
                  <w:tcW w:w="1224" w:type="pct"/>
                  <w:tcBorders>
                    <w:tl2br w:val="nil"/>
                    <w:tr2bl w:val="nil"/>
                  </w:tcBorders>
                  <w:vAlign w:val="center"/>
                </w:tcPr>
                <w:p w14:paraId="3FFEEB2C">
                  <w:pPr>
                    <w:keepNext w:val="0"/>
                    <w:keepLines w:val="0"/>
                    <w:pageBreakBefore w:val="0"/>
                    <w:kinsoku/>
                    <w:wordWrap/>
                    <w:overflowPunct/>
                    <w:topLinePunct w:val="0"/>
                    <w:autoSpaceDE/>
                    <w:autoSpaceDN/>
                    <w:bidi w:val="0"/>
                    <w:adjustRightInd w:val="0"/>
                    <w:snapToGrid w:val="0"/>
                    <w:spacing w:line="240" w:lineRule="exact"/>
                    <w:jc w:val="center"/>
                    <w:textAlignment w:val="auto"/>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化粪池</w:t>
                  </w:r>
                </w:p>
              </w:tc>
              <w:tc>
                <w:tcPr>
                  <w:tcW w:w="840" w:type="pct"/>
                  <w:tcBorders>
                    <w:tl2br w:val="nil"/>
                    <w:tr2bl w:val="nil"/>
                  </w:tcBorders>
                  <w:vAlign w:val="center"/>
                </w:tcPr>
                <w:p w14:paraId="044052C3">
                  <w:pPr>
                    <w:keepNext w:val="0"/>
                    <w:keepLines w:val="0"/>
                    <w:pageBreakBefore w:val="0"/>
                    <w:kinsoku/>
                    <w:wordWrap/>
                    <w:overflowPunct/>
                    <w:topLinePunct w:val="0"/>
                    <w:autoSpaceDE/>
                    <w:autoSpaceDN/>
                    <w:bidi w:val="0"/>
                    <w:spacing w:line="240" w:lineRule="exact"/>
                    <w:jc w:val="center"/>
                    <w:textAlignment w:val="auto"/>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禄口污水处理厂</w:t>
                  </w:r>
                </w:p>
              </w:tc>
            </w:tr>
            <w:tr w14:paraId="35DAC3D1">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40" w:hRule="atLeast"/>
              </w:trPr>
              <w:tc>
                <w:tcPr>
                  <w:tcW w:w="405" w:type="pct"/>
                  <w:vMerge w:val="restart"/>
                  <w:tcBorders>
                    <w:tl2br w:val="nil"/>
                    <w:tr2bl w:val="nil"/>
                  </w:tcBorders>
                  <w:vAlign w:val="center"/>
                </w:tcPr>
                <w:p w14:paraId="02A81F55">
                  <w:pPr>
                    <w:keepNext w:val="0"/>
                    <w:keepLines w:val="0"/>
                    <w:pageBreakBefore w:val="0"/>
                    <w:kinsoku/>
                    <w:wordWrap/>
                    <w:overflowPunct/>
                    <w:topLinePunct w:val="0"/>
                    <w:autoSpaceDE/>
                    <w:autoSpaceDN/>
                    <w:bidi w:val="0"/>
                    <w:spacing w:line="240" w:lineRule="exact"/>
                    <w:jc w:val="center"/>
                    <w:textAlignment w:val="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废气</w:t>
                  </w:r>
                </w:p>
              </w:tc>
              <w:tc>
                <w:tcPr>
                  <w:tcW w:w="850" w:type="pct"/>
                  <w:tcBorders>
                    <w:tl2br w:val="nil"/>
                    <w:tr2bl w:val="nil"/>
                  </w:tcBorders>
                  <w:vAlign w:val="center"/>
                </w:tcPr>
                <w:p w14:paraId="0A3793A8">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G</w:t>
                  </w:r>
                  <w:r>
                    <w:rPr>
                      <w:rFonts w:hint="eastAsia"/>
                      <w:color w:val="000000" w:themeColor="text1"/>
                      <w:szCs w:val="21"/>
                      <w:highlight w:val="none"/>
                      <w:lang w:val="en-US" w:eastAsia="zh-CN"/>
                      <w14:textFill>
                        <w14:solidFill>
                          <w14:schemeClr w14:val="tx1"/>
                        </w14:solidFill>
                      </w14:textFill>
                    </w:rPr>
                    <w:t>1</w:t>
                  </w:r>
                </w:p>
              </w:tc>
              <w:tc>
                <w:tcPr>
                  <w:tcW w:w="760" w:type="pct"/>
                  <w:tcBorders>
                    <w:tl2br w:val="nil"/>
                    <w:tr2bl w:val="nil"/>
                  </w:tcBorders>
                  <w:vAlign w:val="center"/>
                </w:tcPr>
                <w:p w14:paraId="4FC55FB1">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滚料</w:t>
                  </w:r>
                </w:p>
              </w:tc>
              <w:tc>
                <w:tcPr>
                  <w:tcW w:w="918" w:type="pct"/>
                  <w:tcBorders>
                    <w:tl2br w:val="nil"/>
                    <w:tr2bl w:val="nil"/>
                  </w:tcBorders>
                  <w:vAlign w:val="center"/>
                </w:tcPr>
                <w:p w14:paraId="02841908">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default" w:eastAsia="宋体"/>
                      <w:color w:val="000000" w:themeColor="text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颗粒物</w:t>
                  </w:r>
                </w:p>
              </w:tc>
              <w:tc>
                <w:tcPr>
                  <w:tcW w:w="1224" w:type="pct"/>
                  <w:vMerge w:val="restart"/>
                  <w:tcBorders>
                    <w:tl2br w:val="nil"/>
                    <w:tr2bl w:val="nil"/>
                  </w:tcBorders>
                  <w:vAlign w:val="center"/>
                </w:tcPr>
                <w:p w14:paraId="20A0A1DC">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color w:val="000000" w:themeColor="text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840" w:type="pct"/>
                  <w:vMerge w:val="restart"/>
                  <w:tcBorders>
                    <w:tl2br w:val="nil"/>
                    <w:tr2bl w:val="nil"/>
                  </w:tcBorders>
                  <w:vAlign w:val="center"/>
                </w:tcPr>
                <w:p w14:paraId="2667BBA3">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color w:val="000000" w:themeColor="text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无</w:t>
                  </w:r>
                  <w:r>
                    <w:rPr>
                      <w:rFonts w:hint="eastAsia"/>
                      <w:color w:val="000000" w:themeColor="text1"/>
                      <w:szCs w:val="21"/>
                      <w:highlight w:val="none"/>
                      <w14:textFill>
                        <w14:solidFill>
                          <w14:schemeClr w14:val="tx1"/>
                        </w14:solidFill>
                      </w14:textFill>
                    </w:rPr>
                    <w:t>组织</w:t>
                  </w:r>
                  <w:r>
                    <w:rPr>
                      <w:color w:val="000000" w:themeColor="text1"/>
                      <w:szCs w:val="21"/>
                      <w:highlight w:val="none"/>
                      <w14:textFill>
                        <w14:solidFill>
                          <w14:schemeClr w14:val="tx1"/>
                        </w14:solidFill>
                      </w14:textFill>
                    </w:rPr>
                    <w:t>排放</w:t>
                  </w:r>
                </w:p>
              </w:tc>
            </w:tr>
            <w:tr w14:paraId="38B71E3E">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40" w:hRule="atLeast"/>
              </w:trPr>
              <w:tc>
                <w:tcPr>
                  <w:tcW w:w="405" w:type="pct"/>
                  <w:vMerge w:val="continue"/>
                  <w:tcBorders>
                    <w:tl2br w:val="nil"/>
                    <w:tr2bl w:val="nil"/>
                  </w:tcBorders>
                  <w:vAlign w:val="center"/>
                </w:tcPr>
                <w:p w14:paraId="6363D0C9">
                  <w:pPr>
                    <w:keepNext w:val="0"/>
                    <w:keepLines w:val="0"/>
                    <w:pageBreakBefore w:val="0"/>
                    <w:kinsoku/>
                    <w:wordWrap/>
                    <w:overflowPunct/>
                    <w:topLinePunct w:val="0"/>
                    <w:autoSpaceDE/>
                    <w:autoSpaceDN/>
                    <w:bidi w:val="0"/>
                    <w:spacing w:line="240" w:lineRule="exact"/>
                    <w:jc w:val="center"/>
                    <w:textAlignment w:val="auto"/>
                    <w:rPr>
                      <w:color w:val="000000" w:themeColor="text1"/>
                      <w:highlight w:val="none"/>
                      <w14:textFill>
                        <w14:solidFill>
                          <w14:schemeClr w14:val="tx1"/>
                        </w14:solidFill>
                      </w14:textFill>
                    </w:rPr>
                  </w:pPr>
                </w:p>
              </w:tc>
              <w:tc>
                <w:tcPr>
                  <w:tcW w:w="850" w:type="pct"/>
                  <w:tcBorders>
                    <w:tl2br w:val="nil"/>
                    <w:tr2bl w:val="nil"/>
                  </w:tcBorders>
                  <w:shd w:val="clear" w:color="auto" w:fill="auto"/>
                  <w:vAlign w:val="center"/>
                </w:tcPr>
                <w:p w14:paraId="6B3AAF9D">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G</w:t>
                  </w:r>
                  <w:r>
                    <w:rPr>
                      <w:rFonts w:hint="eastAsia"/>
                      <w:color w:val="000000" w:themeColor="text1"/>
                      <w:szCs w:val="21"/>
                      <w:highlight w:val="none"/>
                      <w:lang w:val="en-US" w:eastAsia="zh-CN"/>
                      <w14:textFill>
                        <w14:solidFill>
                          <w14:schemeClr w14:val="tx1"/>
                        </w14:solidFill>
                      </w14:textFill>
                    </w:rPr>
                    <w:t>3</w:t>
                  </w:r>
                </w:p>
              </w:tc>
              <w:tc>
                <w:tcPr>
                  <w:tcW w:w="760" w:type="pct"/>
                  <w:tcBorders>
                    <w:tl2br w:val="nil"/>
                    <w:tr2bl w:val="nil"/>
                  </w:tcBorders>
                  <w:shd w:val="clear" w:color="auto" w:fill="auto"/>
                  <w:vAlign w:val="center"/>
                </w:tcPr>
                <w:p w14:paraId="7F4349C4">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混料</w:t>
                  </w:r>
                </w:p>
              </w:tc>
              <w:tc>
                <w:tcPr>
                  <w:tcW w:w="918" w:type="pct"/>
                  <w:tcBorders>
                    <w:tl2br w:val="nil"/>
                    <w:tr2bl w:val="nil"/>
                  </w:tcBorders>
                  <w:shd w:val="clear" w:color="auto" w:fill="auto"/>
                  <w:vAlign w:val="center"/>
                </w:tcPr>
                <w:p w14:paraId="799EED92">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颗粒物</w:t>
                  </w:r>
                </w:p>
              </w:tc>
              <w:tc>
                <w:tcPr>
                  <w:tcW w:w="1224" w:type="pct"/>
                  <w:vMerge w:val="continue"/>
                  <w:tcBorders>
                    <w:tl2br w:val="nil"/>
                    <w:tr2bl w:val="nil"/>
                  </w:tcBorders>
                  <w:vAlign w:val="center"/>
                </w:tcPr>
                <w:p w14:paraId="6493CF16">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color w:val="000000" w:themeColor="text1"/>
                      <w:szCs w:val="21"/>
                      <w:highlight w:val="none"/>
                      <w:lang w:val="en-US" w:eastAsia="zh-CN"/>
                      <w14:textFill>
                        <w14:solidFill>
                          <w14:schemeClr w14:val="tx1"/>
                        </w14:solidFill>
                      </w14:textFill>
                    </w:rPr>
                  </w:pPr>
                </w:p>
              </w:tc>
              <w:tc>
                <w:tcPr>
                  <w:tcW w:w="840" w:type="pct"/>
                  <w:vMerge w:val="continue"/>
                  <w:tcBorders>
                    <w:tl2br w:val="nil"/>
                    <w:tr2bl w:val="nil"/>
                  </w:tcBorders>
                  <w:vAlign w:val="center"/>
                </w:tcPr>
                <w:p w14:paraId="2841EA43">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color w:val="000000" w:themeColor="text1"/>
                      <w:szCs w:val="21"/>
                      <w:highlight w:val="none"/>
                      <w:lang w:val="en-US" w:eastAsia="zh-CN"/>
                      <w14:textFill>
                        <w14:solidFill>
                          <w14:schemeClr w14:val="tx1"/>
                        </w14:solidFill>
                      </w14:textFill>
                    </w:rPr>
                  </w:pPr>
                </w:p>
              </w:tc>
            </w:tr>
            <w:tr w14:paraId="7FEEDA12">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40" w:hRule="atLeast"/>
              </w:trPr>
              <w:tc>
                <w:tcPr>
                  <w:tcW w:w="405" w:type="pct"/>
                  <w:vMerge w:val="continue"/>
                  <w:tcBorders>
                    <w:tl2br w:val="nil"/>
                    <w:tr2bl w:val="nil"/>
                  </w:tcBorders>
                  <w:vAlign w:val="center"/>
                </w:tcPr>
                <w:p w14:paraId="2AFF2377">
                  <w:pPr>
                    <w:keepNext w:val="0"/>
                    <w:keepLines w:val="0"/>
                    <w:pageBreakBefore w:val="0"/>
                    <w:kinsoku/>
                    <w:wordWrap/>
                    <w:overflowPunct/>
                    <w:topLinePunct w:val="0"/>
                    <w:autoSpaceDE/>
                    <w:autoSpaceDN/>
                    <w:bidi w:val="0"/>
                    <w:spacing w:line="240" w:lineRule="exact"/>
                    <w:jc w:val="center"/>
                    <w:textAlignment w:val="auto"/>
                    <w:rPr>
                      <w:color w:val="000000" w:themeColor="text1"/>
                      <w:highlight w:val="none"/>
                      <w14:textFill>
                        <w14:solidFill>
                          <w14:schemeClr w14:val="tx1"/>
                        </w14:solidFill>
                      </w14:textFill>
                    </w:rPr>
                  </w:pPr>
                </w:p>
              </w:tc>
              <w:tc>
                <w:tcPr>
                  <w:tcW w:w="850" w:type="pct"/>
                  <w:tcBorders>
                    <w:tl2br w:val="nil"/>
                    <w:tr2bl w:val="nil"/>
                  </w:tcBorders>
                  <w:vAlign w:val="center"/>
                </w:tcPr>
                <w:p w14:paraId="5F99CB3B">
                  <w:pPr>
                    <w:keepNext w:val="0"/>
                    <w:keepLines w:val="0"/>
                    <w:pageBreakBefore w:val="0"/>
                    <w:kinsoku/>
                    <w:wordWrap/>
                    <w:overflowPunct/>
                    <w:topLinePunct w:val="0"/>
                    <w:autoSpaceDE/>
                    <w:autoSpaceDN/>
                    <w:bidi w:val="0"/>
                    <w:spacing w:line="240" w:lineRule="exact"/>
                    <w:jc w:val="center"/>
                    <w:textAlignment w:val="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G</w:t>
                  </w:r>
                  <w:r>
                    <w:rPr>
                      <w:rFonts w:hint="eastAsia"/>
                      <w:color w:val="000000" w:themeColor="text1"/>
                      <w:szCs w:val="21"/>
                      <w:highlight w:val="none"/>
                      <w:lang w:val="en-US" w:eastAsia="zh-CN"/>
                      <w14:textFill>
                        <w14:solidFill>
                          <w14:schemeClr w14:val="tx1"/>
                        </w14:solidFill>
                      </w14:textFill>
                    </w:rPr>
                    <w:t>2</w:t>
                  </w:r>
                </w:p>
              </w:tc>
              <w:tc>
                <w:tcPr>
                  <w:tcW w:w="760" w:type="pct"/>
                  <w:tcBorders>
                    <w:tl2br w:val="nil"/>
                    <w:tr2bl w:val="nil"/>
                  </w:tcBorders>
                  <w:vAlign w:val="center"/>
                </w:tcPr>
                <w:p w14:paraId="17521007">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硫化成型</w:t>
                  </w:r>
                </w:p>
              </w:tc>
              <w:tc>
                <w:tcPr>
                  <w:tcW w:w="918" w:type="pct"/>
                  <w:tcBorders>
                    <w:tl2br w:val="nil"/>
                    <w:tr2bl w:val="nil"/>
                  </w:tcBorders>
                  <w:vAlign w:val="center"/>
                </w:tcPr>
                <w:p w14:paraId="7819DE01">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非甲烷总烃、臭气浓度</w:t>
                  </w:r>
                </w:p>
              </w:tc>
              <w:tc>
                <w:tcPr>
                  <w:tcW w:w="1224" w:type="pct"/>
                  <w:tcBorders>
                    <w:tl2br w:val="nil"/>
                    <w:tr2bl w:val="nil"/>
                  </w:tcBorders>
                  <w:vAlign w:val="center"/>
                </w:tcPr>
                <w:p w14:paraId="145F41B0">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color w:val="000000" w:themeColor="text1"/>
                      <w:szCs w:val="21"/>
                      <w:highlight w:val="none"/>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经集气罩收集</w:t>
                  </w:r>
                  <w:r>
                    <w:rPr>
                      <w:color w:val="000000" w:themeColor="text1"/>
                      <w:szCs w:val="21"/>
                      <w:highlight w:val="none"/>
                      <w14:textFill>
                        <w14:solidFill>
                          <w14:schemeClr w14:val="tx1"/>
                        </w14:solidFill>
                      </w14:textFill>
                    </w:rPr>
                    <w:t>后通过</w:t>
                  </w:r>
                  <w:r>
                    <w:rPr>
                      <w:rFonts w:hint="eastAsia"/>
                      <w:color w:val="000000" w:themeColor="text1"/>
                      <w:szCs w:val="21"/>
                      <w:highlight w:val="none"/>
                      <w14:textFill>
                        <w14:solidFill>
                          <w14:schemeClr w14:val="tx1"/>
                        </w14:solidFill>
                      </w14:textFill>
                    </w:rPr>
                    <w:t>1套</w:t>
                  </w:r>
                  <w:r>
                    <w:rPr>
                      <w:rFonts w:hint="eastAsia"/>
                      <w:color w:val="000000" w:themeColor="text1"/>
                      <w:szCs w:val="21"/>
                      <w:highlight w:val="none"/>
                      <w:lang w:val="en-US" w:eastAsia="zh-CN"/>
                      <w14:textFill>
                        <w14:solidFill>
                          <w14:schemeClr w14:val="tx1"/>
                        </w14:solidFill>
                      </w14:textFill>
                    </w:rPr>
                    <w:t>二级活性炭吸附装置</w:t>
                  </w:r>
                  <w:r>
                    <w:rPr>
                      <w:rFonts w:hint="eastAsia"/>
                      <w:color w:val="000000" w:themeColor="text1"/>
                      <w:szCs w:val="21"/>
                      <w:highlight w:val="none"/>
                      <w14:textFill>
                        <w14:solidFill>
                          <w14:schemeClr w14:val="tx1"/>
                        </w14:solidFill>
                      </w14:textFill>
                    </w:rPr>
                    <w:t>（TA00</w:t>
                  </w:r>
                  <w:r>
                    <w:rPr>
                      <w:rFonts w:hint="eastAsia"/>
                      <w:color w:val="000000" w:themeColor="text1"/>
                      <w:szCs w:val="21"/>
                      <w:highlight w:val="none"/>
                      <w:lang w:val="en-US" w:eastAsia="zh-CN"/>
                      <w14:textFill>
                        <w14:solidFill>
                          <w14:schemeClr w14:val="tx1"/>
                        </w14:solidFill>
                      </w14:textFill>
                    </w:rPr>
                    <w:t>1</w:t>
                  </w:r>
                  <w:r>
                    <w:rPr>
                      <w:rFonts w:hint="eastAsia"/>
                      <w:color w:val="000000" w:themeColor="text1"/>
                      <w:szCs w:val="21"/>
                      <w:highlight w:val="none"/>
                      <w14:textFill>
                        <w14:solidFill>
                          <w14:schemeClr w14:val="tx1"/>
                        </w14:solidFill>
                      </w14:textFill>
                    </w:rPr>
                    <w:t>，风量</w:t>
                  </w:r>
                  <w:r>
                    <w:rPr>
                      <w:rFonts w:hint="eastAsia"/>
                      <w:color w:val="000000" w:themeColor="text1"/>
                      <w:szCs w:val="21"/>
                      <w:highlight w:val="none"/>
                      <w:lang w:val="en-US" w:eastAsia="zh-CN"/>
                      <w14:textFill>
                        <w14:solidFill>
                          <w14:schemeClr w14:val="tx1"/>
                        </w14:solidFill>
                      </w14:textFill>
                    </w:rPr>
                    <w:t>3</w:t>
                  </w:r>
                  <w:r>
                    <w:rPr>
                      <w:rFonts w:hint="eastAsia"/>
                      <w:color w:val="000000" w:themeColor="text1"/>
                      <w:szCs w:val="21"/>
                      <w:highlight w:val="none"/>
                      <w:lang w:eastAsia="zh-CN"/>
                      <w14:textFill>
                        <w14:solidFill>
                          <w14:schemeClr w14:val="tx1"/>
                        </w14:solidFill>
                      </w14:textFill>
                    </w:rPr>
                    <w:t>000m</w:t>
                  </w:r>
                  <w:r>
                    <w:rPr>
                      <w:rFonts w:hint="eastAsia"/>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/h）处理后经过15m高排气筒（DA00</w:t>
                  </w:r>
                  <w:r>
                    <w:rPr>
                      <w:rFonts w:hint="eastAsia"/>
                      <w:color w:val="000000" w:themeColor="text1"/>
                      <w:szCs w:val="21"/>
                      <w:highlight w:val="none"/>
                      <w:lang w:val="en-US" w:eastAsia="zh-CN"/>
                      <w14:textFill>
                        <w14:solidFill>
                          <w14:schemeClr w14:val="tx1"/>
                        </w14:solidFill>
                      </w14:textFill>
                    </w:rPr>
                    <w:t>1</w:t>
                  </w:r>
                  <w:r>
                    <w:rPr>
                      <w:rFonts w:hint="eastAsia"/>
                      <w:color w:val="000000" w:themeColor="text1"/>
                      <w:szCs w:val="21"/>
                      <w:highlight w:val="none"/>
                      <w14:textFill>
                        <w14:solidFill>
                          <w14:schemeClr w14:val="tx1"/>
                        </w14:solidFill>
                      </w14:textFill>
                    </w:rPr>
                    <w:t>）排放</w:t>
                  </w:r>
                </w:p>
              </w:tc>
              <w:tc>
                <w:tcPr>
                  <w:tcW w:w="840" w:type="pct"/>
                  <w:vMerge w:val="restart"/>
                  <w:tcBorders>
                    <w:tl2br w:val="nil"/>
                    <w:tr2bl w:val="nil"/>
                  </w:tcBorders>
                  <w:vAlign w:val="center"/>
                </w:tcPr>
                <w:p w14:paraId="03EABFD1">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有</w:t>
                  </w:r>
                  <w:r>
                    <w:rPr>
                      <w:rFonts w:hint="eastAsia"/>
                      <w:color w:val="000000" w:themeColor="text1"/>
                      <w:szCs w:val="21"/>
                      <w:highlight w:val="none"/>
                      <w14:textFill>
                        <w14:solidFill>
                          <w14:schemeClr w14:val="tx1"/>
                        </w14:solidFill>
                      </w14:textFill>
                    </w:rPr>
                    <w:t>组织</w:t>
                  </w:r>
                  <w:r>
                    <w:rPr>
                      <w:color w:val="000000" w:themeColor="text1"/>
                      <w:szCs w:val="21"/>
                      <w:highlight w:val="none"/>
                      <w14:textFill>
                        <w14:solidFill>
                          <w14:schemeClr w14:val="tx1"/>
                        </w14:solidFill>
                      </w14:textFill>
                    </w:rPr>
                    <w:t>排放</w:t>
                  </w:r>
                </w:p>
              </w:tc>
            </w:tr>
            <w:tr w14:paraId="6FA53AAD">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40" w:hRule="atLeast"/>
              </w:trPr>
              <w:tc>
                <w:tcPr>
                  <w:tcW w:w="405" w:type="pct"/>
                  <w:vMerge w:val="continue"/>
                  <w:tcBorders>
                    <w:tl2br w:val="nil"/>
                    <w:tr2bl w:val="nil"/>
                  </w:tcBorders>
                  <w:vAlign w:val="center"/>
                </w:tcPr>
                <w:p w14:paraId="069BAA88">
                  <w:pPr>
                    <w:keepNext w:val="0"/>
                    <w:keepLines w:val="0"/>
                    <w:pageBreakBefore w:val="0"/>
                    <w:kinsoku/>
                    <w:wordWrap/>
                    <w:overflowPunct/>
                    <w:topLinePunct w:val="0"/>
                    <w:autoSpaceDE/>
                    <w:autoSpaceDN/>
                    <w:bidi w:val="0"/>
                    <w:spacing w:line="240" w:lineRule="exact"/>
                    <w:jc w:val="center"/>
                    <w:textAlignment w:val="auto"/>
                    <w:rPr>
                      <w:color w:val="000000" w:themeColor="text1"/>
                      <w:highlight w:val="none"/>
                      <w14:textFill>
                        <w14:solidFill>
                          <w14:schemeClr w14:val="tx1"/>
                        </w14:solidFill>
                      </w14:textFill>
                    </w:rPr>
                  </w:pPr>
                </w:p>
              </w:tc>
              <w:tc>
                <w:tcPr>
                  <w:tcW w:w="850" w:type="pct"/>
                  <w:tcBorders>
                    <w:tl2br w:val="nil"/>
                    <w:tr2bl w:val="nil"/>
                  </w:tcBorders>
                  <w:vAlign w:val="center"/>
                </w:tcPr>
                <w:p w14:paraId="0C529581">
                  <w:pPr>
                    <w:keepNext w:val="0"/>
                    <w:keepLines w:val="0"/>
                    <w:pageBreakBefore w:val="0"/>
                    <w:kinsoku/>
                    <w:wordWrap/>
                    <w:overflowPunct/>
                    <w:topLinePunct w:val="0"/>
                    <w:autoSpaceDE/>
                    <w:autoSpaceDN/>
                    <w:bidi w:val="0"/>
                    <w:spacing w:line="240" w:lineRule="exact"/>
                    <w:jc w:val="center"/>
                    <w:textAlignment w:val="auto"/>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G</w:t>
                  </w:r>
                  <w:r>
                    <w:rPr>
                      <w:rFonts w:hint="eastAsia"/>
                      <w:color w:val="000000" w:themeColor="text1"/>
                      <w:szCs w:val="21"/>
                      <w:highlight w:val="none"/>
                      <w:lang w:val="en-US" w:eastAsia="zh-CN"/>
                      <w14:textFill>
                        <w14:solidFill>
                          <w14:schemeClr w14:val="tx1"/>
                        </w14:solidFill>
                      </w14:textFill>
                    </w:rPr>
                    <w:t>4</w:t>
                  </w:r>
                </w:p>
              </w:tc>
              <w:tc>
                <w:tcPr>
                  <w:tcW w:w="760" w:type="pct"/>
                  <w:tcBorders>
                    <w:tl2br w:val="nil"/>
                    <w:tr2bl w:val="nil"/>
                  </w:tcBorders>
                  <w:vAlign w:val="center"/>
                </w:tcPr>
                <w:p w14:paraId="239B1E8E">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注射成型</w:t>
                  </w:r>
                </w:p>
              </w:tc>
              <w:tc>
                <w:tcPr>
                  <w:tcW w:w="918" w:type="pct"/>
                  <w:tcBorders>
                    <w:tl2br w:val="nil"/>
                    <w:tr2bl w:val="nil"/>
                  </w:tcBorders>
                  <w:vAlign w:val="center"/>
                </w:tcPr>
                <w:p w14:paraId="79A853C7">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非甲烷总烃、乙醛、四氢呋喃、臭气浓度</w:t>
                  </w:r>
                </w:p>
              </w:tc>
              <w:tc>
                <w:tcPr>
                  <w:tcW w:w="1224" w:type="pct"/>
                  <w:tcBorders>
                    <w:tl2br w:val="nil"/>
                    <w:tr2bl w:val="nil"/>
                  </w:tcBorders>
                  <w:vAlign w:val="center"/>
                </w:tcPr>
                <w:p w14:paraId="6D596C1B">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经集气罩收集</w:t>
                  </w:r>
                  <w:r>
                    <w:rPr>
                      <w:color w:val="000000" w:themeColor="text1"/>
                      <w:szCs w:val="21"/>
                      <w:highlight w:val="none"/>
                      <w14:textFill>
                        <w14:solidFill>
                          <w14:schemeClr w14:val="tx1"/>
                        </w14:solidFill>
                      </w14:textFill>
                    </w:rPr>
                    <w:t>后通过</w:t>
                  </w:r>
                  <w:r>
                    <w:rPr>
                      <w:rFonts w:hint="eastAsia"/>
                      <w:color w:val="000000" w:themeColor="text1"/>
                      <w:szCs w:val="21"/>
                      <w:highlight w:val="none"/>
                      <w14:textFill>
                        <w14:solidFill>
                          <w14:schemeClr w14:val="tx1"/>
                        </w14:solidFill>
                      </w14:textFill>
                    </w:rPr>
                    <w:t>1套二级活性炭吸附装置（TA00</w:t>
                  </w:r>
                  <w:r>
                    <w:rPr>
                      <w:rFonts w:hint="eastAsia"/>
                      <w:color w:val="000000" w:themeColor="text1"/>
                      <w:szCs w:val="21"/>
                      <w:highlight w:val="none"/>
                      <w:lang w:val="en-US" w:eastAsia="zh-CN"/>
                      <w14:textFill>
                        <w14:solidFill>
                          <w14:schemeClr w14:val="tx1"/>
                        </w14:solidFill>
                      </w14:textFill>
                    </w:rPr>
                    <w:t>2</w:t>
                  </w:r>
                  <w:r>
                    <w:rPr>
                      <w:rFonts w:hint="eastAsia"/>
                      <w:color w:val="000000" w:themeColor="text1"/>
                      <w:szCs w:val="21"/>
                      <w:highlight w:val="none"/>
                      <w14:textFill>
                        <w14:solidFill>
                          <w14:schemeClr w14:val="tx1"/>
                        </w14:solidFill>
                      </w14:textFill>
                    </w:rPr>
                    <w:t>，风量</w:t>
                  </w:r>
                  <w:r>
                    <w:rPr>
                      <w:rFonts w:hint="eastAsia"/>
                      <w:color w:val="000000" w:themeColor="text1"/>
                      <w:szCs w:val="21"/>
                      <w:highlight w:val="none"/>
                      <w:lang w:val="en-US" w:eastAsia="zh-CN"/>
                      <w14:textFill>
                        <w14:solidFill>
                          <w14:schemeClr w14:val="tx1"/>
                        </w14:solidFill>
                      </w14:textFill>
                    </w:rPr>
                    <w:t>4</w:t>
                  </w:r>
                  <w:r>
                    <w:rPr>
                      <w:rFonts w:hint="eastAsia"/>
                      <w:color w:val="000000" w:themeColor="text1"/>
                      <w:szCs w:val="21"/>
                      <w:highlight w:val="none"/>
                      <w:lang w:eastAsia="zh-CN"/>
                      <w14:textFill>
                        <w14:solidFill>
                          <w14:schemeClr w14:val="tx1"/>
                        </w14:solidFill>
                      </w14:textFill>
                    </w:rPr>
                    <w:t>000m</w:t>
                  </w:r>
                  <w:r>
                    <w:rPr>
                      <w:rFonts w:hint="eastAsia"/>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/h）处理后经过15m高排气筒（DA00</w:t>
                  </w:r>
                  <w:r>
                    <w:rPr>
                      <w:rFonts w:hint="eastAsia"/>
                      <w:color w:val="000000" w:themeColor="text1"/>
                      <w:szCs w:val="21"/>
                      <w:highlight w:val="none"/>
                      <w:lang w:val="en-US" w:eastAsia="zh-CN"/>
                      <w14:textFill>
                        <w14:solidFill>
                          <w14:schemeClr w14:val="tx1"/>
                        </w14:solidFill>
                      </w14:textFill>
                    </w:rPr>
                    <w:t>2</w:t>
                  </w:r>
                  <w:r>
                    <w:rPr>
                      <w:rFonts w:hint="eastAsia"/>
                      <w:color w:val="000000" w:themeColor="text1"/>
                      <w:szCs w:val="21"/>
                      <w:highlight w:val="none"/>
                      <w14:textFill>
                        <w14:solidFill>
                          <w14:schemeClr w14:val="tx1"/>
                        </w14:solidFill>
                      </w14:textFill>
                    </w:rPr>
                    <w:t>）排放</w:t>
                  </w:r>
                </w:p>
              </w:tc>
              <w:tc>
                <w:tcPr>
                  <w:tcW w:w="840" w:type="pct"/>
                  <w:vMerge w:val="continue"/>
                  <w:tcBorders>
                    <w:tl2br w:val="nil"/>
                    <w:tr2bl w:val="nil"/>
                  </w:tcBorders>
                  <w:vAlign w:val="center"/>
                </w:tcPr>
                <w:p w14:paraId="2F0F5C8A">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color w:val="000000" w:themeColor="text1"/>
                      <w:szCs w:val="21"/>
                      <w:highlight w:val="none"/>
                      <w14:textFill>
                        <w14:solidFill>
                          <w14:schemeClr w14:val="tx1"/>
                        </w14:solidFill>
                      </w14:textFill>
                    </w:rPr>
                  </w:pPr>
                </w:p>
              </w:tc>
            </w:tr>
            <w:tr w14:paraId="58A8921E">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40" w:hRule="atLeast"/>
              </w:trPr>
              <w:tc>
                <w:tcPr>
                  <w:tcW w:w="405" w:type="pct"/>
                  <w:vMerge w:val="continue"/>
                  <w:tcBorders>
                    <w:tl2br w:val="nil"/>
                    <w:tr2bl w:val="nil"/>
                  </w:tcBorders>
                  <w:vAlign w:val="center"/>
                </w:tcPr>
                <w:p w14:paraId="5B54F19E">
                  <w:pPr>
                    <w:keepNext w:val="0"/>
                    <w:keepLines w:val="0"/>
                    <w:pageBreakBefore w:val="0"/>
                    <w:kinsoku/>
                    <w:wordWrap/>
                    <w:overflowPunct/>
                    <w:topLinePunct w:val="0"/>
                    <w:autoSpaceDE/>
                    <w:autoSpaceDN/>
                    <w:bidi w:val="0"/>
                    <w:spacing w:line="240" w:lineRule="exact"/>
                    <w:jc w:val="center"/>
                    <w:textAlignment w:val="auto"/>
                    <w:rPr>
                      <w:color w:val="000000" w:themeColor="text1"/>
                      <w:highlight w:val="none"/>
                      <w14:textFill>
                        <w14:solidFill>
                          <w14:schemeClr w14:val="tx1"/>
                        </w14:solidFill>
                      </w14:textFill>
                    </w:rPr>
                  </w:pPr>
                </w:p>
              </w:tc>
              <w:tc>
                <w:tcPr>
                  <w:tcW w:w="850" w:type="pct"/>
                  <w:tcBorders>
                    <w:tl2br w:val="nil"/>
                    <w:tr2bl w:val="nil"/>
                  </w:tcBorders>
                  <w:vAlign w:val="center"/>
                </w:tcPr>
                <w:p w14:paraId="034DBB5C">
                  <w:pPr>
                    <w:keepNext w:val="0"/>
                    <w:keepLines w:val="0"/>
                    <w:pageBreakBefore w:val="0"/>
                    <w:kinsoku/>
                    <w:wordWrap/>
                    <w:overflowPunct/>
                    <w:topLinePunct w:val="0"/>
                    <w:autoSpaceDE/>
                    <w:autoSpaceDN/>
                    <w:bidi w:val="0"/>
                    <w:spacing w:line="240" w:lineRule="exact"/>
                    <w:jc w:val="center"/>
                    <w:textAlignment w:val="auto"/>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G</w:t>
                  </w:r>
                  <w:r>
                    <w:rPr>
                      <w:rFonts w:hint="eastAsia"/>
                      <w:color w:val="000000" w:themeColor="text1"/>
                      <w:szCs w:val="21"/>
                      <w:highlight w:val="none"/>
                      <w:lang w:val="en-US" w:eastAsia="zh-CN"/>
                      <w14:textFill>
                        <w14:solidFill>
                          <w14:schemeClr w14:val="tx1"/>
                        </w14:solidFill>
                      </w14:textFill>
                    </w:rPr>
                    <w:t>5</w:t>
                  </w:r>
                </w:p>
              </w:tc>
              <w:tc>
                <w:tcPr>
                  <w:tcW w:w="760" w:type="pct"/>
                  <w:tcBorders>
                    <w:tl2br w:val="nil"/>
                    <w:tr2bl w:val="nil"/>
                  </w:tcBorders>
                  <w:vAlign w:val="center"/>
                </w:tcPr>
                <w:p w14:paraId="2584A82B">
                  <w:pPr>
                    <w:keepNext w:val="0"/>
                    <w:keepLines w:val="0"/>
                    <w:pageBreakBefore w:val="0"/>
                    <w:kinsoku/>
                    <w:wordWrap/>
                    <w:overflowPunct/>
                    <w:topLinePunct w:val="0"/>
                    <w:autoSpaceDE/>
                    <w:autoSpaceDN/>
                    <w:bidi w:val="0"/>
                    <w:adjustRightInd w:val="0"/>
                    <w:snapToGrid w:val="0"/>
                    <w:spacing w:line="240" w:lineRule="exact"/>
                    <w:jc w:val="center"/>
                    <w:textAlignment w:val="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危废仓库</w:t>
                  </w:r>
                </w:p>
              </w:tc>
              <w:tc>
                <w:tcPr>
                  <w:tcW w:w="918" w:type="pct"/>
                  <w:tcBorders>
                    <w:tl2br w:val="nil"/>
                    <w:tr2bl w:val="nil"/>
                  </w:tcBorders>
                  <w:shd w:val="clear" w:color="auto" w:fill="auto"/>
                  <w:vAlign w:val="center"/>
                </w:tcPr>
                <w:p w14:paraId="34DDE3D0">
                  <w:pPr>
                    <w:keepNext w:val="0"/>
                    <w:keepLines w:val="0"/>
                    <w:pageBreakBefore w:val="0"/>
                    <w:kinsoku/>
                    <w:wordWrap/>
                    <w:overflowPunct/>
                    <w:topLinePunct w:val="0"/>
                    <w:autoSpaceDE/>
                    <w:autoSpaceDN/>
                    <w:bidi w:val="0"/>
                    <w:adjustRightInd w:val="0"/>
                    <w:snapToGrid w:val="0"/>
                    <w:spacing w:line="240" w:lineRule="exact"/>
                    <w:jc w:val="center"/>
                    <w:textAlignment w:val="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非甲烷总烃</w:t>
                  </w:r>
                </w:p>
              </w:tc>
              <w:tc>
                <w:tcPr>
                  <w:tcW w:w="1224" w:type="pct"/>
                  <w:tcBorders>
                    <w:tl2br w:val="nil"/>
                    <w:tr2bl w:val="nil"/>
                  </w:tcBorders>
                  <w:vAlign w:val="center"/>
                </w:tcPr>
                <w:p w14:paraId="28BE4DCB">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840" w:type="pct"/>
                  <w:tcBorders>
                    <w:tl2br w:val="nil"/>
                    <w:tr2bl w:val="nil"/>
                  </w:tcBorders>
                  <w:vAlign w:val="center"/>
                </w:tcPr>
                <w:p w14:paraId="156A723E">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无</w:t>
                  </w:r>
                  <w:r>
                    <w:rPr>
                      <w:rFonts w:hint="eastAsia"/>
                      <w:color w:val="000000" w:themeColor="text1"/>
                      <w:szCs w:val="21"/>
                      <w:highlight w:val="none"/>
                      <w14:textFill>
                        <w14:solidFill>
                          <w14:schemeClr w14:val="tx1"/>
                        </w14:solidFill>
                      </w14:textFill>
                    </w:rPr>
                    <w:t>组织</w:t>
                  </w:r>
                  <w:r>
                    <w:rPr>
                      <w:color w:val="000000" w:themeColor="text1"/>
                      <w:szCs w:val="21"/>
                      <w:highlight w:val="none"/>
                      <w14:textFill>
                        <w14:solidFill>
                          <w14:schemeClr w14:val="tx1"/>
                        </w14:solidFill>
                      </w14:textFill>
                    </w:rPr>
                    <w:t>排放</w:t>
                  </w:r>
                </w:p>
              </w:tc>
            </w:tr>
            <w:tr w14:paraId="03A1BDEC">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40" w:hRule="atLeast"/>
              </w:trPr>
              <w:tc>
                <w:tcPr>
                  <w:tcW w:w="405" w:type="pct"/>
                  <w:vMerge w:val="restart"/>
                  <w:tcBorders>
                    <w:tl2br w:val="nil"/>
                    <w:tr2bl w:val="nil"/>
                  </w:tcBorders>
                  <w:vAlign w:val="center"/>
                </w:tcPr>
                <w:p w14:paraId="564732A1">
                  <w:pPr>
                    <w:keepNext w:val="0"/>
                    <w:keepLines w:val="0"/>
                    <w:pageBreakBefore w:val="0"/>
                    <w:kinsoku/>
                    <w:wordWrap/>
                    <w:overflowPunct/>
                    <w:topLinePunct w:val="0"/>
                    <w:autoSpaceDE/>
                    <w:autoSpaceDN/>
                    <w:bidi w:val="0"/>
                    <w:spacing w:line="240" w:lineRule="exact"/>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固体</w:t>
                  </w:r>
                </w:p>
                <w:p w14:paraId="70C219FA">
                  <w:pPr>
                    <w:keepNext w:val="0"/>
                    <w:keepLines w:val="0"/>
                    <w:pageBreakBefore w:val="0"/>
                    <w:kinsoku/>
                    <w:wordWrap/>
                    <w:overflowPunct/>
                    <w:topLinePunct w:val="0"/>
                    <w:autoSpaceDE/>
                    <w:autoSpaceDN/>
                    <w:bidi w:val="0"/>
                    <w:spacing w:line="240" w:lineRule="exact"/>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废物</w:t>
                  </w:r>
                </w:p>
              </w:tc>
              <w:tc>
                <w:tcPr>
                  <w:tcW w:w="850" w:type="pct"/>
                  <w:tcBorders>
                    <w:tl2br w:val="nil"/>
                    <w:tr2bl w:val="nil"/>
                  </w:tcBorders>
                  <w:vAlign w:val="center"/>
                </w:tcPr>
                <w:p w14:paraId="4158F974">
                  <w:pPr>
                    <w:keepNext w:val="0"/>
                    <w:keepLines w:val="0"/>
                    <w:pageBreakBefore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S1、S4</w:t>
                  </w:r>
                </w:p>
              </w:tc>
              <w:tc>
                <w:tcPr>
                  <w:tcW w:w="760" w:type="pct"/>
                  <w:tcBorders>
                    <w:tl2br w:val="nil"/>
                    <w:tr2bl w:val="nil"/>
                  </w:tcBorders>
                  <w:vAlign w:val="center"/>
                </w:tcPr>
                <w:p w14:paraId="3A603DE2">
                  <w:pPr>
                    <w:keepNext w:val="0"/>
                    <w:keepLines w:val="0"/>
                    <w:pageBreakBefore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硫化成型、注射成型</w:t>
                  </w:r>
                </w:p>
              </w:tc>
              <w:tc>
                <w:tcPr>
                  <w:tcW w:w="918" w:type="pct"/>
                  <w:tcBorders>
                    <w:tl2br w:val="nil"/>
                    <w:tr2bl w:val="nil"/>
                  </w:tcBorders>
                  <w:vAlign w:val="center"/>
                </w:tcPr>
                <w:p w14:paraId="3422FA88">
                  <w:pPr>
                    <w:keepNext w:val="0"/>
                    <w:keepLines w:val="0"/>
                    <w:pageBreakBefore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边角料</w:t>
                  </w:r>
                </w:p>
              </w:tc>
              <w:tc>
                <w:tcPr>
                  <w:tcW w:w="1224" w:type="pct"/>
                  <w:vMerge w:val="restart"/>
                  <w:tcBorders>
                    <w:tl2br w:val="nil"/>
                    <w:tr2bl w:val="nil"/>
                  </w:tcBorders>
                  <w:vAlign w:val="center"/>
                </w:tcPr>
                <w:p w14:paraId="76DEDE8E">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一般固废库暂存</w:t>
                  </w:r>
                </w:p>
              </w:tc>
              <w:tc>
                <w:tcPr>
                  <w:tcW w:w="840" w:type="pct"/>
                  <w:vMerge w:val="restart"/>
                  <w:tcBorders>
                    <w:tl2br w:val="nil"/>
                    <w:tr2bl w:val="nil"/>
                  </w:tcBorders>
                  <w:vAlign w:val="center"/>
                </w:tcPr>
                <w:p w14:paraId="41C4466C">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收集后做一般固废</w:t>
                  </w:r>
                </w:p>
              </w:tc>
            </w:tr>
            <w:tr w14:paraId="569D0689">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40" w:hRule="atLeast"/>
              </w:trPr>
              <w:tc>
                <w:tcPr>
                  <w:tcW w:w="405" w:type="pct"/>
                  <w:vMerge w:val="continue"/>
                  <w:tcBorders>
                    <w:tl2br w:val="nil"/>
                    <w:tr2bl w:val="nil"/>
                  </w:tcBorders>
                  <w:vAlign w:val="center"/>
                </w:tcPr>
                <w:p w14:paraId="5AA0BB0F">
                  <w:pPr>
                    <w:keepNext w:val="0"/>
                    <w:keepLines w:val="0"/>
                    <w:pageBreakBefore w:val="0"/>
                    <w:kinsoku/>
                    <w:wordWrap/>
                    <w:overflowPunct/>
                    <w:topLinePunct w:val="0"/>
                    <w:autoSpaceDE/>
                    <w:autoSpaceDN/>
                    <w:bidi w:val="0"/>
                    <w:spacing w:line="240" w:lineRule="exact"/>
                    <w:jc w:val="center"/>
                    <w:textAlignment w:val="auto"/>
                    <w:rPr>
                      <w:rFonts w:hint="eastAsia"/>
                      <w:color w:val="000000" w:themeColor="text1"/>
                      <w:highlight w:val="none"/>
                      <w14:textFill>
                        <w14:solidFill>
                          <w14:schemeClr w14:val="tx1"/>
                        </w14:solidFill>
                      </w14:textFill>
                    </w:rPr>
                  </w:pPr>
                </w:p>
              </w:tc>
              <w:tc>
                <w:tcPr>
                  <w:tcW w:w="850" w:type="pct"/>
                  <w:tcBorders>
                    <w:tl2br w:val="nil"/>
                    <w:tr2bl w:val="nil"/>
                  </w:tcBorders>
                  <w:vAlign w:val="center"/>
                </w:tcPr>
                <w:p w14:paraId="6BB8D986">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S2、S5</w:t>
                  </w:r>
                </w:p>
              </w:tc>
              <w:tc>
                <w:tcPr>
                  <w:tcW w:w="760" w:type="pct"/>
                  <w:tcBorders>
                    <w:tl2br w:val="nil"/>
                    <w:tr2bl w:val="nil"/>
                  </w:tcBorders>
                  <w:vAlign w:val="center"/>
                </w:tcPr>
                <w:p w14:paraId="43BE18B1">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检验</w:t>
                  </w:r>
                </w:p>
              </w:tc>
              <w:tc>
                <w:tcPr>
                  <w:tcW w:w="918" w:type="pct"/>
                  <w:tcBorders>
                    <w:tl2br w:val="nil"/>
                    <w:tr2bl w:val="nil"/>
                  </w:tcBorders>
                  <w:vAlign w:val="center"/>
                </w:tcPr>
                <w:p w14:paraId="2D5668D2">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不合格品</w:t>
                  </w:r>
                </w:p>
              </w:tc>
              <w:tc>
                <w:tcPr>
                  <w:tcW w:w="1224" w:type="pct"/>
                  <w:vMerge w:val="continue"/>
                  <w:tcBorders>
                    <w:tl2br w:val="nil"/>
                    <w:tr2bl w:val="nil"/>
                  </w:tcBorders>
                  <w:vAlign w:val="center"/>
                </w:tcPr>
                <w:p w14:paraId="490CC3C8">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840" w:type="pct"/>
                  <w:vMerge w:val="continue"/>
                  <w:tcBorders>
                    <w:tl2br w:val="nil"/>
                    <w:tr2bl w:val="nil"/>
                  </w:tcBorders>
                  <w:vAlign w:val="center"/>
                </w:tcPr>
                <w:p w14:paraId="62D79BE5">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1E4CE4AF">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40" w:hRule="atLeast"/>
              </w:trPr>
              <w:tc>
                <w:tcPr>
                  <w:tcW w:w="405" w:type="pct"/>
                  <w:vMerge w:val="continue"/>
                  <w:tcBorders>
                    <w:tl2br w:val="nil"/>
                    <w:tr2bl w:val="nil"/>
                  </w:tcBorders>
                  <w:vAlign w:val="center"/>
                </w:tcPr>
                <w:p w14:paraId="088D10D8">
                  <w:pPr>
                    <w:keepNext w:val="0"/>
                    <w:keepLines w:val="0"/>
                    <w:pageBreakBefore w:val="0"/>
                    <w:kinsoku/>
                    <w:wordWrap/>
                    <w:overflowPunct/>
                    <w:topLinePunct w:val="0"/>
                    <w:autoSpaceDE/>
                    <w:autoSpaceDN/>
                    <w:bidi w:val="0"/>
                    <w:spacing w:line="240" w:lineRule="exact"/>
                    <w:jc w:val="center"/>
                    <w:textAlignment w:val="auto"/>
                    <w:rPr>
                      <w:rFonts w:hint="eastAsia"/>
                      <w:color w:val="000000" w:themeColor="text1"/>
                      <w:highlight w:val="none"/>
                      <w14:textFill>
                        <w14:solidFill>
                          <w14:schemeClr w14:val="tx1"/>
                        </w14:solidFill>
                      </w14:textFill>
                    </w:rPr>
                  </w:pPr>
                </w:p>
              </w:tc>
              <w:tc>
                <w:tcPr>
                  <w:tcW w:w="850" w:type="pct"/>
                  <w:tcBorders>
                    <w:tl2br w:val="nil"/>
                    <w:tr2bl w:val="nil"/>
                  </w:tcBorders>
                  <w:vAlign w:val="center"/>
                </w:tcPr>
                <w:p w14:paraId="140C7EAB">
                  <w:pPr>
                    <w:keepNext w:val="0"/>
                    <w:keepLines w:val="0"/>
                    <w:pageBreakBefore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S3、S6</w:t>
                  </w:r>
                </w:p>
              </w:tc>
              <w:tc>
                <w:tcPr>
                  <w:tcW w:w="760" w:type="pct"/>
                  <w:tcBorders>
                    <w:tl2br w:val="nil"/>
                    <w:tr2bl w:val="nil"/>
                  </w:tcBorders>
                  <w:vAlign w:val="center"/>
                </w:tcPr>
                <w:p w14:paraId="7D6C5ADE">
                  <w:pPr>
                    <w:keepNext w:val="0"/>
                    <w:keepLines w:val="0"/>
                    <w:pageBreakBefore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包装</w:t>
                  </w:r>
                </w:p>
              </w:tc>
              <w:tc>
                <w:tcPr>
                  <w:tcW w:w="918" w:type="pct"/>
                  <w:tcBorders>
                    <w:tl2br w:val="nil"/>
                    <w:tr2bl w:val="nil"/>
                  </w:tcBorders>
                  <w:vAlign w:val="center"/>
                </w:tcPr>
                <w:p w14:paraId="6861CC6A">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废包装材料</w:t>
                  </w:r>
                </w:p>
              </w:tc>
              <w:tc>
                <w:tcPr>
                  <w:tcW w:w="1224" w:type="pct"/>
                  <w:vMerge w:val="continue"/>
                  <w:tcBorders>
                    <w:tl2br w:val="nil"/>
                    <w:tr2bl w:val="nil"/>
                  </w:tcBorders>
                  <w:vAlign w:val="center"/>
                </w:tcPr>
                <w:p w14:paraId="4371BAF3">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840" w:type="pct"/>
                  <w:vMerge w:val="continue"/>
                  <w:tcBorders>
                    <w:tl2br w:val="nil"/>
                    <w:tr2bl w:val="nil"/>
                  </w:tcBorders>
                  <w:vAlign w:val="center"/>
                </w:tcPr>
                <w:p w14:paraId="5CE0864A">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4252807F">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40" w:hRule="atLeast"/>
              </w:trPr>
              <w:tc>
                <w:tcPr>
                  <w:tcW w:w="405" w:type="pct"/>
                  <w:vMerge w:val="continue"/>
                  <w:tcBorders>
                    <w:tl2br w:val="nil"/>
                    <w:tr2bl w:val="nil"/>
                  </w:tcBorders>
                  <w:vAlign w:val="center"/>
                </w:tcPr>
                <w:p w14:paraId="4EEF0F5A">
                  <w:pPr>
                    <w:keepNext w:val="0"/>
                    <w:keepLines w:val="0"/>
                    <w:pageBreakBefore w:val="0"/>
                    <w:kinsoku/>
                    <w:wordWrap/>
                    <w:overflowPunct/>
                    <w:topLinePunct w:val="0"/>
                    <w:autoSpaceDE/>
                    <w:autoSpaceDN/>
                    <w:bidi w:val="0"/>
                    <w:spacing w:line="240" w:lineRule="exact"/>
                    <w:jc w:val="center"/>
                    <w:textAlignment w:val="auto"/>
                    <w:rPr>
                      <w:color w:val="000000" w:themeColor="text1"/>
                      <w:highlight w:val="none"/>
                      <w14:textFill>
                        <w14:solidFill>
                          <w14:schemeClr w14:val="tx1"/>
                        </w14:solidFill>
                      </w14:textFill>
                    </w:rPr>
                  </w:pPr>
                </w:p>
              </w:tc>
              <w:tc>
                <w:tcPr>
                  <w:tcW w:w="850" w:type="pct"/>
                  <w:tcBorders>
                    <w:tl2br w:val="nil"/>
                    <w:tr2bl w:val="nil"/>
                  </w:tcBorders>
                  <w:shd w:val="clear" w:color="auto" w:fill="auto"/>
                  <w:vAlign w:val="center"/>
                </w:tcPr>
                <w:p w14:paraId="1ECB8BA9">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S7</w:t>
                  </w:r>
                </w:p>
              </w:tc>
              <w:tc>
                <w:tcPr>
                  <w:tcW w:w="760" w:type="pct"/>
                  <w:vMerge w:val="restart"/>
                  <w:tcBorders>
                    <w:tl2br w:val="nil"/>
                    <w:tr2bl w:val="nil"/>
                  </w:tcBorders>
                  <w:vAlign w:val="center"/>
                </w:tcPr>
                <w:p w14:paraId="7A57BED8">
                  <w:pPr>
                    <w:keepNext w:val="0"/>
                    <w:keepLines w:val="0"/>
                    <w:pageBreakBefore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废气处理</w:t>
                  </w:r>
                </w:p>
              </w:tc>
              <w:tc>
                <w:tcPr>
                  <w:tcW w:w="918" w:type="pct"/>
                  <w:tcBorders>
                    <w:tl2br w:val="nil"/>
                    <w:tr2bl w:val="nil"/>
                  </w:tcBorders>
                  <w:vAlign w:val="center"/>
                </w:tcPr>
                <w:p w14:paraId="423EDCC0">
                  <w:pPr>
                    <w:keepNext w:val="0"/>
                    <w:keepLines w:val="0"/>
                    <w:pageBreakBefore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废过滤棉</w:t>
                  </w:r>
                </w:p>
              </w:tc>
              <w:tc>
                <w:tcPr>
                  <w:tcW w:w="1224" w:type="pct"/>
                  <w:vMerge w:val="restart"/>
                  <w:tcBorders>
                    <w:tl2br w:val="nil"/>
                    <w:tr2bl w:val="nil"/>
                  </w:tcBorders>
                  <w:vAlign w:val="center"/>
                </w:tcPr>
                <w:p w14:paraId="4D1F1708">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危废库暂存</w:t>
                  </w:r>
                </w:p>
              </w:tc>
              <w:tc>
                <w:tcPr>
                  <w:tcW w:w="840" w:type="pct"/>
                  <w:vMerge w:val="restart"/>
                  <w:tcBorders>
                    <w:tl2br w:val="nil"/>
                    <w:tr2bl w:val="nil"/>
                  </w:tcBorders>
                  <w:vAlign w:val="center"/>
                </w:tcPr>
                <w:p w14:paraId="10940D82">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委托有资质单位处理</w:t>
                  </w:r>
                </w:p>
              </w:tc>
            </w:tr>
            <w:tr w14:paraId="25AC1992">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40" w:hRule="atLeast"/>
              </w:trPr>
              <w:tc>
                <w:tcPr>
                  <w:tcW w:w="405" w:type="pct"/>
                  <w:vMerge w:val="continue"/>
                  <w:tcBorders>
                    <w:tl2br w:val="nil"/>
                    <w:tr2bl w:val="nil"/>
                  </w:tcBorders>
                  <w:vAlign w:val="center"/>
                </w:tcPr>
                <w:p w14:paraId="6F8A88D1">
                  <w:pPr>
                    <w:keepNext w:val="0"/>
                    <w:keepLines w:val="0"/>
                    <w:pageBreakBefore w:val="0"/>
                    <w:kinsoku/>
                    <w:wordWrap/>
                    <w:overflowPunct/>
                    <w:topLinePunct w:val="0"/>
                    <w:autoSpaceDE/>
                    <w:autoSpaceDN/>
                    <w:bidi w:val="0"/>
                    <w:spacing w:line="240" w:lineRule="exact"/>
                    <w:jc w:val="center"/>
                    <w:textAlignment w:val="auto"/>
                    <w:rPr>
                      <w:color w:val="000000" w:themeColor="text1"/>
                      <w:highlight w:val="none"/>
                      <w14:textFill>
                        <w14:solidFill>
                          <w14:schemeClr w14:val="tx1"/>
                        </w14:solidFill>
                      </w14:textFill>
                    </w:rPr>
                  </w:pPr>
                </w:p>
              </w:tc>
              <w:tc>
                <w:tcPr>
                  <w:tcW w:w="850" w:type="pct"/>
                  <w:tcBorders>
                    <w:tl2br w:val="nil"/>
                    <w:tr2bl w:val="nil"/>
                  </w:tcBorders>
                  <w:shd w:val="clear" w:color="auto" w:fill="auto"/>
                  <w:vAlign w:val="center"/>
                </w:tcPr>
                <w:p w14:paraId="218C0D87">
                  <w:pPr>
                    <w:keepNext w:val="0"/>
                    <w:keepLines w:val="0"/>
                    <w:pageBreakBefore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S</w:t>
                  </w:r>
                  <w:r>
                    <w:rPr>
                      <w:rFonts w:hint="eastAsia" w:cs="Times New Roman"/>
                      <w:color w:val="000000" w:themeColor="text1"/>
                      <w:highlight w:val="none"/>
                      <w:lang w:val="en-US" w:eastAsia="zh-CN"/>
                      <w14:textFill>
                        <w14:solidFill>
                          <w14:schemeClr w14:val="tx1"/>
                        </w14:solidFill>
                      </w14:textFill>
                    </w:rPr>
                    <w:t>8</w:t>
                  </w:r>
                </w:p>
              </w:tc>
              <w:tc>
                <w:tcPr>
                  <w:tcW w:w="760" w:type="pct"/>
                  <w:vMerge w:val="continue"/>
                  <w:tcBorders>
                    <w:tl2br w:val="nil"/>
                    <w:tr2bl w:val="nil"/>
                  </w:tcBorders>
                  <w:vAlign w:val="center"/>
                </w:tcPr>
                <w:p w14:paraId="46D9D66E">
                  <w:pPr>
                    <w:keepNext w:val="0"/>
                    <w:keepLines w:val="0"/>
                    <w:pageBreakBefore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918" w:type="pct"/>
                  <w:tcBorders>
                    <w:tl2br w:val="nil"/>
                    <w:tr2bl w:val="nil"/>
                  </w:tcBorders>
                  <w:vAlign w:val="center"/>
                </w:tcPr>
                <w:p w14:paraId="1A657136">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废活性炭</w:t>
                  </w:r>
                </w:p>
              </w:tc>
              <w:tc>
                <w:tcPr>
                  <w:tcW w:w="1224" w:type="pct"/>
                  <w:vMerge w:val="continue"/>
                  <w:tcBorders>
                    <w:tl2br w:val="nil"/>
                    <w:tr2bl w:val="nil"/>
                  </w:tcBorders>
                  <w:vAlign w:val="center"/>
                </w:tcPr>
                <w:p w14:paraId="16B68866">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840" w:type="pct"/>
                  <w:vMerge w:val="continue"/>
                  <w:tcBorders>
                    <w:tl2br w:val="nil"/>
                    <w:tr2bl w:val="nil"/>
                  </w:tcBorders>
                  <w:vAlign w:val="center"/>
                </w:tcPr>
                <w:p w14:paraId="1685ED28">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FD151F5">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40" w:hRule="atLeast"/>
              </w:trPr>
              <w:tc>
                <w:tcPr>
                  <w:tcW w:w="405" w:type="pct"/>
                  <w:vMerge w:val="continue"/>
                  <w:tcBorders>
                    <w:tl2br w:val="nil"/>
                    <w:tr2bl w:val="nil"/>
                  </w:tcBorders>
                  <w:vAlign w:val="center"/>
                </w:tcPr>
                <w:p w14:paraId="346830A8">
                  <w:pPr>
                    <w:keepNext w:val="0"/>
                    <w:keepLines w:val="0"/>
                    <w:pageBreakBefore w:val="0"/>
                    <w:kinsoku/>
                    <w:wordWrap/>
                    <w:overflowPunct/>
                    <w:topLinePunct w:val="0"/>
                    <w:autoSpaceDE/>
                    <w:autoSpaceDN/>
                    <w:bidi w:val="0"/>
                    <w:spacing w:line="240" w:lineRule="exact"/>
                    <w:jc w:val="center"/>
                    <w:textAlignment w:val="auto"/>
                    <w:rPr>
                      <w:color w:val="000000" w:themeColor="text1"/>
                      <w:highlight w:val="none"/>
                      <w14:textFill>
                        <w14:solidFill>
                          <w14:schemeClr w14:val="tx1"/>
                        </w14:solidFill>
                      </w14:textFill>
                    </w:rPr>
                  </w:pPr>
                </w:p>
              </w:tc>
              <w:tc>
                <w:tcPr>
                  <w:tcW w:w="850" w:type="pct"/>
                  <w:tcBorders>
                    <w:tl2br w:val="nil"/>
                    <w:tr2bl w:val="nil"/>
                  </w:tcBorders>
                  <w:shd w:val="clear" w:color="auto" w:fill="auto"/>
                  <w:vAlign w:val="center"/>
                </w:tcPr>
                <w:p w14:paraId="1F8C45A6">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S9</w:t>
                  </w:r>
                </w:p>
              </w:tc>
              <w:tc>
                <w:tcPr>
                  <w:tcW w:w="760" w:type="pct"/>
                  <w:tcBorders>
                    <w:tl2br w:val="nil"/>
                    <w:tr2bl w:val="nil"/>
                  </w:tcBorders>
                  <w:shd w:val="clear" w:color="auto" w:fill="auto"/>
                  <w:vAlign w:val="center"/>
                </w:tcPr>
                <w:p w14:paraId="5D3FE1EC">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日常生活</w:t>
                  </w:r>
                </w:p>
              </w:tc>
              <w:tc>
                <w:tcPr>
                  <w:tcW w:w="918" w:type="pct"/>
                  <w:tcBorders>
                    <w:tl2br w:val="nil"/>
                    <w:tr2bl w:val="nil"/>
                  </w:tcBorders>
                  <w:shd w:val="clear" w:color="auto" w:fill="auto"/>
                  <w:vAlign w:val="center"/>
                </w:tcPr>
                <w:p w14:paraId="682407C2">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生活垃圾</w:t>
                  </w:r>
                </w:p>
              </w:tc>
              <w:tc>
                <w:tcPr>
                  <w:tcW w:w="1224" w:type="pct"/>
                  <w:vMerge w:val="restart"/>
                  <w:tcBorders>
                    <w:tl2br w:val="nil"/>
                    <w:tr2bl w:val="nil"/>
                  </w:tcBorders>
                  <w:shd w:val="clear" w:color="auto" w:fill="auto"/>
                  <w:vAlign w:val="center"/>
                </w:tcPr>
                <w:p w14:paraId="05319389">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840" w:type="pct"/>
                  <w:tcBorders>
                    <w:tl2br w:val="nil"/>
                    <w:tr2bl w:val="nil"/>
                  </w:tcBorders>
                  <w:shd w:val="clear" w:color="auto" w:fill="auto"/>
                  <w:vAlign w:val="center"/>
                </w:tcPr>
                <w:p w14:paraId="16042E5E">
                  <w:pPr>
                    <w:spacing w:line="240" w:lineRule="exact"/>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环卫清运</w:t>
                  </w:r>
                </w:p>
              </w:tc>
            </w:tr>
            <w:tr w14:paraId="3B98E3C9">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40" w:hRule="atLeast"/>
              </w:trPr>
              <w:tc>
                <w:tcPr>
                  <w:tcW w:w="405" w:type="pct"/>
                  <w:vMerge w:val="continue"/>
                  <w:tcBorders>
                    <w:tl2br w:val="nil"/>
                    <w:tr2bl w:val="nil"/>
                  </w:tcBorders>
                  <w:vAlign w:val="center"/>
                </w:tcPr>
                <w:p w14:paraId="0040495A">
                  <w:pPr>
                    <w:keepNext w:val="0"/>
                    <w:keepLines w:val="0"/>
                    <w:pageBreakBefore w:val="0"/>
                    <w:kinsoku/>
                    <w:wordWrap/>
                    <w:overflowPunct/>
                    <w:topLinePunct w:val="0"/>
                    <w:autoSpaceDE/>
                    <w:autoSpaceDN/>
                    <w:bidi w:val="0"/>
                    <w:spacing w:line="240" w:lineRule="exact"/>
                    <w:jc w:val="center"/>
                    <w:textAlignment w:val="auto"/>
                    <w:rPr>
                      <w:color w:val="000000" w:themeColor="text1"/>
                      <w:highlight w:val="none"/>
                      <w14:textFill>
                        <w14:solidFill>
                          <w14:schemeClr w14:val="tx1"/>
                        </w14:solidFill>
                      </w14:textFill>
                    </w:rPr>
                  </w:pPr>
                </w:p>
              </w:tc>
              <w:tc>
                <w:tcPr>
                  <w:tcW w:w="850" w:type="pct"/>
                  <w:tcBorders>
                    <w:tl2br w:val="nil"/>
                    <w:tr2bl w:val="nil"/>
                  </w:tcBorders>
                  <w:shd w:val="clear" w:color="auto" w:fill="auto"/>
                  <w:vAlign w:val="center"/>
                </w:tcPr>
                <w:p w14:paraId="5843A252">
                  <w:pPr>
                    <w:keepNext w:val="0"/>
                    <w:keepLines w:val="0"/>
                    <w:pageBreakBefore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S</w:t>
                  </w:r>
                  <w:r>
                    <w:rPr>
                      <w:rFonts w:hint="eastAsia" w:cs="Times New Roman"/>
                      <w:color w:val="000000" w:themeColor="text1"/>
                      <w:highlight w:val="none"/>
                      <w:lang w:val="en-US" w:eastAsia="zh-CN"/>
                      <w14:textFill>
                        <w14:solidFill>
                          <w14:schemeClr w14:val="tx1"/>
                        </w14:solidFill>
                      </w14:textFill>
                    </w:rPr>
                    <w:t>10</w:t>
                  </w:r>
                </w:p>
              </w:tc>
              <w:tc>
                <w:tcPr>
                  <w:tcW w:w="760" w:type="pct"/>
                  <w:tcBorders>
                    <w:tl2br w:val="nil"/>
                    <w:tr2bl w:val="nil"/>
                  </w:tcBorders>
                  <w:shd w:val="clear" w:color="auto" w:fill="auto"/>
                  <w:vAlign w:val="center"/>
                </w:tcPr>
                <w:p w14:paraId="4198A679">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污水处理</w:t>
                  </w:r>
                </w:p>
              </w:tc>
              <w:tc>
                <w:tcPr>
                  <w:tcW w:w="918" w:type="pct"/>
                  <w:tcBorders>
                    <w:tl2br w:val="nil"/>
                    <w:tr2bl w:val="nil"/>
                  </w:tcBorders>
                  <w:shd w:val="clear" w:color="auto" w:fill="auto"/>
                  <w:vAlign w:val="center"/>
                </w:tcPr>
                <w:p w14:paraId="43ADD6ED">
                  <w:pPr>
                    <w:keepNext w:val="0"/>
                    <w:keepLines w:val="0"/>
                    <w:pageBreakBefore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化粪池污泥</w:t>
                  </w:r>
                </w:p>
              </w:tc>
              <w:tc>
                <w:tcPr>
                  <w:tcW w:w="1224" w:type="pct"/>
                  <w:vMerge w:val="continue"/>
                  <w:tcBorders>
                    <w:tl2br w:val="nil"/>
                    <w:tr2bl w:val="nil"/>
                  </w:tcBorders>
                  <w:shd w:val="clear" w:color="auto" w:fill="auto"/>
                  <w:vAlign w:val="center"/>
                </w:tcPr>
                <w:p w14:paraId="1BB0394A">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color w:val="000000" w:themeColor="text1"/>
                      <w:highlight w:val="none"/>
                      <w14:textFill>
                        <w14:solidFill>
                          <w14:schemeClr w14:val="tx1"/>
                        </w14:solidFill>
                      </w14:textFill>
                    </w:rPr>
                  </w:pPr>
                </w:p>
              </w:tc>
              <w:tc>
                <w:tcPr>
                  <w:tcW w:w="840" w:type="pct"/>
                  <w:tcBorders>
                    <w:tl2br w:val="nil"/>
                    <w:tr2bl w:val="nil"/>
                  </w:tcBorders>
                  <w:shd w:val="clear" w:color="auto" w:fill="auto"/>
                  <w:vAlign w:val="center"/>
                </w:tcPr>
                <w:p w14:paraId="2FF874F9">
                  <w:pPr>
                    <w:spacing w:line="240" w:lineRule="exact"/>
                    <w:jc w:val="center"/>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专业单位处置</w:t>
                  </w:r>
                </w:p>
              </w:tc>
            </w:tr>
            <w:tr w14:paraId="1E92C0E8">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40" w:hRule="atLeast"/>
              </w:trPr>
              <w:tc>
                <w:tcPr>
                  <w:tcW w:w="405" w:type="pct"/>
                  <w:vMerge w:val="continue"/>
                  <w:tcBorders>
                    <w:tl2br w:val="nil"/>
                    <w:tr2bl w:val="nil"/>
                  </w:tcBorders>
                  <w:vAlign w:val="center"/>
                </w:tcPr>
                <w:p w14:paraId="7EF8DCB6">
                  <w:pPr>
                    <w:keepNext w:val="0"/>
                    <w:keepLines w:val="0"/>
                    <w:pageBreakBefore w:val="0"/>
                    <w:kinsoku/>
                    <w:wordWrap/>
                    <w:overflowPunct/>
                    <w:topLinePunct w:val="0"/>
                    <w:autoSpaceDE/>
                    <w:autoSpaceDN/>
                    <w:bidi w:val="0"/>
                    <w:spacing w:line="240" w:lineRule="exact"/>
                    <w:jc w:val="center"/>
                    <w:textAlignment w:val="auto"/>
                    <w:rPr>
                      <w:color w:val="000000" w:themeColor="text1"/>
                      <w:highlight w:val="none"/>
                      <w14:textFill>
                        <w14:solidFill>
                          <w14:schemeClr w14:val="tx1"/>
                        </w14:solidFill>
                      </w14:textFill>
                    </w:rPr>
                  </w:pPr>
                </w:p>
              </w:tc>
              <w:tc>
                <w:tcPr>
                  <w:tcW w:w="850" w:type="pct"/>
                  <w:tcBorders>
                    <w:tl2br w:val="nil"/>
                    <w:tr2bl w:val="nil"/>
                  </w:tcBorders>
                  <w:shd w:val="clear" w:color="auto" w:fill="auto"/>
                  <w:vAlign w:val="center"/>
                </w:tcPr>
                <w:p w14:paraId="35117F99">
                  <w:pPr>
                    <w:keepNext w:val="0"/>
                    <w:keepLines w:val="0"/>
                    <w:pageBreakBefore w:val="0"/>
                    <w:kinsoku/>
                    <w:wordWrap/>
                    <w:overflowPunct/>
                    <w:topLinePunct w:val="0"/>
                    <w:autoSpaceDE/>
                    <w:autoSpaceDN/>
                    <w:bidi w:val="0"/>
                    <w:spacing w:line="240" w:lineRule="exact"/>
                    <w:jc w:val="center"/>
                    <w:textAlignment w:val="auto"/>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S11</w:t>
                  </w:r>
                </w:p>
              </w:tc>
              <w:tc>
                <w:tcPr>
                  <w:tcW w:w="760" w:type="pct"/>
                  <w:tcBorders>
                    <w:tl2br w:val="nil"/>
                    <w:tr2bl w:val="nil"/>
                  </w:tcBorders>
                  <w:shd w:val="clear" w:color="auto" w:fill="auto"/>
                  <w:vAlign w:val="center"/>
                </w:tcPr>
                <w:p w14:paraId="10803924">
                  <w:pPr>
                    <w:keepNext w:val="0"/>
                    <w:keepLines w:val="0"/>
                    <w:pageBreakBefore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包装</w:t>
                  </w:r>
                </w:p>
              </w:tc>
              <w:tc>
                <w:tcPr>
                  <w:tcW w:w="918" w:type="pct"/>
                  <w:tcBorders>
                    <w:tl2br w:val="nil"/>
                    <w:tr2bl w:val="nil"/>
                  </w:tcBorders>
                  <w:shd w:val="clear" w:color="auto" w:fill="auto"/>
                  <w:vAlign w:val="center"/>
                </w:tcPr>
                <w:p w14:paraId="0792E184">
                  <w:pPr>
                    <w:keepNext w:val="0"/>
                    <w:keepLines w:val="0"/>
                    <w:pageBreakBefore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废包装</w:t>
                  </w:r>
                  <w:r>
                    <w:rPr>
                      <w:rFonts w:hint="eastAsia" w:cs="Times New Roman"/>
                      <w:color w:val="000000" w:themeColor="text1"/>
                      <w:highlight w:val="none"/>
                      <w:lang w:val="en-US" w:eastAsia="zh-CN"/>
                      <w14:textFill>
                        <w14:solidFill>
                          <w14:schemeClr w14:val="tx1"/>
                        </w14:solidFill>
                      </w14:textFill>
                    </w:rPr>
                    <w:t>物</w:t>
                  </w:r>
                </w:p>
              </w:tc>
              <w:tc>
                <w:tcPr>
                  <w:tcW w:w="1224" w:type="pct"/>
                  <w:tcBorders>
                    <w:tl2br w:val="nil"/>
                    <w:tr2bl w:val="nil"/>
                  </w:tcBorders>
                  <w:shd w:val="clear" w:color="auto" w:fill="auto"/>
                  <w:vAlign w:val="center"/>
                </w:tcPr>
                <w:p w14:paraId="3225223C">
                  <w:pPr>
                    <w:keepNext w:val="0"/>
                    <w:keepLines w:val="0"/>
                    <w:pageBreakBefore w:val="0"/>
                    <w:kinsoku/>
                    <w:wordWrap/>
                    <w:overflowPunct/>
                    <w:topLinePunct w:val="0"/>
                    <w:autoSpaceDE/>
                    <w:autoSpaceDN/>
                    <w:bidi w:val="0"/>
                    <w:spacing w:line="240" w:lineRule="exact"/>
                    <w:jc w:val="center"/>
                    <w:textAlignment w:val="auto"/>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一般固废库暂存</w:t>
                  </w:r>
                </w:p>
              </w:tc>
              <w:tc>
                <w:tcPr>
                  <w:tcW w:w="840" w:type="pct"/>
                  <w:tcBorders>
                    <w:tl2br w:val="nil"/>
                    <w:tr2bl w:val="nil"/>
                  </w:tcBorders>
                  <w:shd w:val="clear" w:color="auto" w:fill="auto"/>
                  <w:vAlign w:val="center"/>
                </w:tcPr>
                <w:p w14:paraId="33BF811C">
                  <w:pPr>
                    <w:keepNext w:val="0"/>
                    <w:keepLines w:val="0"/>
                    <w:pageBreakBefore w:val="0"/>
                    <w:kinsoku/>
                    <w:wordWrap/>
                    <w:overflowPunct/>
                    <w:topLinePunct w:val="0"/>
                    <w:autoSpaceDE/>
                    <w:autoSpaceDN/>
                    <w:bidi w:val="0"/>
                    <w:spacing w:line="240" w:lineRule="exact"/>
                    <w:jc w:val="center"/>
                    <w:textAlignment w:val="auto"/>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收集后做一般固废</w:t>
                  </w:r>
                </w:p>
              </w:tc>
            </w:tr>
          </w:tbl>
          <w:p w14:paraId="64CE9568">
            <w:pPr>
              <w:spacing w:line="360" w:lineRule="auto"/>
              <w:ind w:firstLine="420" w:firstLineChars="200"/>
              <w:rPr>
                <w:color w:val="000000" w:themeColor="text1"/>
                <w:highlight w:val="none"/>
                <w14:textFill>
                  <w14:solidFill>
                    <w14:schemeClr w14:val="tx1"/>
                  </w14:solidFill>
                </w14:textFill>
              </w:rPr>
            </w:pPr>
          </w:p>
        </w:tc>
      </w:tr>
      <w:tr w14:paraId="7A5224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25" w:hRule="atLeast"/>
          <w:jc w:val="center"/>
        </w:trPr>
        <w:tc>
          <w:tcPr>
            <w:tcW w:w="251" w:type="pct"/>
            <w:vAlign w:val="center"/>
          </w:tcPr>
          <w:p w14:paraId="68A6EC82">
            <w:pPr>
              <w:pStyle w:val="34"/>
              <w:adjustRightInd w:val="0"/>
              <w:snapToGrid w:val="0"/>
              <w:spacing w:before="0" w:beforeAutospacing="0" w:after="0" w:afterAutospacing="0" w:line="440" w:lineRule="exact"/>
              <w:jc w:val="center"/>
              <w:rPr>
                <w:rFonts w:ascii="Times New Roman" w:hAnsi="Times New Roman"/>
                <w:color w:val="000000" w:themeColor="text1"/>
                <w:szCs w:val="24"/>
                <w:highlight w:val="none"/>
                <w14:textFill>
                  <w14:solidFill>
                    <w14:schemeClr w14:val="tx1"/>
                  </w14:solidFill>
                </w14:textFill>
              </w:rPr>
            </w:pPr>
            <w:r>
              <w:rPr>
                <w:rFonts w:ascii="Times New Roman" w:hAnsi="Times New Roman"/>
                <w:bCs/>
                <w:color w:val="000000" w:themeColor="text1"/>
                <w:kern w:val="2"/>
                <w:szCs w:val="24"/>
                <w:highlight w:val="none"/>
                <w14:textFill>
                  <w14:solidFill>
                    <w14:schemeClr w14:val="tx1"/>
                  </w14:solidFill>
                </w14:textFill>
              </w:rPr>
              <w:t>与项目有关的原有环境污染问题</w:t>
            </w:r>
          </w:p>
        </w:tc>
        <w:tc>
          <w:tcPr>
            <w:tcW w:w="4748" w:type="pct"/>
          </w:tcPr>
          <w:p w14:paraId="32F9DD3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color w:val="000000" w:themeColor="text1"/>
                <w:highlight w:val="none"/>
                <w14:textFill>
                  <w14:solidFill>
                    <w14:schemeClr w14:val="tx1"/>
                  </w14:solidFill>
                </w14:textFill>
              </w:rPr>
            </w:pP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本项目租用</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南京亚泰汽车部件制造有限公司</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位于</w:t>
            </w:r>
            <w:r>
              <w:rPr>
                <w:rFonts w:hint="eastAsia" w:ascii="Times New Roman" w:hAnsi="Times New Roman" w:eastAsia="Arial" w:cs="Times New Roman"/>
                <w:i w:val="0"/>
                <w:iCs w:val="0"/>
                <w:caps w:val="0"/>
                <w:color w:val="000000" w:themeColor="text1"/>
                <w:spacing w:val="0"/>
                <w:sz w:val="24"/>
                <w:szCs w:val="24"/>
                <w:highlight w:val="none"/>
                <w:shd w:val="clear" w:fill="FFFFFF"/>
                <w:lang w:val="zh-CN" w:eastAsia="zh-CN"/>
                <w14:textFill>
                  <w14:solidFill>
                    <w14:schemeClr w14:val="tx1"/>
                  </w14:solidFill>
                </w14:textFill>
              </w:rPr>
              <w:t>南京市江宁区禄口街道</w:t>
            </w:r>
            <w:r>
              <w:rPr>
                <w:rFonts w:hint="eastAsia" w:eastAsia="Arial" w:cs="Times New Roman"/>
                <w:i w:val="0"/>
                <w:iCs w:val="0"/>
                <w:caps w:val="0"/>
                <w:color w:val="000000" w:themeColor="text1"/>
                <w:spacing w:val="0"/>
                <w:sz w:val="24"/>
                <w:szCs w:val="24"/>
                <w:highlight w:val="none"/>
                <w:shd w:val="clear" w:fill="FFFFFF"/>
                <w:lang w:val="zh-CN" w:eastAsia="zh-CN"/>
                <w14:textFill>
                  <w14:solidFill>
                    <w14:schemeClr w14:val="tx1"/>
                  </w14:solidFill>
                </w14:textFill>
              </w:rPr>
              <w:t>蓝天路218号</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厂房，建筑面积</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825</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m</w:t>
            </w:r>
            <w:r>
              <w:rPr>
                <w:rFonts w:hint="eastAsia" w:ascii="Times New Roman" w:hAnsi="Times New Roman" w:eastAsia="Arial" w:cs="Times New Roman"/>
                <w:i w:val="0"/>
                <w:iCs w:val="0"/>
                <w:caps w:val="0"/>
                <w:color w:val="000000" w:themeColor="text1"/>
                <w:spacing w:val="0"/>
                <w:sz w:val="24"/>
                <w:szCs w:val="24"/>
                <w:highlight w:val="none"/>
                <w:shd w:val="clear" w:fill="FFFFFF"/>
                <w:vertAlign w:val="superscript"/>
                <w:lang w:val="en-US" w:eastAsia="zh-CN"/>
                <w14:textFill>
                  <w14:solidFill>
                    <w14:schemeClr w14:val="tx1"/>
                  </w14:solidFill>
                </w14:textFill>
              </w:rPr>
              <w:t>2</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，目前建筑内为空置状态，无现有遗留污染及主要环境问题。本项目利用租赁方雨污管网，租赁方建筑排水体制为雨污分流。</w:t>
            </w:r>
          </w:p>
        </w:tc>
      </w:tr>
    </w:tbl>
    <w:p w14:paraId="27DEC9DE">
      <w:pPr>
        <w:pStyle w:val="34"/>
        <w:keepNext/>
        <w:jc w:val="center"/>
        <w:rPr>
          <w:rFonts w:ascii="Times New Roman" w:hAnsi="Times New Roman"/>
          <w:snapToGrid w:val="0"/>
          <w:color w:val="000000" w:themeColor="text1"/>
          <w:sz w:val="30"/>
          <w:szCs w:val="30"/>
          <w:highlight w:val="none"/>
          <w14:textFill>
            <w14:solidFill>
              <w14:schemeClr w14:val="tx1"/>
            </w14:solidFill>
          </w14:textFill>
        </w:rPr>
        <w:sectPr>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326D78D0">
      <w:pPr>
        <w:pStyle w:val="34"/>
        <w:keepNext/>
        <w:jc w:val="center"/>
        <w:outlineLvl w:val="0"/>
        <w:rPr>
          <w:rFonts w:ascii="黑体" w:hAnsi="黑体" w:eastAsia="黑体" w:cs="黑体"/>
          <w:snapToGrid w:val="0"/>
          <w:color w:val="000000" w:themeColor="text1"/>
          <w:sz w:val="30"/>
          <w:szCs w:val="30"/>
          <w:highlight w:val="none"/>
          <w14:textFill>
            <w14:solidFill>
              <w14:schemeClr w14:val="tx1"/>
            </w14:solidFill>
          </w14:textFill>
        </w:rPr>
      </w:pPr>
      <w:r>
        <w:rPr>
          <w:rFonts w:ascii="黑体" w:hAnsi="黑体" w:eastAsia="黑体" w:cs="黑体"/>
          <w:snapToGrid w:val="0"/>
          <w:color w:val="000000" w:themeColor="text1"/>
          <w:sz w:val="30"/>
          <w:szCs w:val="30"/>
          <w:highlight w:val="none"/>
          <w14:textFill>
            <w14:solidFill>
              <w14:schemeClr w14:val="tx1"/>
            </w14:solidFill>
          </w14:textFill>
        </w:rPr>
        <w:t>三、区域环境质量现状、环境保护目标及评价标准</w:t>
      </w:r>
    </w:p>
    <w:tbl>
      <w:tblPr>
        <w:tblStyle w:val="3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4"/>
        <w:gridCol w:w="8607"/>
      </w:tblGrid>
      <w:tr w14:paraId="63B46F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3" w:type="dxa"/>
            <w:vAlign w:val="center"/>
          </w:tcPr>
          <w:p w14:paraId="78F807D5">
            <w:pPr>
              <w:adjustRightInd w:val="0"/>
              <w:snapToGrid w:val="0"/>
              <w:spacing w:line="440" w:lineRule="exact"/>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区域</w:t>
            </w:r>
          </w:p>
          <w:p w14:paraId="337A1168">
            <w:pPr>
              <w:adjustRightInd w:val="0"/>
              <w:snapToGrid w:val="0"/>
              <w:spacing w:line="440" w:lineRule="exact"/>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环境</w:t>
            </w:r>
          </w:p>
          <w:p w14:paraId="117F83F1">
            <w:pPr>
              <w:adjustRightInd w:val="0"/>
              <w:snapToGrid w:val="0"/>
              <w:spacing w:line="440" w:lineRule="exact"/>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质量</w:t>
            </w:r>
          </w:p>
          <w:p w14:paraId="4382B0D7">
            <w:pPr>
              <w:adjustRightInd w:val="0"/>
              <w:snapToGrid w:val="0"/>
              <w:spacing w:line="440" w:lineRule="exact"/>
              <w:jc w:val="center"/>
              <w:rPr>
                <w:color w:val="000000" w:themeColor="text1"/>
                <w:kern w:val="0"/>
                <w:szCs w:val="21"/>
                <w:highlight w:val="none"/>
                <w14:textFill>
                  <w14:solidFill>
                    <w14:schemeClr w14:val="tx1"/>
                  </w14:solidFill>
                </w14:textFill>
              </w:rPr>
            </w:pPr>
            <w:r>
              <w:rPr>
                <w:color w:val="000000" w:themeColor="text1"/>
                <w:kern w:val="0"/>
                <w:sz w:val="24"/>
                <w:highlight w:val="none"/>
                <w14:textFill>
                  <w14:solidFill>
                    <w14:schemeClr w14:val="tx1"/>
                  </w14:solidFill>
                </w14:textFill>
              </w:rPr>
              <w:t>现状</w:t>
            </w:r>
          </w:p>
        </w:tc>
        <w:tc>
          <w:tcPr>
            <w:tcW w:w="8608" w:type="dxa"/>
            <w:vAlign w:val="center"/>
          </w:tcPr>
          <w:p w14:paraId="3805BA7C">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1、大气环境质量现状</w:t>
            </w:r>
          </w:p>
          <w:p w14:paraId="617D065B">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建设项目所在地环境空气质量功能区划为二类，根据《</w:t>
            </w:r>
            <w:r>
              <w:rPr>
                <w:rFonts w:hint="eastAsia"/>
                <w:color w:val="000000" w:themeColor="text1"/>
                <w:sz w:val="24"/>
                <w:highlight w:val="none"/>
                <w:lang w:eastAsia="zh-CN"/>
                <w14:textFill>
                  <w14:solidFill>
                    <w14:schemeClr w14:val="tx1"/>
                  </w14:solidFill>
                </w14:textFill>
              </w:rPr>
              <w:t>2025年南京市生态环境状况公报</w:t>
            </w:r>
            <w:r>
              <w:rPr>
                <w:color w:val="000000" w:themeColor="text1"/>
                <w:sz w:val="24"/>
                <w:highlight w:val="none"/>
                <w14:textFill>
                  <w14:solidFill>
                    <w14:schemeClr w14:val="tx1"/>
                  </w14:solidFill>
                </w14:textFill>
              </w:rPr>
              <w:t>》，根据实况数据统计，全市环境空气质量达到二级标准的天数为31</w:t>
            </w:r>
            <w:r>
              <w:rPr>
                <w:rFonts w:hint="eastAsia"/>
                <w:color w:val="000000" w:themeColor="text1"/>
                <w:sz w:val="24"/>
                <w:highlight w:val="none"/>
                <w:lang w:val="en-US" w:eastAsia="zh-CN"/>
                <w14:textFill>
                  <w14:solidFill>
                    <w14:schemeClr w14:val="tx1"/>
                  </w14:solidFill>
                </w14:textFill>
              </w:rPr>
              <w:t>9</w:t>
            </w:r>
            <w:r>
              <w:rPr>
                <w:color w:val="000000" w:themeColor="text1"/>
                <w:sz w:val="24"/>
                <w:highlight w:val="none"/>
                <w14:textFill>
                  <w14:solidFill>
                    <w14:schemeClr w14:val="tx1"/>
                  </w14:solidFill>
                </w14:textFill>
              </w:rPr>
              <w:t>天，同比增加</w:t>
            </w:r>
            <w:r>
              <w:rPr>
                <w:rFonts w:hint="eastAsia"/>
                <w:color w:val="000000" w:themeColor="text1"/>
                <w:sz w:val="24"/>
                <w:highlight w:val="none"/>
                <w:lang w:val="en-US" w:eastAsia="zh-CN"/>
                <w14:textFill>
                  <w14:solidFill>
                    <w14:schemeClr w14:val="tx1"/>
                  </w14:solidFill>
                </w14:textFill>
              </w:rPr>
              <w:t>5</w:t>
            </w:r>
            <w:r>
              <w:rPr>
                <w:color w:val="000000" w:themeColor="text1"/>
                <w:sz w:val="24"/>
                <w:highlight w:val="none"/>
                <w14:textFill>
                  <w14:solidFill>
                    <w14:schemeClr w14:val="tx1"/>
                  </w14:solidFill>
                </w14:textFill>
              </w:rPr>
              <w:t>天，达标率为8</w:t>
            </w:r>
            <w:r>
              <w:rPr>
                <w:rFonts w:hint="eastAsia"/>
                <w:color w:val="000000" w:themeColor="text1"/>
                <w:sz w:val="24"/>
                <w:highlight w:val="none"/>
                <w:lang w:val="en-US" w:eastAsia="zh-CN"/>
                <w14:textFill>
                  <w14:solidFill>
                    <w14:schemeClr w14:val="tx1"/>
                  </w14:solidFill>
                </w14:textFill>
              </w:rPr>
              <w:t>7.4</w:t>
            </w:r>
            <w:r>
              <w:rPr>
                <w:color w:val="000000" w:themeColor="text1"/>
                <w:sz w:val="24"/>
                <w:highlight w:val="none"/>
                <w14:textFill>
                  <w14:solidFill>
                    <w14:schemeClr w14:val="tx1"/>
                  </w14:solidFill>
                </w14:textFill>
              </w:rPr>
              <w:t>%，同比上升</w:t>
            </w:r>
            <w:r>
              <w:rPr>
                <w:rFonts w:hint="eastAsia"/>
                <w:color w:val="000000" w:themeColor="text1"/>
                <w:sz w:val="24"/>
                <w:highlight w:val="none"/>
                <w:lang w:val="en-US" w:eastAsia="zh-CN"/>
                <w14:textFill>
                  <w14:solidFill>
                    <w14:schemeClr w14:val="tx1"/>
                  </w14:solidFill>
                </w14:textFill>
              </w:rPr>
              <w:t>1.6</w:t>
            </w:r>
            <w:r>
              <w:rPr>
                <w:color w:val="000000" w:themeColor="text1"/>
                <w:sz w:val="24"/>
                <w:highlight w:val="none"/>
                <w14:textFill>
                  <w14:solidFill>
                    <w14:schemeClr w14:val="tx1"/>
                  </w14:solidFill>
                </w14:textFill>
              </w:rPr>
              <w:t>个百分点。其中，达到一级标</w:t>
            </w:r>
            <w:r>
              <w:rPr>
                <w:rFonts w:hint="eastAsia"/>
                <w:color w:val="000000" w:themeColor="text1"/>
                <w:sz w:val="24"/>
                <w:highlight w:val="none"/>
                <w14:textFill>
                  <w14:solidFill>
                    <w14:schemeClr w14:val="tx1"/>
                  </w14:solidFill>
                </w14:textFill>
              </w:rPr>
              <w:t>准的</w:t>
            </w:r>
            <w:r>
              <w:rPr>
                <w:color w:val="000000" w:themeColor="text1"/>
                <w:sz w:val="24"/>
                <w:highlight w:val="none"/>
                <w14:textFill>
                  <w14:solidFill>
                    <w14:schemeClr w14:val="tx1"/>
                  </w14:solidFill>
                </w14:textFill>
              </w:rPr>
              <w:t>天数为11</w:t>
            </w:r>
            <w:r>
              <w:rPr>
                <w:rFonts w:hint="eastAsia"/>
                <w:color w:val="000000" w:themeColor="text1"/>
                <w:sz w:val="24"/>
                <w:highlight w:val="none"/>
                <w:lang w:val="en-US" w:eastAsia="zh-CN"/>
                <w14:textFill>
                  <w14:solidFill>
                    <w14:schemeClr w14:val="tx1"/>
                  </w14:solidFill>
                </w14:textFill>
              </w:rPr>
              <w:t>4</w:t>
            </w:r>
            <w:r>
              <w:rPr>
                <w:color w:val="000000" w:themeColor="text1"/>
                <w:sz w:val="24"/>
                <w:highlight w:val="none"/>
                <w14:textFill>
                  <w14:solidFill>
                    <w14:schemeClr w14:val="tx1"/>
                  </w14:solidFill>
                </w14:textFill>
              </w:rPr>
              <w:t>天，同比增加</w:t>
            </w:r>
            <w:r>
              <w:rPr>
                <w:rFonts w:hint="eastAsia"/>
                <w:color w:val="000000" w:themeColor="text1"/>
                <w:sz w:val="24"/>
                <w:highlight w:val="none"/>
                <w:lang w:val="en-US" w:eastAsia="zh-CN"/>
                <w14:textFill>
                  <w14:solidFill>
                    <w14:schemeClr w14:val="tx1"/>
                  </w14:solidFill>
                </w14:textFill>
              </w:rPr>
              <w:t>2</w:t>
            </w:r>
            <w:r>
              <w:rPr>
                <w:color w:val="000000" w:themeColor="text1"/>
                <w:sz w:val="24"/>
                <w:highlight w:val="none"/>
                <w14:textFill>
                  <w14:solidFill>
                    <w14:schemeClr w14:val="tx1"/>
                  </w14:solidFill>
                </w14:textFill>
              </w:rPr>
              <w:t>天；未达到二级标准的天数为</w:t>
            </w:r>
            <w:r>
              <w:rPr>
                <w:rFonts w:hint="eastAsia"/>
                <w:color w:val="000000" w:themeColor="text1"/>
                <w:sz w:val="24"/>
                <w:highlight w:val="none"/>
                <w:lang w:val="en-US" w:eastAsia="zh-CN"/>
                <w14:textFill>
                  <w14:solidFill>
                    <w14:schemeClr w14:val="tx1"/>
                  </w14:solidFill>
                </w14:textFill>
              </w:rPr>
              <w:t>46</w:t>
            </w:r>
            <w:r>
              <w:rPr>
                <w:color w:val="000000" w:themeColor="text1"/>
                <w:sz w:val="24"/>
                <w:highlight w:val="none"/>
                <w14:textFill>
                  <w14:solidFill>
                    <w14:schemeClr w14:val="tx1"/>
                  </w14:solidFill>
                </w14:textFill>
              </w:rPr>
              <w:t>天，主要污染物为O</w:t>
            </w:r>
            <w:r>
              <w:rPr>
                <w:color w:val="000000" w:themeColor="text1"/>
                <w:sz w:val="24"/>
                <w:highlight w:val="none"/>
                <w:vertAlign w:val="subscript"/>
                <w14:textFill>
                  <w14:solidFill>
                    <w14:schemeClr w14:val="tx1"/>
                  </w14:solidFill>
                </w14:textFill>
              </w:rPr>
              <w:t>3</w:t>
            </w:r>
            <w:r>
              <w:rPr>
                <w:color w:val="000000" w:themeColor="text1"/>
                <w:sz w:val="24"/>
                <w:highlight w:val="none"/>
                <w14:textFill>
                  <w14:solidFill>
                    <w14:schemeClr w14:val="tx1"/>
                  </w14:solidFill>
                </w14:textFill>
              </w:rPr>
              <w:t>和PM</w:t>
            </w:r>
            <w:r>
              <w:rPr>
                <w:color w:val="000000" w:themeColor="text1"/>
                <w:sz w:val="24"/>
                <w:highlight w:val="none"/>
                <w:vertAlign w:val="subscript"/>
                <w14:textFill>
                  <w14:solidFill>
                    <w14:schemeClr w14:val="tx1"/>
                  </w14:solidFill>
                </w14:textFill>
              </w:rPr>
              <w:t>2.5</w:t>
            </w:r>
            <w:r>
              <w:rPr>
                <w:color w:val="000000" w:themeColor="text1"/>
                <w:sz w:val="24"/>
                <w:highlight w:val="none"/>
                <w14:textFill>
                  <w14:solidFill>
                    <w14:schemeClr w14:val="tx1"/>
                  </w14:solidFill>
                </w14:textFill>
              </w:rPr>
              <w:t>。各项污染物指标监测结果：PM</w:t>
            </w:r>
            <w:r>
              <w:rPr>
                <w:color w:val="000000" w:themeColor="text1"/>
                <w:sz w:val="24"/>
                <w:highlight w:val="none"/>
                <w:vertAlign w:val="subscript"/>
                <w14:textFill>
                  <w14:solidFill>
                    <w14:schemeClr w14:val="tx1"/>
                  </w14:solidFill>
                </w14:textFill>
              </w:rPr>
              <w:t>2.5</w:t>
            </w:r>
            <w:r>
              <w:rPr>
                <w:color w:val="000000" w:themeColor="text1"/>
                <w:sz w:val="24"/>
                <w:highlight w:val="none"/>
                <w14:textFill>
                  <w14:solidFill>
                    <w14:schemeClr w14:val="tx1"/>
                  </w14:solidFill>
                </w14:textFill>
              </w:rPr>
              <w:t>年均值为2</w:t>
            </w:r>
            <w:r>
              <w:rPr>
                <w:rFonts w:hint="eastAsia"/>
                <w:color w:val="000000" w:themeColor="text1"/>
                <w:sz w:val="24"/>
                <w:highlight w:val="none"/>
                <w:lang w:val="en-US" w:eastAsia="zh-CN"/>
                <w14:textFill>
                  <w14:solidFill>
                    <w14:schemeClr w14:val="tx1"/>
                  </w14:solidFill>
                </w14:textFill>
              </w:rPr>
              <w:t>7.1</w:t>
            </w:r>
            <w:r>
              <w:rPr>
                <w:color w:val="000000" w:themeColor="text1"/>
                <w:sz w:val="24"/>
                <w:highlight w:val="none"/>
                <w14:textFill>
                  <w14:solidFill>
                    <w14:schemeClr w14:val="tx1"/>
                  </w14:solidFill>
                </w14:textFill>
              </w:rPr>
              <w:t>μg/m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，达标，同比下降</w:t>
            </w:r>
            <w:r>
              <w:rPr>
                <w:rFonts w:hint="eastAsia"/>
                <w:color w:val="000000" w:themeColor="text1"/>
                <w:sz w:val="24"/>
                <w:highlight w:val="none"/>
                <w:lang w:val="en-US" w:eastAsia="zh-CN"/>
                <w14:textFill>
                  <w14:solidFill>
                    <w14:schemeClr w14:val="tx1"/>
                  </w14:solidFill>
                </w14:textFill>
              </w:rPr>
              <w:t>4.2</w:t>
            </w:r>
            <w:r>
              <w:rPr>
                <w:color w:val="000000" w:themeColor="text1"/>
                <w:sz w:val="24"/>
                <w:highlight w:val="none"/>
                <w14:textFill>
                  <w14:solidFill>
                    <w14:schemeClr w14:val="tx1"/>
                  </w14:solidFill>
                </w14:textFill>
              </w:rPr>
              <w:t>%；PM</w:t>
            </w:r>
            <w:r>
              <w:rPr>
                <w:color w:val="000000" w:themeColor="text1"/>
                <w:sz w:val="24"/>
                <w:highlight w:val="none"/>
                <w:vertAlign w:val="subscript"/>
                <w14:textFill>
                  <w14:solidFill>
                    <w14:schemeClr w14:val="tx1"/>
                  </w14:solidFill>
                </w14:textFill>
              </w:rPr>
              <w:t>10</w:t>
            </w:r>
            <w:r>
              <w:rPr>
                <w:color w:val="000000" w:themeColor="text1"/>
                <w:sz w:val="24"/>
                <w:highlight w:val="none"/>
                <w14:textFill>
                  <w14:solidFill>
                    <w14:schemeClr w14:val="tx1"/>
                  </w14:solidFill>
                </w14:textFill>
              </w:rPr>
              <w:t>年均值为4</w:t>
            </w:r>
            <w:r>
              <w:rPr>
                <w:rFonts w:hint="eastAsia"/>
                <w:color w:val="000000" w:themeColor="text1"/>
                <w:sz w:val="24"/>
                <w:highlight w:val="none"/>
                <w:lang w:val="en-US" w:eastAsia="zh-CN"/>
                <w14:textFill>
                  <w14:solidFill>
                    <w14:schemeClr w14:val="tx1"/>
                  </w14:solidFill>
                </w14:textFill>
              </w:rPr>
              <w:t>7</w:t>
            </w:r>
            <w:r>
              <w:rPr>
                <w:color w:val="000000" w:themeColor="text1"/>
                <w:sz w:val="24"/>
                <w:highlight w:val="none"/>
                <w14:textFill>
                  <w14:solidFill>
                    <w14:schemeClr w14:val="tx1"/>
                  </w14:solidFill>
                </w14:textFill>
              </w:rPr>
              <w:t>μg/m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，达标，同比</w:t>
            </w:r>
            <w:r>
              <w:rPr>
                <w:rFonts w:hint="eastAsia"/>
                <w:color w:val="000000" w:themeColor="text1"/>
                <w:sz w:val="24"/>
                <w:highlight w:val="none"/>
                <w:lang w:val="en-US" w:eastAsia="zh-CN"/>
                <w14:textFill>
                  <w14:solidFill>
                    <w14:schemeClr w14:val="tx1"/>
                  </w14:solidFill>
                </w14:textFill>
              </w:rPr>
              <w:t>上升2.2</w:t>
            </w:r>
            <w:r>
              <w:rPr>
                <w:color w:val="000000" w:themeColor="text1"/>
                <w:sz w:val="24"/>
                <w:highlight w:val="none"/>
                <w14:textFill>
                  <w14:solidFill>
                    <w14:schemeClr w14:val="tx1"/>
                  </w14:solidFill>
                </w14:textFill>
              </w:rPr>
              <w:t>%；NO</w:t>
            </w:r>
            <w:r>
              <w:rPr>
                <w:color w:val="000000" w:themeColor="text1"/>
                <w:sz w:val="24"/>
                <w:highlight w:val="none"/>
                <w:vertAlign w:val="subscript"/>
                <w14:textFill>
                  <w14:solidFill>
                    <w14:schemeClr w14:val="tx1"/>
                  </w14:solidFill>
                </w14:textFill>
              </w:rPr>
              <w:t>2</w:t>
            </w:r>
            <w:r>
              <w:rPr>
                <w:color w:val="000000" w:themeColor="text1"/>
                <w:sz w:val="24"/>
                <w:highlight w:val="none"/>
                <w14:textFill>
                  <w14:solidFill>
                    <w14:schemeClr w14:val="tx1"/>
                  </w14:solidFill>
                </w14:textFill>
              </w:rPr>
              <w:t>年均值为</w:t>
            </w:r>
            <w:r>
              <w:rPr>
                <w:rFonts w:hint="eastAsia"/>
                <w:color w:val="000000" w:themeColor="text1"/>
                <w:sz w:val="24"/>
                <w:highlight w:val="none"/>
                <w:lang w:val="en-US" w:eastAsia="zh-CN"/>
                <w14:textFill>
                  <w14:solidFill>
                    <w14:schemeClr w14:val="tx1"/>
                  </w14:solidFill>
                </w14:textFill>
              </w:rPr>
              <w:t>23</w:t>
            </w:r>
            <w:r>
              <w:rPr>
                <w:color w:val="000000" w:themeColor="text1"/>
                <w:sz w:val="24"/>
                <w:highlight w:val="none"/>
                <w14:textFill>
                  <w14:solidFill>
                    <w14:schemeClr w14:val="tx1"/>
                  </w14:solidFill>
                </w14:textFill>
              </w:rPr>
              <w:t>μg/m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，达标，同比下降</w:t>
            </w:r>
            <w:r>
              <w:rPr>
                <w:rFonts w:hint="eastAsia"/>
                <w:color w:val="000000" w:themeColor="text1"/>
                <w:sz w:val="24"/>
                <w:highlight w:val="none"/>
                <w:lang w:val="en-US" w:eastAsia="zh-CN"/>
                <w14:textFill>
                  <w14:solidFill>
                    <w14:schemeClr w14:val="tx1"/>
                  </w14:solidFill>
                </w14:textFill>
              </w:rPr>
              <w:t>4.2</w:t>
            </w:r>
            <w:r>
              <w:rPr>
                <w:color w:val="000000" w:themeColor="text1"/>
                <w:sz w:val="24"/>
                <w:highlight w:val="none"/>
                <w14:textFill>
                  <w14:solidFill>
                    <w14:schemeClr w14:val="tx1"/>
                  </w14:solidFill>
                </w14:textFill>
              </w:rPr>
              <w:t>%；SO</w:t>
            </w:r>
            <w:r>
              <w:rPr>
                <w:color w:val="000000" w:themeColor="text1"/>
                <w:sz w:val="24"/>
                <w:highlight w:val="none"/>
                <w:vertAlign w:val="subscript"/>
                <w14:textFill>
                  <w14:solidFill>
                    <w14:schemeClr w14:val="tx1"/>
                  </w14:solidFill>
                </w14:textFill>
              </w:rPr>
              <w:t>2</w:t>
            </w:r>
            <w:r>
              <w:rPr>
                <w:color w:val="000000" w:themeColor="text1"/>
                <w:sz w:val="24"/>
                <w:highlight w:val="none"/>
                <w14:textFill>
                  <w14:solidFill>
                    <w14:schemeClr w14:val="tx1"/>
                  </w14:solidFill>
                </w14:textFill>
              </w:rPr>
              <w:t>年均值为6μg/m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，达标，同比持平；CO日均浓度第95百分位数为0.9mg/m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，达标，同比持平；O</w:t>
            </w:r>
            <w:r>
              <w:rPr>
                <w:color w:val="000000" w:themeColor="text1"/>
                <w:sz w:val="24"/>
                <w:highlight w:val="none"/>
                <w:vertAlign w:val="subscript"/>
                <w14:textFill>
                  <w14:solidFill>
                    <w14:schemeClr w14:val="tx1"/>
                  </w14:solidFill>
                </w14:textFill>
              </w:rPr>
              <w:t>3</w:t>
            </w:r>
            <w:r>
              <w:rPr>
                <w:color w:val="000000" w:themeColor="text1"/>
                <w:sz w:val="24"/>
                <w:highlight w:val="none"/>
                <w14:textFill>
                  <w14:solidFill>
                    <w14:schemeClr w14:val="tx1"/>
                  </w14:solidFill>
                </w14:textFill>
              </w:rPr>
              <w:t>日最大8小时浓度第90百分位数为1</w:t>
            </w:r>
            <w:r>
              <w:rPr>
                <w:rFonts w:hint="eastAsia"/>
                <w:color w:val="000000" w:themeColor="text1"/>
                <w:sz w:val="24"/>
                <w:highlight w:val="none"/>
                <w:lang w:val="en-US" w:eastAsia="zh-CN"/>
                <w14:textFill>
                  <w14:solidFill>
                    <w14:schemeClr w14:val="tx1"/>
                  </w14:solidFill>
                </w14:textFill>
              </w:rPr>
              <w:t>59</w:t>
            </w:r>
            <w:r>
              <w:rPr>
                <w:color w:val="000000" w:themeColor="text1"/>
                <w:sz w:val="24"/>
                <w:highlight w:val="none"/>
                <w14:textFill>
                  <w14:solidFill>
                    <w14:schemeClr w14:val="tx1"/>
                  </w14:solidFill>
                </w14:textFill>
              </w:rPr>
              <w:t>μg/m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，达标，同比下降</w:t>
            </w:r>
            <w:r>
              <w:rPr>
                <w:rFonts w:hint="eastAsia"/>
                <w:color w:val="000000" w:themeColor="text1"/>
                <w:sz w:val="24"/>
                <w:highlight w:val="none"/>
                <w:lang w:val="en-US" w:eastAsia="zh-CN"/>
                <w14:textFill>
                  <w14:solidFill>
                    <w14:schemeClr w14:val="tx1"/>
                  </w14:solidFill>
                </w14:textFill>
              </w:rPr>
              <w:t>1.9</w:t>
            </w:r>
            <w:r>
              <w:rPr>
                <w:color w:val="000000" w:themeColor="text1"/>
                <w:sz w:val="24"/>
                <w:highlight w:val="none"/>
                <w14:textFill>
                  <w14:solidFill>
                    <w14:schemeClr w14:val="tx1"/>
                  </w14:solidFill>
                </w14:textFill>
              </w:rPr>
              <w:t>%，超标天数3</w:t>
            </w:r>
            <w:r>
              <w:rPr>
                <w:rFonts w:hint="eastAsia"/>
                <w:color w:val="000000" w:themeColor="text1"/>
                <w:sz w:val="24"/>
                <w:highlight w:val="none"/>
                <w:lang w:val="en-US" w:eastAsia="zh-CN"/>
                <w14:textFill>
                  <w14:solidFill>
                    <w14:schemeClr w14:val="tx1"/>
                  </w14:solidFill>
                </w14:textFill>
              </w:rPr>
              <w:t>2</w:t>
            </w:r>
            <w:r>
              <w:rPr>
                <w:color w:val="000000" w:themeColor="text1"/>
                <w:sz w:val="24"/>
                <w:highlight w:val="none"/>
                <w14:textFill>
                  <w14:solidFill>
                    <w14:schemeClr w14:val="tx1"/>
                  </w14:solidFill>
                </w14:textFill>
              </w:rPr>
              <w:t>天，同比减少</w:t>
            </w:r>
            <w:r>
              <w:rPr>
                <w:rFonts w:hint="eastAsia"/>
                <w:color w:val="000000" w:themeColor="text1"/>
                <w:sz w:val="24"/>
                <w:highlight w:val="none"/>
                <w:lang w:val="en-US" w:eastAsia="zh-CN"/>
                <w14:textFill>
                  <w14:solidFill>
                    <w14:schemeClr w14:val="tx1"/>
                  </w14:solidFill>
                </w14:textFill>
              </w:rPr>
              <w:t>6</w:t>
            </w:r>
            <w:r>
              <w:rPr>
                <w:color w:val="000000" w:themeColor="text1"/>
                <w:sz w:val="24"/>
                <w:highlight w:val="none"/>
                <w14:textFill>
                  <w14:solidFill>
                    <w14:schemeClr w14:val="tx1"/>
                  </w14:solidFill>
                </w14:textFill>
              </w:rPr>
              <w:t>天。</w:t>
            </w:r>
          </w:p>
          <w:p w14:paraId="1469AA3A">
            <w:pPr>
              <w:spacing w:line="440" w:lineRule="exact"/>
              <w:jc w:val="center"/>
              <w:rPr>
                <w:b/>
                <w:bCs/>
                <w:color w:val="000000" w:themeColor="text1"/>
                <w:sz w:val="24"/>
                <w:highlight w:val="none"/>
                <w:lang w:val="zh-CN"/>
                <w14:textFill>
                  <w14:solidFill>
                    <w14:schemeClr w14:val="tx1"/>
                  </w14:solidFill>
                </w14:textFill>
              </w:rPr>
            </w:pPr>
            <w:r>
              <w:rPr>
                <w:b/>
                <w:bCs/>
                <w:color w:val="000000" w:themeColor="text1"/>
                <w:sz w:val="24"/>
                <w:highlight w:val="none"/>
                <w:lang w:val="zh-CN"/>
                <w14:textFill>
                  <w14:solidFill>
                    <w14:schemeClr w14:val="tx1"/>
                  </w14:solidFill>
                </w14:textFill>
              </w:rPr>
              <w:t>表3-1</w:t>
            </w:r>
            <w:r>
              <w:rPr>
                <w:rFonts w:hint="eastAsia"/>
                <w:b/>
                <w:bCs/>
                <w:color w:val="000000" w:themeColor="text1"/>
                <w:sz w:val="24"/>
                <w:highlight w:val="none"/>
                <w14:textFill>
                  <w14:solidFill>
                    <w14:schemeClr w14:val="tx1"/>
                  </w14:solidFill>
                </w14:textFill>
              </w:rPr>
              <w:t xml:space="preserve"> </w:t>
            </w:r>
            <w:r>
              <w:rPr>
                <w:rFonts w:hint="eastAsia"/>
                <w:b/>
                <w:bCs/>
                <w:color w:val="000000" w:themeColor="text1"/>
                <w:sz w:val="24"/>
                <w:highlight w:val="none"/>
                <w:lang w:val="en-US" w:eastAsia="zh-CN"/>
                <w14:textFill>
                  <w14:solidFill>
                    <w14:schemeClr w14:val="tx1"/>
                  </w14:solidFill>
                </w14:textFill>
              </w:rPr>
              <w:t xml:space="preserve"> </w:t>
            </w:r>
            <w:r>
              <w:rPr>
                <w:b/>
                <w:bCs/>
                <w:color w:val="000000" w:themeColor="text1"/>
                <w:sz w:val="24"/>
                <w:highlight w:val="none"/>
                <w:lang w:val="zh-CN"/>
                <w14:textFill>
                  <w14:solidFill>
                    <w14:schemeClr w14:val="tx1"/>
                  </w14:solidFill>
                </w14:textFill>
              </w:rPr>
              <w:t>达标区判定一览表</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2038"/>
              <w:gridCol w:w="1528"/>
              <w:gridCol w:w="1854"/>
              <w:gridCol w:w="1334"/>
              <w:gridCol w:w="889"/>
            </w:tblGrid>
            <w:tr w14:paraId="4B1D2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35" w:type="dxa"/>
                  <w:tcBorders>
                    <w:top w:val="single" w:color="auto" w:sz="12" w:space="0"/>
                    <w:left w:val="nil"/>
                    <w:bottom w:val="single" w:color="auto" w:sz="8" w:space="0"/>
                    <w:right w:val="single" w:color="auto" w:sz="8" w:space="0"/>
                  </w:tcBorders>
                  <w:vAlign w:val="center"/>
                </w:tcPr>
                <w:p w14:paraId="34B42C64">
                  <w:pPr>
                    <w:pStyle w:val="141"/>
                    <w:spacing w:line="240" w:lineRule="exact"/>
                    <w:rPr>
                      <w:b/>
                      <w:bCs/>
                      <w:color w:val="000000" w:themeColor="text1"/>
                      <w:sz w:val="21"/>
                      <w:szCs w:val="16"/>
                      <w:highlight w:val="none"/>
                      <w14:textFill>
                        <w14:solidFill>
                          <w14:schemeClr w14:val="tx1"/>
                        </w14:solidFill>
                      </w14:textFill>
                    </w:rPr>
                  </w:pPr>
                  <w:r>
                    <w:rPr>
                      <w:b/>
                      <w:bCs/>
                      <w:color w:val="000000" w:themeColor="text1"/>
                      <w:sz w:val="21"/>
                      <w:szCs w:val="16"/>
                      <w:highlight w:val="none"/>
                      <w14:textFill>
                        <w14:solidFill>
                          <w14:schemeClr w14:val="tx1"/>
                        </w14:solidFill>
                      </w14:textFill>
                    </w:rPr>
                    <w:t>污染物</w:t>
                  </w:r>
                </w:p>
              </w:tc>
              <w:tc>
                <w:tcPr>
                  <w:tcW w:w="2038" w:type="dxa"/>
                  <w:tcBorders>
                    <w:top w:val="single" w:color="auto" w:sz="12" w:space="0"/>
                    <w:left w:val="single" w:color="auto" w:sz="8" w:space="0"/>
                    <w:bottom w:val="single" w:color="auto" w:sz="8" w:space="0"/>
                    <w:right w:val="single" w:color="auto" w:sz="8" w:space="0"/>
                  </w:tcBorders>
                  <w:vAlign w:val="center"/>
                </w:tcPr>
                <w:p w14:paraId="7F17D071">
                  <w:pPr>
                    <w:pStyle w:val="141"/>
                    <w:spacing w:line="240" w:lineRule="exact"/>
                    <w:rPr>
                      <w:b/>
                      <w:bCs/>
                      <w:color w:val="000000" w:themeColor="text1"/>
                      <w:sz w:val="21"/>
                      <w:szCs w:val="16"/>
                      <w:highlight w:val="none"/>
                      <w14:textFill>
                        <w14:solidFill>
                          <w14:schemeClr w14:val="tx1"/>
                        </w14:solidFill>
                      </w14:textFill>
                    </w:rPr>
                  </w:pPr>
                  <w:r>
                    <w:rPr>
                      <w:b/>
                      <w:bCs/>
                      <w:color w:val="000000" w:themeColor="text1"/>
                      <w:sz w:val="21"/>
                      <w:szCs w:val="16"/>
                      <w:highlight w:val="none"/>
                      <w14:textFill>
                        <w14:solidFill>
                          <w14:schemeClr w14:val="tx1"/>
                        </w14:solidFill>
                      </w14:textFill>
                    </w:rPr>
                    <w:t>年评价指标</w:t>
                  </w:r>
                </w:p>
              </w:tc>
              <w:tc>
                <w:tcPr>
                  <w:tcW w:w="1528" w:type="dxa"/>
                  <w:tcBorders>
                    <w:top w:val="single" w:color="auto" w:sz="12" w:space="0"/>
                    <w:left w:val="single" w:color="auto" w:sz="8" w:space="0"/>
                    <w:bottom w:val="single" w:color="auto" w:sz="8" w:space="0"/>
                    <w:right w:val="single" w:color="auto" w:sz="8" w:space="0"/>
                  </w:tcBorders>
                  <w:vAlign w:val="center"/>
                </w:tcPr>
                <w:p w14:paraId="4FA47044">
                  <w:pPr>
                    <w:pStyle w:val="141"/>
                    <w:spacing w:line="240" w:lineRule="exact"/>
                    <w:rPr>
                      <w:b/>
                      <w:bCs/>
                      <w:color w:val="000000" w:themeColor="text1"/>
                      <w:sz w:val="21"/>
                      <w:szCs w:val="16"/>
                      <w:highlight w:val="none"/>
                      <w14:textFill>
                        <w14:solidFill>
                          <w14:schemeClr w14:val="tx1"/>
                        </w14:solidFill>
                      </w14:textFill>
                    </w:rPr>
                  </w:pPr>
                  <w:r>
                    <w:rPr>
                      <w:b/>
                      <w:bCs/>
                      <w:color w:val="000000" w:themeColor="text1"/>
                      <w:sz w:val="21"/>
                      <w:szCs w:val="16"/>
                      <w:highlight w:val="none"/>
                      <w14:textFill>
                        <w14:solidFill>
                          <w14:schemeClr w14:val="tx1"/>
                        </w14:solidFill>
                      </w14:textFill>
                    </w:rPr>
                    <w:t>现状浓度（μg/m</w:t>
                  </w:r>
                  <w:r>
                    <w:rPr>
                      <w:b/>
                      <w:bCs/>
                      <w:color w:val="000000" w:themeColor="text1"/>
                      <w:sz w:val="21"/>
                      <w:szCs w:val="16"/>
                      <w:highlight w:val="none"/>
                      <w:vertAlign w:val="superscript"/>
                      <w14:textFill>
                        <w14:solidFill>
                          <w14:schemeClr w14:val="tx1"/>
                        </w14:solidFill>
                      </w14:textFill>
                    </w:rPr>
                    <w:t>3</w:t>
                  </w:r>
                  <w:r>
                    <w:rPr>
                      <w:b/>
                      <w:bCs/>
                      <w:color w:val="000000" w:themeColor="text1"/>
                      <w:sz w:val="21"/>
                      <w:szCs w:val="16"/>
                      <w:highlight w:val="none"/>
                      <w14:textFill>
                        <w14:solidFill>
                          <w14:schemeClr w14:val="tx1"/>
                        </w14:solidFill>
                      </w14:textFill>
                    </w:rPr>
                    <w:t>）</w:t>
                  </w:r>
                </w:p>
              </w:tc>
              <w:tc>
                <w:tcPr>
                  <w:tcW w:w="1854" w:type="dxa"/>
                  <w:tcBorders>
                    <w:top w:val="single" w:color="auto" w:sz="12" w:space="0"/>
                    <w:left w:val="single" w:color="auto" w:sz="8" w:space="0"/>
                    <w:bottom w:val="single" w:color="auto" w:sz="8" w:space="0"/>
                    <w:right w:val="single" w:color="auto" w:sz="8" w:space="0"/>
                  </w:tcBorders>
                  <w:vAlign w:val="center"/>
                </w:tcPr>
                <w:p w14:paraId="7273CC39">
                  <w:pPr>
                    <w:pStyle w:val="141"/>
                    <w:spacing w:line="240" w:lineRule="exact"/>
                    <w:rPr>
                      <w:b/>
                      <w:bCs/>
                      <w:color w:val="000000" w:themeColor="text1"/>
                      <w:sz w:val="21"/>
                      <w:szCs w:val="16"/>
                      <w:highlight w:val="none"/>
                      <w14:textFill>
                        <w14:solidFill>
                          <w14:schemeClr w14:val="tx1"/>
                        </w14:solidFill>
                      </w14:textFill>
                    </w:rPr>
                  </w:pPr>
                  <w:r>
                    <w:rPr>
                      <w:rFonts w:hint="eastAsia"/>
                      <w:b/>
                      <w:bCs/>
                      <w:color w:val="000000" w:themeColor="text1"/>
                      <w:sz w:val="21"/>
                      <w:szCs w:val="16"/>
                      <w:highlight w:val="none"/>
                      <w:lang w:eastAsia="zh-CN"/>
                      <w14:textFill>
                        <w14:solidFill>
                          <w14:schemeClr w14:val="tx1"/>
                        </w14:solidFill>
                      </w14:textFill>
                    </w:rPr>
                    <w:t>GB3095-2</w:t>
                  </w:r>
                  <w:r>
                    <w:rPr>
                      <w:rFonts w:hint="eastAsia"/>
                      <w:b/>
                      <w:bCs/>
                      <w:color w:val="000000" w:themeColor="text1"/>
                      <w:sz w:val="21"/>
                      <w:szCs w:val="16"/>
                      <w:highlight w:val="none"/>
                      <w:lang w:val="en-US" w:eastAsia="zh-CN"/>
                      <w14:textFill>
                        <w14:solidFill>
                          <w14:schemeClr w14:val="tx1"/>
                        </w14:solidFill>
                      </w14:textFill>
                    </w:rPr>
                    <w:t>012二级</w:t>
                  </w:r>
                  <w:r>
                    <w:rPr>
                      <w:rFonts w:hint="default"/>
                      <w:b/>
                      <w:bCs/>
                      <w:color w:val="000000" w:themeColor="text1"/>
                      <w:sz w:val="21"/>
                      <w:szCs w:val="16"/>
                      <w:highlight w:val="none"/>
                      <w14:textFill>
                        <w14:solidFill>
                          <w14:schemeClr w14:val="tx1"/>
                        </w14:solidFill>
                      </w14:textFill>
                    </w:rPr>
                    <w:t>标准值（μg/m</w:t>
                  </w:r>
                  <w:r>
                    <w:rPr>
                      <w:rFonts w:hint="default"/>
                      <w:b/>
                      <w:bCs/>
                      <w:color w:val="000000" w:themeColor="text1"/>
                      <w:sz w:val="21"/>
                      <w:szCs w:val="16"/>
                      <w:highlight w:val="none"/>
                      <w:vertAlign w:val="superscript"/>
                      <w14:textFill>
                        <w14:solidFill>
                          <w14:schemeClr w14:val="tx1"/>
                        </w14:solidFill>
                      </w14:textFill>
                    </w:rPr>
                    <w:t>3</w:t>
                  </w:r>
                  <w:r>
                    <w:rPr>
                      <w:rFonts w:hint="default"/>
                      <w:b/>
                      <w:bCs/>
                      <w:color w:val="000000" w:themeColor="text1"/>
                      <w:sz w:val="21"/>
                      <w:szCs w:val="16"/>
                      <w:highlight w:val="none"/>
                      <w14:textFill>
                        <w14:solidFill>
                          <w14:schemeClr w14:val="tx1"/>
                        </w14:solidFill>
                      </w14:textFill>
                    </w:rPr>
                    <w:t>）</w:t>
                  </w:r>
                </w:p>
              </w:tc>
              <w:tc>
                <w:tcPr>
                  <w:tcW w:w="1334" w:type="dxa"/>
                  <w:tcBorders>
                    <w:top w:val="single" w:color="auto" w:sz="12" w:space="0"/>
                    <w:left w:val="single" w:color="auto" w:sz="8" w:space="0"/>
                    <w:bottom w:val="single" w:color="auto" w:sz="8" w:space="0"/>
                    <w:right w:val="single" w:color="auto" w:sz="8" w:space="0"/>
                  </w:tcBorders>
                  <w:vAlign w:val="center"/>
                </w:tcPr>
                <w:p w14:paraId="5F6E99A5">
                  <w:pPr>
                    <w:pStyle w:val="141"/>
                    <w:spacing w:line="240" w:lineRule="exact"/>
                    <w:rPr>
                      <w:b/>
                      <w:bCs/>
                      <w:color w:val="000000" w:themeColor="text1"/>
                      <w:sz w:val="21"/>
                      <w:szCs w:val="16"/>
                      <w:highlight w:val="none"/>
                      <w14:textFill>
                        <w14:solidFill>
                          <w14:schemeClr w14:val="tx1"/>
                        </w14:solidFill>
                      </w14:textFill>
                    </w:rPr>
                  </w:pPr>
                  <w:r>
                    <w:rPr>
                      <w:rFonts w:hint="eastAsia"/>
                      <w:b/>
                      <w:bCs/>
                      <w:color w:val="000000" w:themeColor="text1"/>
                      <w:sz w:val="21"/>
                      <w:szCs w:val="16"/>
                      <w:highlight w:val="none"/>
                      <w:lang w:eastAsia="zh-CN"/>
                      <w14:textFill>
                        <w14:solidFill>
                          <w14:schemeClr w14:val="tx1"/>
                        </w14:solidFill>
                      </w14:textFill>
                    </w:rPr>
                    <w:t>GB3095-2026</w:t>
                  </w:r>
                  <w:r>
                    <w:rPr>
                      <w:rFonts w:hint="default"/>
                      <w:b/>
                      <w:bCs/>
                      <w:color w:val="000000" w:themeColor="text1"/>
                      <w:sz w:val="21"/>
                      <w:szCs w:val="16"/>
                      <w:highlight w:val="none"/>
                      <w14:textFill>
                        <w14:solidFill>
                          <w14:schemeClr w14:val="tx1"/>
                        </w14:solidFill>
                      </w14:textFill>
                    </w:rPr>
                    <w:t>过渡阶段</w:t>
                  </w:r>
                  <w:r>
                    <w:rPr>
                      <w:rFonts w:hint="eastAsia"/>
                      <w:b/>
                      <w:bCs/>
                      <w:color w:val="000000" w:themeColor="text1"/>
                      <w:sz w:val="21"/>
                      <w:szCs w:val="16"/>
                      <w:highlight w:val="none"/>
                      <w:lang w:val="en-US" w:eastAsia="zh-CN"/>
                      <w14:textFill>
                        <w14:solidFill>
                          <w14:schemeClr w14:val="tx1"/>
                        </w14:solidFill>
                      </w14:textFill>
                    </w:rPr>
                    <w:t>二级</w:t>
                  </w:r>
                  <w:r>
                    <w:rPr>
                      <w:rFonts w:hint="default"/>
                      <w:b/>
                      <w:bCs/>
                      <w:color w:val="000000" w:themeColor="text1"/>
                      <w:sz w:val="21"/>
                      <w:szCs w:val="16"/>
                      <w:highlight w:val="none"/>
                      <w14:textFill>
                        <w14:solidFill>
                          <w14:schemeClr w14:val="tx1"/>
                        </w14:solidFill>
                      </w14:textFill>
                    </w:rPr>
                    <w:t>标准值（μg/m</w:t>
                  </w:r>
                  <w:r>
                    <w:rPr>
                      <w:rFonts w:hint="default"/>
                      <w:b/>
                      <w:bCs/>
                      <w:color w:val="000000" w:themeColor="text1"/>
                      <w:sz w:val="21"/>
                      <w:szCs w:val="16"/>
                      <w:highlight w:val="none"/>
                      <w:vertAlign w:val="superscript"/>
                      <w14:textFill>
                        <w14:solidFill>
                          <w14:schemeClr w14:val="tx1"/>
                        </w14:solidFill>
                      </w14:textFill>
                    </w:rPr>
                    <w:t>3</w:t>
                  </w:r>
                  <w:r>
                    <w:rPr>
                      <w:rFonts w:hint="default"/>
                      <w:b/>
                      <w:bCs/>
                      <w:color w:val="000000" w:themeColor="text1"/>
                      <w:sz w:val="21"/>
                      <w:szCs w:val="16"/>
                      <w:highlight w:val="none"/>
                      <w14:textFill>
                        <w14:solidFill>
                          <w14:schemeClr w14:val="tx1"/>
                        </w14:solidFill>
                      </w14:textFill>
                    </w:rPr>
                    <w:t>）</w:t>
                  </w:r>
                </w:p>
              </w:tc>
              <w:tc>
                <w:tcPr>
                  <w:tcW w:w="889" w:type="dxa"/>
                  <w:tcBorders>
                    <w:top w:val="single" w:color="auto" w:sz="12" w:space="0"/>
                    <w:left w:val="single" w:color="auto" w:sz="8" w:space="0"/>
                    <w:bottom w:val="single" w:color="auto" w:sz="8" w:space="0"/>
                    <w:right w:val="nil"/>
                  </w:tcBorders>
                  <w:vAlign w:val="center"/>
                </w:tcPr>
                <w:p w14:paraId="3109415C">
                  <w:pPr>
                    <w:pStyle w:val="141"/>
                    <w:spacing w:line="240" w:lineRule="exact"/>
                    <w:rPr>
                      <w:b/>
                      <w:bCs/>
                      <w:color w:val="000000" w:themeColor="text1"/>
                      <w:sz w:val="21"/>
                      <w:szCs w:val="16"/>
                      <w:highlight w:val="none"/>
                      <w14:textFill>
                        <w14:solidFill>
                          <w14:schemeClr w14:val="tx1"/>
                        </w14:solidFill>
                      </w14:textFill>
                    </w:rPr>
                  </w:pPr>
                  <w:r>
                    <w:rPr>
                      <w:b/>
                      <w:bCs/>
                      <w:color w:val="000000" w:themeColor="text1"/>
                      <w:sz w:val="21"/>
                      <w:szCs w:val="16"/>
                      <w:highlight w:val="none"/>
                      <w14:textFill>
                        <w14:solidFill>
                          <w14:schemeClr w14:val="tx1"/>
                        </w14:solidFill>
                      </w14:textFill>
                    </w:rPr>
                    <w:t>达标情况</w:t>
                  </w:r>
                </w:p>
              </w:tc>
            </w:tr>
            <w:tr w14:paraId="1BC49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35" w:type="dxa"/>
                  <w:tcBorders>
                    <w:top w:val="single" w:color="auto" w:sz="8" w:space="0"/>
                    <w:left w:val="nil"/>
                    <w:bottom w:val="single" w:color="auto" w:sz="8" w:space="0"/>
                    <w:right w:val="single" w:color="auto" w:sz="8" w:space="0"/>
                  </w:tcBorders>
                  <w:vAlign w:val="center"/>
                </w:tcPr>
                <w:p w14:paraId="3890E60B">
                  <w:pPr>
                    <w:pStyle w:val="141"/>
                    <w:spacing w:line="240" w:lineRule="exact"/>
                    <w:rPr>
                      <w:color w:val="000000" w:themeColor="text1"/>
                      <w:sz w:val="21"/>
                      <w:szCs w:val="16"/>
                      <w:highlight w:val="none"/>
                      <w14:textFill>
                        <w14:solidFill>
                          <w14:schemeClr w14:val="tx1"/>
                        </w14:solidFill>
                      </w14:textFill>
                    </w:rPr>
                  </w:pPr>
                  <w:r>
                    <w:rPr>
                      <w:color w:val="000000" w:themeColor="text1"/>
                      <w:sz w:val="21"/>
                      <w:szCs w:val="16"/>
                      <w:highlight w:val="none"/>
                      <w14:textFill>
                        <w14:solidFill>
                          <w14:schemeClr w14:val="tx1"/>
                        </w14:solidFill>
                      </w14:textFill>
                    </w:rPr>
                    <w:t>PM</w:t>
                  </w:r>
                  <w:r>
                    <w:rPr>
                      <w:color w:val="000000" w:themeColor="text1"/>
                      <w:sz w:val="21"/>
                      <w:szCs w:val="16"/>
                      <w:highlight w:val="none"/>
                      <w:vertAlign w:val="subscript"/>
                      <w14:textFill>
                        <w14:solidFill>
                          <w14:schemeClr w14:val="tx1"/>
                        </w14:solidFill>
                      </w14:textFill>
                    </w:rPr>
                    <w:t>2.5</w:t>
                  </w:r>
                </w:p>
              </w:tc>
              <w:tc>
                <w:tcPr>
                  <w:tcW w:w="2038" w:type="dxa"/>
                  <w:tcBorders>
                    <w:top w:val="single" w:color="auto" w:sz="8" w:space="0"/>
                    <w:left w:val="single" w:color="auto" w:sz="8" w:space="0"/>
                    <w:bottom w:val="single" w:color="auto" w:sz="8" w:space="0"/>
                    <w:right w:val="single" w:color="auto" w:sz="8" w:space="0"/>
                  </w:tcBorders>
                  <w:vAlign w:val="center"/>
                </w:tcPr>
                <w:p w14:paraId="29D60A04">
                  <w:pPr>
                    <w:pStyle w:val="141"/>
                    <w:spacing w:line="240" w:lineRule="exact"/>
                    <w:rPr>
                      <w:color w:val="000000" w:themeColor="text1"/>
                      <w:sz w:val="21"/>
                      <w:szCs w:val="16"/>
                      <w:highlight w:val="none"/>
                      <w14:textFill>
                        <w14:solidFill>
                          <w14:schemeClr w14:val="tx1"/>
                        </w14:solidFill>
                      </w14:textFill>
                    </w:rPr>
                  </w:pPr>
                  <w:r>
                    <w:rPr>
                      <w:color w:val="000000" w:themeColor="text1"/>
                      <w:sz w:val="21"/>
                      <w:szCs w:val="16"/>
                      <w:highlight w:val="none"/>
                      <w14:textFill>
                        <w14:solidFill>
                          <w14:schemeClr w14:val="tx1"/>
                        </w14:solidFill>
                      </w14:textFill>
                    </w:rPr>
                    <w:t>年平均质量浓度</w:t>
                  </w:r>
                </w:p>
              </w:tc>
              <w:tc>
                <w:tcPr>
                  <w:tcW w:w="1528" w:type="dxa"/>
                  <w:tcBorders>
                    <w:top w:val="single" w:color="auto" w:sz="8" w:space="0"/>
                    <w:left w:val="single" w:color="auto" w:sz="8" w:space="0"/>
                    <w:bottom w:val="single" w:color="auto" w:sz="8" w:space="0"/>
                    <w:right w:val="single" w:color="auto" w:sz="8" w:space="0"/>
                  </w:tcBorders>
                  <w:vAlign w:val="center"/>
                </w:tcPr>
                <w:p w14:paraId="134B0303">
                  <w:pPr>
                    <w:pStyle w:val="141"/>
                    <w:spacing w:line="240" w:lineRule="exact"/>
                    <w:rPr>
                      <w:rFonts w:hint="default" w:eastAsia="宋体"/>
                      <w:color w:val="000000" w:themeColor="text1"/>
                      <w:sz w:val="21"/>
                      <w:szCs w:val="16"/>
                      <w:highlight w:val="none"/>
                      <w:lang w:val="en-US" w:eastAsia="zh-CN"/>
                      <w14:textFill>
                        <w14:solidFill>
                          <w14:schemeClr w14:val="tx1"/>
                        </w14:solidFill>
                      </w14:textFill>
                    </w:rPr>
                  </w:pPr>
                  <w:r>
                    <w:rPr>
                      <w:color w:val="000000" w:themeColor="text1"/>
                      <w:sz w:val="21"/>
                      <w:szCs w:val="16"/>
                      <w:highlight w:val="none"/>
                      <w14:textFill>
                        <w14:solidFill>
                          <w14:schemeClr w14:val="tx1"/>
                        </w14:solidFill>
                      </w14:textFill>
                    </w:rPr>
                    <w:t>2</w:t>
                  </w:r>
                  <w:r>
                    <w:rPr>
                      <w:rFonts w:hint="eastAsia"/>
                      <w:color w:val="000000" w:themeColor="text1"/>
                      <w:sz w:val="21"/>
                      <w:szCs w:val="16"/>
                      <w:highlight w:val="none"/>
                      <w:lang w:val="en-US" w:eastAsia="zh-CN"/>
                      <w14:textFill>
                        <w14:solidFill>
                          <w14:schemeClr w14:val="tx1"/>
                        </w14:solidFill>
                      </w14:textFill>
                    </w:rPr>
                    <w:t>7.1</w:t>
                  </w:r>
                </w:p>
              </w:tc>
              <w:tc>
                <w:tcPr>
                  <w:tcW w:w="1854" w:type="dxa"/>
                  <w:tcBorders>
                    <w:top w:val="single" w:color="auto" w:sz="8" w:space="0"/>
                    <w:left w:val="single" w:color="auto" w:sz="8" w:space="0"/>
                    <w:bottom w:val="single" w:color="auto" w:sz="8" w:space="0"/>
                    <w:right w:val="single" w:color="auto" w:sz="8" w:space="0"/>
                  </w:tcBorders>
                  <w:vAlign w:val="center"/>
                </w:tcPr>
                <w:p w14:paraId="3FBF4F79">
                  <w:pPr>
                    <w:pStyle w:val="141"/>
                    <w:spacing w:line="240" w:lineRule="exact"/>
                    <w:rPr>
                      <w:color w:val="000000" w:themeColor="text1"/>
                      <w:sz w:val="21"/>
                      <w:szCs w:val="16"/>
                      <w:highlight w:val="none"/>
                      <w14:textFill>
                        <w14:solidFill>
                          <w14:schemeClr w14:val="tx1"/>
                        </w14:solidFill>
                      </w14:textFill>
                    </w:rPr>
                  </w:pPr>
                  <w:r>
                    <w:rPr>
                      <w:rFonts w:hint="eastAsia"/>
                      <w:color w:val="000000" w:themeColor="text1"/>
                      <w:sz w:val="21"/>
                      <w:szCs w:val="16"/>
                      <w:highlight w:val="none"/>
                      <w:lang w:val="en-US" w:eastAsia="zh-CN"/>
                      <w14:textFill>
                        <w14:solidFill>
                          <w14:schemeClr w14:val="tx1"/>
                        </w14:solidFill>
                      </w14:textFill>
                    </w:rPr>
                    <w:t>35</w:t>
                  </w:r>
                </w:p>
              </w:tc>
              <w:tc>
                <w:tcPr>
                  <w:tcW w:w="1334" w:type="dxa"/>
                  <w:tcBorders>
                    <w:top w:val="single" w:color="auto" w:sz="8" w:space="0"/>
                    <w:left w:val="single" w:color="auto" w:sz="8" w:space="0"/>
                    <w:bottom w:val="single" w:color="auto" w:sz="8" w:space="0"/>
                    <w:right w:val="single" w:color="auto" w:sz="8" w:space="0"/>
                  </w:tcBorders>
                  <w:vAlign w:val="center"/>
                </w:tcPr>
                <w:p w14:paraId="2958B671">
                  <w:pPr>
                    <w:pStyle w:val="141"/>
                    <w:spacing w:line="240" w:lineRule="exact"/>
                    <w:rPr>
                      <w:rFonts w:hint="default" w:eastAsia="宋体"/>
                      <w:color w:val="000000" w:themeColor="text1"/>
                      <w:sz w:val="21"/>
                      <w:szCs w:val="16"/>
                      <w:highlight w:val="none"/>
                      <w:lang w:val="en-US" w:eastAsia="zh-CN"/>
                      <w14:textFill>
                        <w14:solidFill>
                          <w14:schemeClr w14:val="tx1"/>
                        </w14:solidFill>
                      </w14:textFill>
                    </w:rPr>
                  </w:pPr>
                  <w:r>
                    <w:rPr>
                      <w:color w:val="000000" w:themeColor="text1"/>
                      <w:sz w:val="21"/>
                      <w:szCs w:val="16"/>
                      <w:highlight w:val="none"/>
                      <w14:textFill>
                        <w14:solidFill>
                          <w14:schemeClr w14:val="tx1"/>
                        </w14:solidFill>
                      </w14:textFill>
                    </w:rPr>
                    <w:t>3</w:t>
                  </w:r>
                  <w:r>
                    <w:rPr>
                      <w:rFonts w:hint="eastAsia"/>
                      <w:color w:val="000000" w:themeColor="text1"/>
                      <w:sz w:val="21"/>
                      <w:szCs w:val="16"/>
                      <w:highlight w:val="none"/>
                      <w:lang w:val="en-US" w:eastAsia="zh-CN"/>
                      <w14:textFill>
                        <w14:solidFill>
                          <w14:schemeClr w14:val="tx1"/>
                        </w14:solidFill>
                      </w14:textFill>
                    </w:rPr>
                    <w:t>0</w:t>
                  </w:r>
                </w:p>
              </w:tc>
              <w:tc>
                <w:tcPr>
                  <w:tcW w:w="889" w:type="dxa"/>
                  <w:tcBorders>
                    <w:top w:val="single" w:color="auto" w:sz="8" w:space="0"/>
                    <w:left w:val="single" w:color="auto" w:sz="8" w:space="0"/>
                    <w:bottom w:val="single" w:color="auto" w:sz="8" w:space="0"/>
                    <w:right w:val="nil"/>
                  </w:tcBorders>
                  <w:vAlign w:val="center"/>
                </w:tcPr>
                <w:p w14:paraId="4B5BCC97">
                  <w:pPr>
                    <w:pStyle w:val="141"/>
                    <w:spacing w:line="240" w:lineRule="exact"/>
                    <w:rPr>
                      <w:color w:val="000000" w:themeColor="text1"/>
                      <w:sz w:val="21"/>
                      <w:szCs w:val="16"/>
                      <w:highlight w:val="none"/>
                      <w14:textFill>
                        <w14:solidFill>
                          <w14:schemeClr w14:val="tx1"/>
                        </w14:solidFill>
                      </w14:textFill>
                    </w:rPr>
                  </w:pPr>
                  <w:r>
                    <w:rPr>
                      <w:color w:val="000000" w:themeColor="text1"/>
                      <w:sz w:val="21"/>
                      <w:szCs w:val="16"/>
                      <w:highlight w:val="none"/>
                      <w14:textFill>
                        <w14:solidFill>
                          <w14:schemeClr w14:val="tx1"/>
                        </w14:solidFill>
                      </w14:textFill>
                    </w:rPr>
                    <w:t>达标</w:t>
                  </w:r>
                </w:p>
              </w:tc>
            </w:tr>
            <w:tr w14:paraId="578C4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35" w:type="dxa"/>
                  <w:tcBorders>
                    <w:top w:val="single" w:color="auto" w:sz="8" w:space="0"/>
                    <w:left w:val="nil"/>
                    <w:bottom w:val="single" w:color="auto" w:sz="8" w:space="0"/>
                    <w:right w:val="single" w:color="auto" w:sz="8" w:space="0"/>
                  </w:tcBorders>
                  <w:vAlign w:val="center"/>
                </w:tcPr>
                <w:p w14:paraId="6003FA44">
                  <w:pPr>
                    <w:pStyle w:val="141"/>
                    <w:spacing w:line="240" w:lineRule="exact"/>
                    <w:rPr>
                      <w:color w:val="000000" w:themeColor="text1"/>
                      <w:sz w:val="21"/>
                      <w:szCs w:val="16"/>
                      <w:highlight w:val="none"/>
                      <w14:textFill>
                        <w14:solidFill>
                          <w14:schemeClr w14:val="tx1"/>
                        </w14:solidFill>
                      </w14:textFill>
                    </w:rPr>
                  </w:pPr>
                  <w:r>
                    <w:rPr>
                      <w:color w:val="000000" w:themeColor="text1"/>
                      <w:sz w:val="21"/>
                      <w:szCs w:val="16"/>
                      <w:highlight w:val="none"/>
                      <w14:textFill>
                        <w14:solidFill>
                          <w14:schemeClr w14:val="tx1"/>
                        </w14:solidFill>
                      </w14:textFill>
                    </w:rPr>
                    <w:t>PM</w:t>
                  </w:r>
                  <w:r>
                    <w:rPr>
                      <w:color w:val="000000" w:themeColor="text1"/>
                      <w:sz w:val="21"/>
                      <w:szCs w:val="16"/>
                      <w:highlight w:val="none"/>
                      <w:vertAlign w:val="subscript"/>
                      <w14:textFill>
                        <w14:solidFill>
                          <w14:schemeClr w14:val="tx1"/>
                        </w14:solidFill>
                      </w14:textFill>
                    </w:rPr>
                    <w:t>10</w:t>
                  </w:r>
                </w:p>
              </w:tc>
              <w:tc>
                <w:tcPr>
                  <w:tcW w:w="2038" w:type="dxa"/>
                  <w:tcBorders>
                    <w:top w:val="single" w:color="auto" w:sz="8" w:space="0"/>
                    <w:left w:val="single" w:color="auto" w:sz="8" w:space="0"/>
                    <w:bottom w:val="single" w:color="auto" w:sz="8" w:space="0"/>
                    <w:right w:val="single" w:color="auto" w:sz="8" w:space="0"/>
                  </w:tcBorders>
                  <w:vAlign w:val="center"/>
                </w:tcPr>
                <w:p w14:paraId="13A4E6E3">
                  <w:pPr>
                    <w:pStyle w:val="141"/>
                    <w:spacing w:line="240" w:lineRule="exact"/>
                    <w:rPr>
                      <w:color w:val="000000" w:themeColor="text1"/>
                      <w:sz w:val="21"/>
                      <w:szCs w:val="16"/>
                      <w:highlight w:val="none"/>
                      <w14:textFill>
                        <w14:solidFill>
                          <w14:schemeClr w14:val="tx1"/>
                        </w14:solidFill>
                      </w14:textFill>
                    </w:rPr>
                  </w:pPr>
                  <w:r>
                    <w:rPr>
                      <w:color w:val="000000" w:themeColor="text1"/>
                      <w:sz w:val="21"/>
                      <w:szCs w:val="16"/>
                      <w:highlight w:val="none"/>
                      <w14:textFill>
                        <w14:solidFill>
                          <w14:schemeClr w14:val="tx1"/>
                        </w14:solidFill>
                      </w14:textFill>
                    </w:rPr>
                    <w:t>年平均质量浓度</w:t>
                  </w:r>
                </w:p>
              </w:tc>
              <w:tc>
                <w:tcPr>
                  <w:tcW w:w="1528" w:type="dxa"/>
                  <w:tcBorders>
                    <w:top w:val="single" w:color="auto" w:sz="8" w:space="0"/>
                    <w:left w:val="single" w:color="auto" w:sz="8" w:space="0"/>
                    <w:bottom w:val="single" w:color="auto" w:sz="8" w:space="0"/>
                    <w:right w:val="single" w:color="auto" w:sz="8" w:space="0"/>
                  </w:tcBorders>
                  <w:vAlign w:val="center"/>
                </w:tcPr>
                <w:p w14:paraId="383A4052">
                  <w:pPr>
                    <w:pStyle w:val="141"/>
                    <w:spacing w:line="240" w:lineRule="exact"/>
                    <w:rPr>
                      <w:rFonts w:hint="eastAsia" w:eastAsia="宋体"/>
                      <w:color w:val="000000" w:themeColor="text1"/>
                      <w:sz w:val="21"/>
                      <w:szCs w:val="16"/>
                      <w:highlight w:val="none"/>
                      <w:lang w:eastAsia="zh-CN"/>
                      <w14:textFill>
                        <w14:solidFill>
                          <w14:schemeClr w14:val="tx1"/>
                        </w14:solidFill>
                      </w14:textFill>
                    </w:rPr>
                  </w:pPr>
                  <w:r>
                    <w:rPr>
                      <w:rFonts w:hint="eastAsia"/>
                      <w:color w:val="000000" w:themeColor="text1"/>
                      <w:sz w:val="21"/>
                      <w:szCs w:val="16"/>
                      <w:highlight w:val="none"/>
                      <w14:textFill>
                        <w14:solidFill>
                          <w14:schemeClr w14:val="tx1"/>
                        </w14:solidFill>
                      </w14:textFill>
                    </w:rPr>
                    <w:t>4</w:t>
                  </w:r>
                  <w:r>
                    <w:rPr>
                      <w:rFonts w:hint="eastAsia"/>
                      <w:color w:val="000000" w:themeColor="text1"/>
                      <w:sz w:val="21"/>
                      <w:szCs w:val="16"/>
                      <w:highlight w:val="none"/>
                      <w:lang w:val="en-US" w:eastAsia="zh-CN"/>
                      <w14:textFill>
                        <w14:solidFill>
                          <w14:schemeClr w14:val="tx1"/>
                        </w14:solidFill>
                      </w14:textFill>
                    </w:rPr>
                    <w:t>7</w:t>
                  </w:r>
                </w:p>
              </w:tc>
              <w:tc>
                <w:tcPr>
                  <w:tcW w:w="1854" w:type="dxa"/>
                  <w:tcBorders>
                    <w:top w:val="single" w:color="auto" w:sz="8" w:space="0"/>
                    <w:left w:val="single" w:color="auto" w:sz="8" w:space="0"/>
                    <w:bottom w:val="single" w:color="auto" w:sz="8" w:space="0"/>
                    <w:right w:val="single" w:color="auto" w:sz="8" w:space="0"/>
                  </w:tcBorders>
                  <w:vAlign w:val="center"/>
                </w:tcPr>
                <w:p w14:paraId="2DC269EC">
                  <w:pPr>
                    <w:pStyle w:val="141"/>
                    <w:spacing w:line="240" w:lineRule="exact"/>
                    <w:rPr>
                      <w:color w:val="000000" w:themeColor="text1"/>
                      <w:sz w:val="21"/>
                      <w:szCs w:val="16"/>
                      <w:highlight w:val="none"/>
                      <w14:textFill>
                        <w14:solidFill>
                          <w14:schemeClr w14:val="tx1"/>
                        </w14:solidFill>
                      </w14:textFill>
                    </w:rPr>
                  </w:pPr>
                  <w:r>
                    <w:rPr>
                      <w:rFonts w:hint="eastAsia"/>
                      <w:color w:val="000000" w:themeColor="text1"/>
                      <w:sz w:val="21"/>
                      <w:szCs w:val="16"/>
                      <w:highlight w:val="none"/>
                      <w:lang w:val="en-US" w:eastAsia="zh-CN"/>
                      <w14:textFill>
                        <w14:solidFill>
                          <w14:schemeClr w14:val="tx1"/>
                        </w14:solidFill>
                      </w14:textFill>
                    </w:rPr>
                    <w:t>70</w:t>
                  </w:r>
                </w:p>
              </w:tc>
              <w:tc>
                <w:tcPr>
                  <w:tcW w:w="1334" w:type="dxa"/>
                  <w:tcBorders>
                    <w:top w:val="single" w:color="auto" w:sz="8" w:space="0"/>
                    <w:left w:val="single" w:color="auto" w:sz="8" w:space="0"/>
                    <w:bottom w:val="single" w:color="auto" w:sz="8" w:space="0"/>
                    <w:right w:val="single" w:color="auto" w:sz="8" w:space="0"/>
                  </w:tcBorders>
                  <w:vAlign w:val="center"/>
                </w:tcPr>
                <w:p w14:paraId="16665E4D">
                  <w:pPr>
                    <w:pStyle w:val="141"/>
                    <w:spacing w:line="240" w:lineRule="exact"/>
                    <w:rPr>
                      <w:rFonts w:hint="eastAsia" w:eastAsia="宋体"/>
                      <w:color w:val="000000" w:themeColor="text1"/>
                      <w:sz w:val="21"/>
                      <w:szCs w:val="16"/>
                      <w:highlight w:val="none"/>
                      <w:lang w:eastAsia="zh-CN"/>
                      <w14:textFill>
                        <w14:solidFill>
                          <w14:schemeClr w14:val="tx1"/>
                        </w14:solidFill>
                      </w14:textFill>
                    </w:rPr>
                  </w:pPr>
                  <w:r>
                    <w:rPr>
                      <w:rFonts w:hint="eastAsia"/>
                      <w:color w:val="000000" w:themeColor="text1"/>
                      <w:sz w:val="21"/>
                      <w:szCs w:val="16"/>
                      <w:highlight w:val="none"/>
                      <w:lang w:val="en-US" w:eastAsia="zh-CN"/>
                      <w14:textFill>
                        <w14:solidFill>
                          <w14:schemeClr w14:val="tx1"/>
                        </w14:solidFill>
                      </w14:textFill>
                    </w:rPr>
                    <w:t>6</w:t>
                  </w:r>
                  <w:r>
                    <w:rPr>
                      <w:color w:val="000000" w:themeColor="text1"/>
                      <w:sz w:val="21"/>
                      <w:szCs w:val="16"/>
                      <w:highlight w:val="none"/>
                      <w14:textFill>
                        <w14:solidFill>
                          <w14:schemeClr w14:val="tx1"/>
                        </w14:solidFill>
                      </w14:textFill>
                    </w:rPr>
                    <w:t>0</w:t>
                  </w:r>
                </w:p>
              </w:tc>
              <w:tc>
                <w:tcPr>
                  <w:tcW w:w="889" w:type="dxa"/>
                  <w:tcBorders>
                    <w:top w:val="single" w:color="auto" w:sz="8" w:space="0"/>
                    <w:left w:val="single" w:color="auto" w:sz="8" w:space="0"/>
                    <w:bottom w:val="single" w:color="auto" w:sz="8" w:space="0"/>
                    <w:right w:val="nil"/>
                  </w:tcBorders>
                  <w:vAlign w:val="center"/>
                </w:tcPr>
                <w:p w14:paraId="703C6219">
                  <w:pPr>
                    <w:pStyle w:val="141"/>
                    <w:spacing w:line="240" w:lineRule="exact"/>
                    <w:rPr>
                      <w:color w:val="000000" w:themeColor="text1"/>
                      <w:sz w:val="21"/>
                      <w:szCs w:val="16"/>
                      <w:highlight w:val="none"/>
                      <w14:textFill>
                        <w14:solidFill>
                          <w14:schemeClr w14:val="tx1"/>
                        </w14:solidFill>
                      </w14:textFill>
                    </w:rPr>
                  </w:pPr>
                  <w:r>
                    <w:rPr>
                      <w:color w:val="000000" w:themeColor="text1"/>
                      <w:sz w:val="21"/>
                      <w:szCs w:val="16"/>
                      <w:highlight w:val="none"/>
                      <w14:textFill>
                        <w14:solidFill>
                          <w14:schemeClr w14:val="tx1"/>
                        </w14:solidFill>
                      </w14:textFill>
                    </w:rPr>
                    <w:t>达标</w:t>
                  </w:r>
                </w:p>
              </w:tc>
            </w:tr>
            <w:tr w14:paraId="41612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35" w:type="dxa"/>
                  <w:tcBorders>
                    <w:top w:val="single" w:color="auto" w:sz="8" w:space="0"/>
                    <w:left w:val="nil"/>
                    <w:bottom w:val="single" w:color="auto" w:sz="8" w:space="0"/>
                    <w:right w:val="single" w:color="auto" w:sz="8" w:space="0"/>
                  </w:tcBorders>
                  <w:vAlign w:val="center"/>
                </w:tcPr>
                <w:p w14:paraId="3B841723">
                  <w:pPr>
                    <w:pStyle w:val="141"/>
                    <w:spacing w:line="240" w:lineRule="exact"/>
                    <w:rPr>
                      <w:color w:val="000000" w:themeColor="text1"/>
                      <w:sz w:val="21"/>
                      <w:szCs w:val="16"/>
                      <w:highlight w:val="none"/>
                      <w14:textFill>
                        <w14:solidFill>
                          <w14:schemeClr w14:val="tx1"/>
                        </w14:solidFill>
                      </w14:textFill>
                    </w:rPr>
                  </w:pPr>
                  <w:r>
                    <w:rPr>
                      <w:color w:val="000000" w:themeColor="text1"/>
                      <w:sz w:val="21"/>
                      <w:szCs w:val="16"/>
                      <w:highlight w:val="none"/>
                      <w14:textFill>
                        <w14:solidFill>
                          <w14:schemeClr w14:val="tx1"/>
                        </w14:solidFill>
                      </w14:textFill>
                    </w:rPr>
                    <w:t>NO</w:t>
                  </w:r>
                  <w:r>
                    <w:rPr>
                      <w:color w:val="000000" w:themeColor="text1"/>
                      <w:sz w:val="21"/>
                      <w:szCs w:val="16"/>
                      <w:highlight w:val="none"/>
                      <w:vertAlign w:val="subscript"/>
                      <w14:textFill>
                        <w14:solidFill>
                          <w14:schemeClr w14:val="tx1"/>
                        </w14:solidFill>
                      </w14:textFill>
                    </w:rPr>
                    <w:t>2</w:t>
                  </w:r>
                </w:p>
              </w:tc>
              <w:tc>
                <w:tcPr>
                  <w:tcW w:w="2038" w:type="dxa"/>
                  <w:tcBorders>
                    <w:top w:val="single" w:color="auto" w:sz="8" w:space="0"/>
                    <w:left w:val="single" w:color="auto" w:sz="8" w:space="0"/>
                    <w:bottom w:val="single" w:color="auto" w:sz="8" w:space="0"/>
                    <w:right w:val="single" w:color="auto" w:sz="8" w:space="0"/>
                  </w:tcBorders>
                  <w:vAlign w:val="center"/>
                </w:tcPr>
                <w:p w14:paraId="55786132">
                  <w:pPr>
                    <w:pStyle w:val="141"/>
                    <w:spacing w:line="240" w:lineRule="exact"/>
                    <w:rPr>
                      <w:color w:val="000000" w:themeColor="text1"/>
                      <w:sz w:val="21"/>
                      <w:szCs w:val="16"/>
                      <w:highlight w:val="none"/>
                      <w14:textFill>
                        <w14:solidFill>
                          <w14:schemeClr w14:val="tx1"/>
                        </w14:solidFill>
                      </w14:textFill>
                    </w:rPr>
                  </w:pPr>
                  <w:r>
                    <w:rPr>
                      <w:color w:val="000000" w:themeColor="text1"/>
                      <w:sz w:val="21"/>
                      <w:szCs w:val="16"/>
                      <w:highlight w:val="none"/>
                      <w14:textFill>
                        <w14:solidFill>
                          <w14:schemeClr w14:val="tx1"/>
                        </w14:solidFill>
                      </w14:textFill>
                    </w:rPr>
                    <w:t>年平均质量浓度</w:t>
                  </w:r>
                </w:p>
              </w:tc>
              <w:tc>
                <w:tcPr>
                  <w:tcW w:w="1528" w:type="dxa"/>
                  <w:tcBorders>
                    <w:top w:val="single" w:color="auto" w:sz="8" w:space="0"/>
                    <w:left w:val="single" w:color="auto" w:sz="8" w:space="0"/>
                    <w:bottom w:val="single" w:color="auto" w:sz="8" w:space="0"/>
                    <w:right w:val="single" w:color="auto" w:sz="8" w:space="0"/>
                  </w:tcBorders>
                  <w:vAlign w:val="center"/>
                </w:tcPr>
                <w:p w14:paraId="06359FF2">
                  <w:pPr>
                    <w:pStyle w:val="141"/>
                    <w:spacing w:line="240" w:lineRule="exact"/>
                    <w:rPr>
                      <w:rFonts w:hint="eastAsia" w:eastAsia="宋体"/>
                      <w:color w:val="000000" w:themeColor="text1"/>
                      <w:sz w:val="21"/>
                      <w:szCs w:val="16"/>
                      <w:highlight w:val="none"/>
                      <w:lang w:eastAsia="zh-CN"/>
                      <w14:textFill>
                        <w14:solidFill>
                          <w14:schemeClr w14:val="tx1"/>
                        </w14:solidFill>
                      </w14:textFill>
                    </w:rPr>
                  </w:pPr>
                  <w:r>
                    <w:rPr>
                      <w:rFonts w:hint="eastAsia"/>
                      <w:color w:val="000000" w:themeColor="text1"/>
                      <w:sz w:val="21"/>
                      <w:szCs w:val="16"/>
                      <w:highlight w:val="none"/>
                      <w14:textFill>
                        <w14:solidFill>
                          <w14:schemeClr w14:val="tx1"/>
                        </w14:solidFill>
                      </w14:textFill>
                    </w:rPr>
                    <w:t>2</w:t>
                  </w:r>
                  <w:r>
                    <w:rPr>
                      <w:rFonts w:hint="eastAsia"/>
                      <w:color w:val="000000" w:themeColor="text1"/>
                      <w:sz w:val="21"/>
                      <w:szCs w:val="16"/>
                      <w:highlight w:val="none"/>
                      <w:lang w:val="en-US" w:eastAsia="zh-CN"/>
                      <w14:textFill>
                        <w14:solidFill>
                          <w14:schemeClr w14:val="tx1"/>
                        </w14:solidFill>
                      </w14:textFill>
                    </w:rPr>
                    <w:t>3</w:t>
                  </w:r>
                </w:p>
              </w:tc>
              <w:tc>
                <w:tcPr>
                  <w:tcW w:w="1854" w:type="dxa"/>
                  <w:tcBorders>
                    <w:top w:val="single" w:color="auto" w:sz="8" w:space="0"/>
                    <w:left w:val="single" w:color="auto" w:sz="8" w:space="0"/>
                    <w:bottom w:val="single" w:color="auto" w:sz="8" w:space="0"/>
                    <w:right w:val="single" w:color="auto" w:sz="8" w:space="0"/>
                  </w:tcBorders>
                  <w:vAlign w:val="center"/>
                </w:tcPr>
                <w:p w14:paraId="5245C627">
                  <w:pPr>
                    <w:pStyle w:val="141"/>
                    <w:spacing w:line="240" w:lineRule="exact"/>
                    <w:rPr>
                      <w:rFonts w:hint="eastAsia"/>
                      <w:color w:val="000000" w:themeColor="text1"/>
                      <w:sz w:val="21"/>
                      <w:szCs w:val="16"/>
                      <w:highlight w:val="none"/>
                      <w:lang w:val="en-US" w:eastAsia="zh-CN"/>
                      <w14:textFill>
                        <w14:solidFill>
                          <w14:schemeClr w14:val="tx1"/>
                        </w14:solidFill>
                      </w14:textFill>
                    </w:rPr>
                  </w:pPr>
                  <w:r>
                    <w:rPr>
                      <w:rFonts w:hint="eastAsia"/>
                      <w:color w:val="000000" w:themeColor="text1"/>
                      <w:sz w:val="21"/>
                      <w:szCs w:val="16"/>
                      <w:highlight w:val="none"/>
                      <w:lang w:val="en-US" w:eastAsia="zh-CN"/>
                      <w14:textFill>
                        <w14:solidFill>
                          <w14:schemeClr w14:val="tx1"/>
                        </w14:solidFill>
                      </w14:textFill>
                    </w:rPr>
                    <w:t>40</w:t>
                  </w:r>
                </w:p>
              </w:tc>
              <w:tc>
                <w:tcPr>
                  <w:tcW w:w="1334" w:type="dxa"/>
                  <w:tcBorders>
                    <w:top w:val="single" w:color="auto" w:sz="8" w:space="0"/>
                    <w:left w:val="single" w:color="auto" w:sz="8" w:space="0"/>
                    <w:bottom w:val="single" w:color="auto" w:sz="8" w:space="0"/>
                    <w:right w:val="single" w:color="auto" w:sz="8" w:space="0"/>
                  </w:tcBorders>
                  <w:vAlign w:val="center"/>
                </w:tcPr>
                <w:p w14:paraId="59CFABB2">
                  <w:pPr>
                    <w:pStyle w:val="141"/>
                    <w:spacing w:line="240" w:lineRule="exact"/>
                    <w:rPr>
                      <w:rFonts w:hint="default"/>
                      <w:color w:val="000000" w:themeColor="text1"/>
                      <w:sz w:val="21"/>
                      <w:szCs w:val="16"/>
                      <w:highlight w:val="none"/>
                      <w:lang w:val="en-US" w:eastAsia="zh-CN"/>
                      <w14:textFill>
                        <w14:solidFill>
                          <w14:schemeClr w14:val="tx1"/>
                        </w14:solidFill>
                      </w14:textFill>
                    </w:rPr>
                  </w:pPr>
                  <w:r>
                    <w:rPr>
                      <w:rFonts w:hint="eastAsia"/>
                      <w:color w:val="000000" w:themeColor="text1"/>
                      <w:sz w:val="21"/>
                      <w:szCs w:val="16"/>
                      <w:highlight w:val="none"/>
                      <w:lang w:val="en-US" w:eastAsia="zh-CN"/>
                      <w14:textFill>
                        <w14:solidFill>
                          <w14:schemeClr w14:val="tx1"/>
                        </w14:solidFill>
                      </w14:textFill>
                    </w:rPr>
                    <w:t>40</w:t>
                  </w:r>
                </w:p>
              </w:tc>
              <w:tc>
                <w:tcPr>
                  <w:tcW w:w="889" w:type="dxa"/>
                  <w:tcBorders>
                    <w:top w:val="single" w:color="auto" w:sz="8" w:space="0"/>
                    <w:left w:val="single" w:color="auto" w:sz="8" w:space="0"/>
                    <w:bottom w:val="single" w:color="auto" w:sz="8" w:space="0"/>
                    <w:right w:val="nil"/>
                  </w:tcBorders>
                  <w:vAlign w:val="center"/>
                </w:tcPr>
                <w:p w14:paraId="0EFAAA3A">
                  <w:pPr>
                    <w:pStyle w:val="141"/>
                    <w:spacing w:line="240" w:lineRule="exact"/>
                    <w:rPr>
                      <w:rFonts w:hint="eastAsia"/>
                      <w:color w:val="000000" w:themeColor="text1"/>
                      <w:sz w:val="21"/>
                      <w:szCs w:val="16"/>
                      <w:highlight w:val="none"/>
                      <w:lang w:val="en-US" w:eastAsia="zh-CN"/>
                      <w14:textFill>
                        <w14:solidFill>
                          <w14:schemeClr w14:val="tx1"/>
                        </w14:solidFill>
                      </w14:textFill>
                    </w:rPr>
                  </w:pPr>
                  <w:r>
                    <w:rPr>
                      <w:rFonts w:hint="eastAsia"/>
                      <w:color w:val="000000" w:themeColor="text1"/>
                      <w:sz w:val="21"/>
                      <w:szCs w:val="16"/>
                      <w:highlight w:val="none"/>
                      <w:lang w:val="en-US" w:eastAsia="zh-CN"/>
                      <w14:textFill>
                        <w14:solidFill>
                          <w14:schemeClr w14:val="tx1"/>
                        </w14:solidFill>
                      </w14:textFill>
                    </w:rPr>
                    <w:t>达标</w:t>
                  </w:r>
                </w:p>
              </w:tc>
            </w:tr>
            <w:tr w14:paraId="7D073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35" w:type="dxa"/>
                  <w:tcBorders>
                    <w:top w:val="single" w:color="auto" w:sz="8" w:space="0"/>
                    <w:left w:val="nil"/>
                    <w:bottom w:val="single" w:color="auto" w:sz="8" w:space="0"/>
                    <w:right w:val="single" w:color="auto" w:sz="8" w:space="0"/>
                  </w:tcBorders>
                  <w:vAlign w:val="center"/>
                </w:tcPr>
                <w:p w14:paraId="4863CB45">
                  <w:pPr>
                    <w:pStyle w:val="141"/>
                    <w:spacing w:line="240" w:lineRule="exact"/>
                    <w:rPr>
                      <w:color w:val="000000" w:themeColor="text1"/>
                      <w:sz w:val="21"/>
                      <w:szCs w:val="16"/>
                      <w:highlight w:val="none"/>
                      <w14:textFill>
                        <w14:solidFill>
                          <w14:schemeClr w14:val="tx1"/>
                        </w14:solidFill>
                      </w14:textFill>
                    </w:rPr>
                  </w:pPr>
                  <w:r>
                    <w:rPr>
                      <w:color w:val="000000" w:themeColor="text1"/>
                      <w:sz w:val="21"/>
                      <w:szCs w:val="16"/>
                      <w:highlight w:val="none"/>
                      <w14:textFill>
                        <w14:solidFill>
                          <w14:schemeClr w14:val="tx1"/>
                        </w14:solidFill>
                      </w14:textFill>
                    </w:rPr>
                    <w:t>SO</w:t>
                  </w:r>
                  <w:r>
                    <w:rPr>
                      <w:color w:val="000000" w:themeColor="text1"/>
                      <w:sz w:val="21"/>
                      <w:szCs w:val="16"/>
                      <w:highlight w:val="none"/>
                      <w:vertAlign w:val="subscript"/>
                      <w14:textFill>
                        <w14:solidFill>
                          <w14:schemeClr w14:val="tx1"/>
                        </w14:solidFill>
                      </w14:textFill>
                    </w:rPr>
                    <w:t>2</w:t>
                  </w:r>
                </w:p>
              </w:tc>
              <w:tc>
                <w:tcPr>
                  <w:tcW w:w="2038" w:type="dxa"/>
                  <w:tcBorders>
                    <w:top w:val="single" w:color="auto" w:sz="8" w:space="0"/>
                    <w:left w:val="single" w:color="auto" w:sz="8" w:space="0"/>
                    <w:bottom w:val="single" w:color="auto" w:sz="8" w:space="0"/>
                    <w:right w:val="single" w:color="auto" w:sz="8" w:space="0"/>
                  </w:tcBorders>
                  <w:vAlign w:val="center"/>
                </w:tcPr>
                <w:p w14:paraId="3779FBE5">
                  <w:pPr>
                    <w:pStyle w:val="141"/>
                    <w:spacing w:line="240" w:lineRule="exact"/>
                    <w:rPr>
                      <w:color w:val="000000" w:themeColor="text1"/>
                      <w:sz w:val="21"/>
                      <w:szCs w:val="16"/>
                      <w:highlight w:val="none"/>
                      <w14:textFill>
                        <w14:solidFill>
                          <w14:schemeClr w14:val="tx1"/>
                        </w14:solidFill>
                      </w14:textFill>
                    </w:rPr>
                  </w:pPr>
                  <w:r>
                    <w:rPr>
                      <w:color w:val="000000" w:themeColor="text1"/>
                      <w:sz w:val="21"/>
                      <w:szCs w:val="16"/>
                      <w:highlight w:val="none"/>
                      <w14:textFill>
                        <w14:solidFill>
                          <w14:schemeClr w14:val="tx1"/>
                        </w14:solidFill>
                      </w14:textFill>
                    </w:rPr>
                    <w:t>年平均质量浓度</w:t>
                  </w:r>
                </w:p>
              </w:tc>
              <w:tc>
                <w:tcPr>
                  <w:tcW w:w="1528" w:type="dxa"/>
                  <w:tcBorders>
                    <w:top w:val="single" w:color="auto" w:sz="8" w:space="0"/>
                    <w:left w:val="single" w:color="auto" w:sz="8" w:space="0"/>
                    <w:bottom w:val="single" w:color="auto" w:sz="8" w:space="0"/>
                    <w:right w:val="single" w:color="auto" w:sz="8" w:space="0"/>
                  </w:tcBorders>
                  <w:vAlign w:val="center"/>
                </w:tcPr>
                <w:p w14:paraId="5DC15442">
                  <w:pPr>
                    <w:pStyle w:val="141"/>
                    <w:spacing w:line="240" w:lineRule="exact"/>
                    <w:rPr>
                      <w:color w:val="000000" w:themeColor="text1"/>
                      <w:sz w:val="21"/>
                      <w:szCs w:val="16"/>
                      <w:highlight w:val="none"/>
                      <w14:textFill>
                        <w14:solidFill>
                          <w14:schemeClr w14:val="tx1"/>
                        </w14:solidFill>
                      </w14:textFill>
                    </w:rPr>
                  </w:pPr>
                  <w:r>
                    <w:rPr>
                      <w:color w:val="000000" w:themeColor="text1"/>
                      <w:sz w:val="21"/>
                      <w:szCs w:val="16"/>
                      <w:highlight w:val="none"/>
                      <w14:textFill>
                        <w14:solidFill>
                          <w14:schemeClr w14:val="tx1"/>
                        </w14:solidFill>
                      </w14:textFill>
                    </w:rPr>
                    <w:t>6</w:t>
                  </w:r>
                </w:p>
              </w:tc>
              <w:tc>
                <w:tcPr>
                  <w:tcW w:w="1854" w:type="dxa"/>
                  <w:tcBorders>
                    <w:top w:val="single" w:color="auto" w:sz="8" w:space="0"/>
                    <w:left w:val="single" w:color="auto" w:sz="8" w:space="0"/>
                    <w:bottom w:val="single" w:color="auto" w:sz="8" w:space="0"/>
                    <w:right w:val="single" w:color="auto" w:sz="8" w:space="0"/>
                  </w:tcBorders>
                  <w:vAlign w:val="center"/>
                </w:tcPr>
                <w:p w14:paraId="5CCA6089">
                  <w:pPr>
                    <w:pStyle w:val="141"/>
                    <w:spacing w:line="240" w:lineRule="exact"/>
                    <w:rPr>
                      <w:rFonts w:hint="eastAsia"/>
                      <w:color w:val="000000" w:themeColor="text1"/>
                      <w:sz w:val="21"/>
                      <w:szCs w:val="16"/>
                      <w:highlight w:val="none"/>
                      <w:lang w:val="en-US" w:eastAsia="zh-CN"/>
                      <w14:textFill>
                        <w14:solidFill>
                          <w14:schemeClr w14:val="tx1"/>
                        </w14:solidFill>
                      </w14:textFill>
                    </w:rPr>
                  </w:pPr>
                  <w:r>
                    <w:rPr>
                      <w:rFonts w:hint="eastAsia"/>
                      <w:color w:val="000000" w:themeColor="text1"/>
                      <w:sz w:val="21"/>
                      <w:szCs w:val="16"/>
                      <w:highlight w:val="none"/>
                      <w:lang w:val="en-US" w:eastAsia="zh-CN"/>
                      <w14:textFill>
                        <w14:solidFill>
                          <w14:schemeClr w14:val="tx1"/>
                        </w14:solidFill>
                      </w14:textFill>
                    </w:rPr>
                    <w:t>60</w:t>
                  </w:r>
                </w:p>
              </w:tc>
              <w:tc>
                <w:tcPr>
                  <w:tcW w:w="1334" w:type="dxa"/>
                  <w:tcBorders>
                    <w:top w:val="single" w:color="auto" w:sz="8" w:space="0"/>
                    <w:left w:val="single" w:color="auto" w:sz="8" w:space="0"/>
                    <w:bottom w:val="single" w:color="auto" w:sz="8" w:space="0"/>
                    <w:right w:val="single" w:color="auto" w:sz="8" w:space="0"/>
                  </w:tcBorders>
                  <w:vAlign w:val="center"/>
                </w:tcPr>
                <w:p w14:paraId="5AE64B93">
                  <w:pPr>
                    <w:pStyle w:val="141"/>
                    <w:spacing w:line="240" w:lineRule="exact"/>
                    <w:rPr>
                      <w:rFonts w:hint="eastAsia"/>
                      <w:color w:val="000000" w:themeColor="text1"/>
                      <w:sz w:val="21"/>
                      <w:szCs w:val="16"/>
                      <w:highlight w:val="none"/>
                      <w:lang w:val="en-US" w:eastAsia="zh-CN"/>
                      <w14:textFill>
                        <w14:solidFill>
                          <w14:schemeClr w14:val="tx1"/>
                        </w14:solidFill>
                      </w14:textFill>
                    </w:rPr>
                  </w:pPr>
                  <w:r>
                    <w:rPr>
                      <w:color w:val="000000" w:themeColor="text1"/>
                      <w:sz w:val="21"/>
                      <w:szCs w:val="16"/>
                      <w:highlight w:val="none"/>
                      <w14:textFill>
                        <w14:solidFill>
                          <w14:schemeClr w14:val="tx1"/>
                        </w14:solidFill>
                      </w14:textFill>
                    </w:rPr>
                    <w:t>60</w:t>
                  </w:r>
                </w:p>
              </w:tc>
              <w:tc>
                <w:tcPr>
                  <w:tcW w:w="889" w:type="dxa"/>
                  <w:tcBorders>
                    <w:top w:val="single" w:color="auto" w:sz="8" w:space="0"/>
                    <w:left w:val="single" w:color="auto" w:sz="8" w:space="0"/>
                    <w:bottom w:val="single" w:color="auto" w:sz="8" w:space="0"/>
                    <w:right w:val="nil"/>
                  </w:tcBorders>
                  <w:vAlign w:val="center"/>
                </w:tcPr>
                <w:p w14:paraId="4FEE1E25">
                  <w:pPr>
                    <w:pStyle w:val="141"/>
                    <w:spacing w:line="240" w:lineRule="exact"/>
                    <w:rPr>
                      <w:rFonts w:hint="eastAsia"/>
                      <w:color w:val="000000" w:themeColor="text1"/>
                      <w:sz w:val="21"/>
                      <w:szCs w:val="16"/>
                      <w:highlight w:val="none"/>
                      <w:lang w:val="en-US" w:eastAsia="zh-CN"/>
                      <w14:textFill>
                        <w14:solidFill>
                          <w14:schemeClr w14:val="tx1"/>
                        </w14:solidFill>
                      </w14:textFill>
                    </w:rPr>
                  </w:pPr>
                  <w:r>
                    <w:rPr>
                      <w:rFonts w:hint="eastAsia"/>
                      <w:color w:val="000000" w:themeColor="text1"/>
                      <w:sz w:val="21"/>
                      <w:szCs w:val="16"/>
                      <w:highlight w:val="none"/>
                      <w:lang w:val="en-US" w:eastAsia="zh-CN"/>
                      <w14:textFill>
                        <w14:solidFill>
                          <w14:schemeClr w14:val="tx1"/>
                        </w14:solidFill>
                      </w14:textFill>
                    </w:rPr>
                    <w:t>达标</w:t>
                  </w:r>
                </w:p>
              </w:tc>
            </w:tr>
            <w:tr w14:paraId="6212E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35" w:type="dxa"/>
                  <w:tcBorders>
                    <w:top w:val="single" w:color="auto" w:sz="8" w:space="0"/>
                    <w:left w:val="nil"/>
                    <w:bottom w:val="single" w:color="auto" w:sz="8" w:space="0"/>
                    <w:right w:val="single" w:color="auto" w:sz="8" w:space="0"/>
                  </w:tcBorders>
                  <w:vAlign w:val="center"/>
                </w:tcPr>
                <w:p w14:paraId="1A280E9E">
                  <w:pPr>
                    <w:pStyle w:val="141"/>
                    <w:spacing w:line="240" w:lineRule="exact"/>
                    <w:rPr>
                      <w:color w:val="000000" w:themeColor="text1"/>
                      <w:sz w:val="21"/>
                      <w:szCs w:val="16"/>
                      <w:highlight w:val="none"/>
                      <w14:textFill>
                        <w14:solidFill>
                          <w14:schemeClr w14:val="tx1"/>
                        </w14:solidFill>
                      </w14:textFill>
                    </w:rPr>
                  </w:pPr>
                  <w:r>
                    <w:rPr>
                      <w:color w:val="000000" w:themeColor="text1"/>
                      <w:sz w:val="21"/>
                      <w:szCs w:val="16"/>
                      <w:highlight w:val="none"/>
                      <w14:textFill>
                        <w14:solidFill>
                          <w14:schemeClr w14:val="tx1"/>
                        </w14:solidFill>
                      </w14:textFill>
                    </w:rPr>
                    <w:t>CO</w:t>
                  </w:r>
                </w:p>
              </w:tc>
              <w:tc>
                <w:tcPr>
                  <w:tcW w:w="2038" w:type="dxa"/>
                  <w:tcBorders>
                    <w:top w:val="single" w:color="auto" w:sz="8" w:space="0"/>
                    <w:left w:val="single" w:color="auto" w:sz="8" w:space="0"/>
                    <w:bottom w:val="single" w:color="auto" w:sz="8" w:space="0"/>
                    <w:right w:val="single" w:color="auto" w:sz="8" w:space="0"/>
                  </w:tcBorders>
                  <w:vAlign w:val="center"/>
                </w:tcPr>
                <w:p w14:paraId="0DC58736">
                  <w:pPr>
                    <w:pStyle w:val="141"/>
                    <w:spacing w:line="240" w:lineRule="exact"/>
                    <w:rPr>
                      <w:color w:val="000000" w:themeColor="text1"/>
                      <w:sz w:val="21"/>
                      <w:szCs w:val="16"/>
                      <w:highlight w:val="none"/>
                      <w14:textFill>
                        <w14:solidFill>
                          <w14:schemeClr w14:val="tx1"/>
                        </w14:solidFill>
                      </w14:textFill>
                    </w:rPr>
                  </w:pPr>
                  <w:r>
                    <w:rPr>
                      <w:color w:val="000000" w:themeColor="text1"/>
                      <w:sz w:val="21"/>
                      <w:szCs w:val="16"/>
                      <w:highlight w:val="none"/>
                      <w14:textFill>
                        <w14:solidFill>
                          <w14:schemeClr w14:val="tx1"/>
                        </w14:solidFill>
                      </w14:textFill>
                    </w:rPr>
                    <w:t>95百分位日均值</w:t>
                  </w:r>
                </w:p>
              </w:tc>
              <w:tc>
                <w:tcPr>
                  <w:tcW w:w="1528" w:type="dxa"/>
                  <w:tcBorders>
                    <w:top w:val="single" w:color="auto" w:sz="8" w:space="0"/>
                    <w:left w:val="single" w:color="auto" w:sz="8" w:space="0"/>
                    <w:bottom w:val="single" w:color="auto" w:sz="8" w:space="0"/>
                    <w:right w:val="single" w:color="auto" w:sz="8" w:space="0"/>
                  </w:tcBorders>
                  <w:vAlign w:val="center"/>
                </w:tcPr>
                <w:p w14:paraId="6DE0E4DA">
                  <w:pPr>
                    <w:pStyle w:val="141"/>
                    <w:spacing w:line="240" w:lineRule="exact"/>
                    <w:rPr>
                      <w:color w:val="000000" w:themeColor="text1"/>
                      <w:sz w:val="21"/>
                      <w:szCs w:val="16"/>
                      <w:highlight w:val="none"/>
                      <w14:textFill>
                        <w14:solidFill>
                          <w14:schemeClr w14:val="tx1"/>
                        </w14:solidFill>
                      </w14:textFill>
                    </w:rPr>
                  </w:pPr>
                  <w:r>
                    <w:rPr>
                      <w:color w:val="000000" w:themeColor="text1"/>
                      <w:sz w:val="21"/>
                      <w:szCs w:val="16"/>
                      <w:highlight w:val="none"/>
                      <w14:textFill>
                        <w14:solidFill>
                          <w14:schemeClr w14:val="tx1"/>
                        </w14:solidFill>
                      </w14:textFill>
                    </w:rPr>
                    <w:t>0.9mg/m</w:t>
                  </w:r>
                  <w:r>
                    <w:rPr>
                      <w:color w:val="000000" w:themeColor="text1"/>
                      <w:sz w:val="21"/>
                      <w:szCs w:val="16"/>
                      <w:highlight w:val="none"/>
                      <w:vertAlign w:val="superscript"/>
                      <w14:textFill>
                        <w14:solidFill>
                          <w14:schemeClr w14:val="tx1"/>
                        </w14:solidFill>
                      </w14:textFill>
                    </w:rPr>
                    <w:t>3</w:t>
                  </w:r>
                </w:p>
              </w:tc>
              <w:tc>
                <w:tcPr>
                  <w:tcW w:w="1854" w:type="dxa"/>
                  <w:tcBorders>
                    <w:top w:val="single" w:color="auto" w:sz="8" w:space="0"/>
                    <w:left w:val="single" w:color="auto" w:sz="8" w:space="0"/>
                    <w:bottom w:val="single" w:color="auto" w:sz="8" w:space="0"/>
                    <w:right w:val="single" w:color="auto" w:sz="8" w:space="0"/>
                  </w:tcBorders>
                  <w:vAlign w:val="center"/>
                </w:tcPr>
                <w:p w14:paraId="67B86EE9">
                  <w:pPr>
                    <w:pStyle w:val="141"/>
                    <w:spacing w:line="240" w:lineRule="exact"/>
                    <w:rPr>
                      <w:color w:val="000000" w:themeColor="text1"/>
                      <w:sz w:val="21"/>
                      <w:szCs w:val="16"/>
                      <w:highlight w:val="none"/>
                      <w14:textFill>
                        <w14:solidFill>
                          <w14:schemeClr w14:val="tx1"/>
                        </w14:solidFill>
                      </w14:textFill>
                    </w:rPr>
                  </w:pPr>
                  <w:r>
                    <w:rPr>
                      <w:color w:val="000000" w:themeColor="text1"/>
                      <w:sz w:val="21"/>
                      <w:szCs w:val="16"/>
                      <w:highlight w:val="none"/>
                      <w14:textFill>
                        <w14:solidFill>
                          <w14:schemeClr w14:val="tx1"/>
                        </w14:solidFill>
                      </w14:textFill>
                    </w:rPr>
                    <w:t>4mg/m</w:t>
                  </w:r>
                  <w:r>
                    <w:rPr>
                      <w:color w:val="000000" w:themeColor="text1"/>
                      <w:sz w:val="21"/>
                      <w:szCs w:val="16"/>
                      <w:highlight w:val="none"/>
                      <w:vertAlign w:val="superscript"/>
                      <w14:textFill>
                        <w14:solidFill>
                          <w14:schemeClr w14:val="tx1"/>
                        </w14:solidFill>
                      </w14:textFill>
                    </w:rPr>
                    <w:t>3</w:t>
                  </w:r>
                </w:p>
              </w:tc>
              <w:tc>
                <w:tcPr>
                  <w:tcW w:w="1334" w:type="dxa"/>
                  <w:tcBorders>
                    <w:top w:val="single" w:color="auto" w:sz="8" w:space="0"/>
                    <w:left w:val="single" w:color="auto" w:sz="8" w:space="0"/>
                    <w:bottom w:val="single" w:color="auto" w:sz="8" w:space="0"/>
                    <w:right w:val="single" w:color="auto" w:sz="8" w:space="0"/>
                  </w:tcBorders>
                  <w:vAlign w:val="center"/>
                </w:tcPr>
                <w:p w14:paraId="2983DA41">
                  <w:pPr>
                    <w:pStyle w:val="141"/>
                    <w:spacing w:line="240" w:lineRule="exact"/>
                    <w:rPr>
                      <w:color w:val="000000" w:themeColor="text1"/>
                      <w:sz w:val="21"/>
                      <w:szCs w:val="16"/>
                      <w:highlight w:val="none"/>
                      <w14:textFill>
                        <w14:solidFill>
                          <w14:schemeClr w14:val="tx1"/>
                        </w14:solidFill>
                      </w14:textFill>
                    </w:rPr>
                  </w:pPr>
                  <w:r>
                    <w:rPr>
                      <w:color w:val="000000" w:themeColor="text1"/>
                      <w:sz w:val="21"/>
                      <w:szCs w:val="16"/>
                      <w:highlight w:val="none"/>
                      <w14:textFill>
                        <w14:solidFill>
                          <w14:schemeClr w14:val="tx1"/>
                        </w14:solidFill>
                      </w14:textFill>
                    </w:rPr>
                    <w:t>4mg/m</w:t>
                  </w:r>
                  <w:r>
                    <w:rPr>
                      <w:color w:val="000000" w:themeColor="text1"/>
                      <w:sz w:val="21"/>
                      <w:szCs w:val="16"/>
                      <w:highlight w:val="none"/>
                      <w:vertAlign w:val="superscript"/>
                      <w14:textFill>
                        <w14:solidFill>
                          <w14:schemeClr w14:val="tx1"/>
                        </w14:solidFill>
                      </w14:textFill>
                    </w:rPr>
                    <w:t>3</w:t>
                  </w:r>
                </w:p>
              </w:tc>
              <w:tc>
                <w:tcPr>
                  <w:tcW w:w="889" w:type="dxa"/>
                  <w:tcBorders>
                    <w:top w:val="single" w:color="auto" w:sz="8" w:space="0"/>
                    <w:left w:val="single" w:color="auto" w:sz="8" w:space="0"/>
                    <w:bottom w:val="single" w:color="auto" w:sz="8" w:space="0"/>
                    <w:right w:val="nil"/>
                  </w:tcBorders>
                  <w:vAlign w:val="center"/>
                </w:tcPr>
                <w:p w14:paraId="4258C1E2">
                  <w:pPr>
                    <w:pStyle w:val="141"/>
                    <w:spacing w:line="240" w:lineRule="exact"/>
                    <w:rPr>
                      <w:rFonts w:hint="eastAsia"/>
                      <w:color w:val="000000" w:themeColor="text1"/>
                      <w:sz w:val="21"/>
                      <w:szCs w:val="16"/>
                      <w:highlight w:val="none"/>
                      <w:lang w:val="en-US" w:eastAsia="zh-CN"/>
                      <w14:textFill>
                        <w14:solidFill>
                          <w14:schemeClr w14:val="tx1"/>
                        </w14:solidFill>
                      </w14:textFill>
                    </w:rPr>
                  </w:pPr>
                  <w:r>
                    <w:rPr>
                      <w:rFonts w:hint="eastAsia"/>
                      <w:color w:val="000000" w:themeColor="text1"/>
                      <w:sz w:val="21"/>
                      <w:szCs w:val="16"/>
                      <w:highlight w:val="none"/>
                      <w:lang w:val="en-US" w:eastAsia="zh-CN"/>
                      <w14:textFill>
                        <w14:solidFill>
                          <w14:schemeClr w14:val="tx1"/>
                        </w14:solidFill>
                      </w14:textFill>
                    </w:rPr>
                    <w:t>达标</w:t>
                  </w:r>
                </w:p>
              </w:tc>
            </w:tr>
            <w:tr w14:paraId="0A88A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35" w:type="dxa"/>
                  <w:tcBorders>
                    <w:top w:val="single" w:color="auto" w:sz="8" w:space="0"/>
                    <w:left w:val="nil"/>
                    <w:bottom w:val="single" w:color="auto" w:sz="12" w:space="0"/>
                    <w:right w:val="single" w:color="auto" w:sz="8" w:space="0"/>
                  </w:tcBorders>
                  <w:vAlign w:val="center"/>
                </w:tcPr>
                <w:p w14:paraId="0A099600">
                  <w:pPr>
                    <w:pStyle w:val="141"/>
                    <w:spacing w:line="240" w:lineRule="exact"/>
                    <w:rPr>
                      <w:color w:val="000000" w:themeColor="text1"/>
                      <w:sz w:val="21"/>
                      <w:szCs w:val="16"/>
                      <w:highlight w:val="none"/>
                      <w14:textFill>
                        <w14:solidFill>
                          <w14:schemeClr w14:val="tx1"/>
                        </w14:solidFill>
                      </w14:textFill>
                    </w:rPr>
                  </w:pPr>
                  <w:r>
                    <w:rPr>
                      <w:color w:val="000000" w:themeColor="text1"/>
                      <w:sz w:val="21"/>
                      <w:szCs w:val="16"/>
                      <w:highlight w:val="none"/>
                      <w14:textFill>
                        <w14:solidFill>
                          <w14:schemeClr w14:val="tx1"/>
                        </w14:solidFill>
                      </w14:textFill>
                    </w:rPr>
                    <w:t>O</w:t>
                  </w:r>
                  <w:r>
                    <w:rPr>
                      <w:color w:val="000000" w:themeColor="text1"/>
                      <w:sz w:val="21"/>
                      <w:szCs w:val="16"/>
                      <w:highlight w:val="none"/>
                      <w:vertAlign w:val="subscript"/>
                      <w14:textFill>
                        <w14:solidFill>
                          <w14:schemeClr w14:val="tx1"/>
                        </w14:solidFill>
                      </w14:textFill>
                    </w:rPr>
                    <w:t>3</w:t>
                  </w:r>
                </w:p>
              </w:tc>
              <w:tc>
                <w:tcPr>
                  <w:tcW w:w="2038" w:type="dxa"/>
                  <w:tcBorders>
                    <w:top w:val="single" w:color="auto" w:sz="8" w:space="0"/>
                    <w:left w:val="single" w:color="auto" w:sz="8" w:space="0"/>
                    <w:bottom w:val="single" w:color="auto" w:sz="12" w:space="0"/>
                    <w:right w:val="single" w:color="auto" w:sz="8" w:space="0"/>
                  </w:tcBorders>
                  <w:vAlign w:val="center"/>
                </w:tcPr>
                <w:p w14:paraId="2CCC2663">
                  <w:pPr>
                    <w:pStyle w:val="141"/>
                    <w:spacing w:line="240" w:lineRule="exact"/>
                    <w:rPr>
                      <w:color w:val="000000" w:themeColor="text1"/>
                      <w:sz w:val="21"/>
                      <w:szCs w:val="16"/>
                      <w:highlight w:val="none"/>
                      <w14:textFill>
                        <w14:solidFill>
                          <w14:schemeClr w14:val="tx1"/>
                        </w14:solidFill>
                      </w14:textFill>
                    </w:rPr>
                  </w:pPr>
                  <w:r>
                    <w:rPr>
                      <w:color w:val="000000" w:themeColor="text1"/>
                      <w:sz w:val="21"/>
                      <w:szCs w:val="16"/>
                      <w:highlight w:val="none"/>
                      <w14:textFill>
                        <w14:solidFill>
                          <w14:schemeClr w14:val="tx1"/>
                        </w14:solidFill>
                      </w14:textFill>
                    </w:rPr>
                    <w:t>90百分位最大8小时滑动平均值</w:t>
                  </w:r>
                </w:p>
              </w:tc>
              <w:tc>
                <w:tcPr>
                  <w:tcW w:w="1528" w:type="dxa"/>
                  <w:tcBorders>
                    <w:top w:val="single" w:color="auto" w:sz="8" w:space="0"/>
                    <w:left w:val="single" w:color="auto" w:sz="8" w:space="0"/>
                    <w:bottom w:val="single" w:color="auto" w:sz="12" w:space="0"/>
                    <w:right w:val="single" w:color="auto" w:sz="8" w:space="0"/>
                  </w:tcBorders>
                  <w:vAlign w:val="center"/>
                </w:tcPr>
                <w:p w14:paraId="2EE97A22">
                  <w:pPr>
                    <w:pStyle w:val="141"/>
                    <w:spacing w:line="240" w:lineRule="exact"/>
                    <w:rPr>
                      <w:rFonts w:hint="default" w:eastAsia="宋体"/>
                      <w:color w:val="000000" w:themeColor="text1"/>
                      <w:sz w:val="21"/>
                      <w:szCs w:val="16"/>
                      <w:highlight w:val="none"/>
                      <w:lang w:val="en-US" w:eastAsia="zh-CN"/>
                      <w14:textFill>
                        <w14:solidFill>
                          <w14:schemeClr w14:val="tx1"/>
                        </w14:solidFill>
                      </w14:textFill>
                    </w:rPr>
                  </w:pPr>
                  <w:r>
                    <w:rPr>
                      <w:rFonts w:hint="eastAsia"/>
                      <w:color w:val="000000" w:themeColor="text1"/>
                      <w:sz w:val="21"/>
                      <w:szCs w:val="16"/>
                      <w:highlight w:val="none"/>
                      <w14:textFill>
                        <w14:solidFill>
                          <w14:schemeClr w14:val="tx1"/>
                        </w14:solidFill>
                      </w14:textFill>
                    </w:rPr>
                    <w:t>1</w:t>
                  </w:r>
                  <w:r>
                    <w:rPr>
                      <w:rFonts w:hint="eastAsia"/>
                      <w:color w:val="000000" w:themeColor="text1"/>
                      <w:sz w:val="21"/>
                      <w:szCs w:val="16"/>
                      <w:highlight w:val="none"/>
                      <w:lang w:val="en-US" w:eastAsia="zh-CN"/>
                      <w14:textFill>
                        <w14:solidFill>
                          <w14:schemeClr w14:val="tx1"/>
                        </w14:solidFill>
                      </w14:textFill>
                    </w:rPr>
                    <w:t>59</w:t>
                  </w:r>
                </w:p>
              </w:tc>
              <w:tc>
                <w:tcPr>
                  <w:tcW w:w="1854" w:type="dxa"/>
                  <w:tcBorders>
                    <w:top w:val="single" w:color="auto" w:sz="8" w:space="0"/>
                    <w:left w:val="single" w:color="auto" w:sz="8" w:space="0"/>
                    <w:bottom w:val="single" w:color="auto" w:sz="12" w:space="0"/>
                    <w:right w:val="single" w:color="auto" w:sz="8" w:space="0"/>
                  </w:tcBorders>
                  <w:vAlign w:val="center"/>
                </w:tcPr>
                <w:p w14:paraId="4DFF3FD8">
                  <w:pPr>
                    <w:pStyle w:val="141"/>
                    <w:spacing w:line="240" w:lineRule="exact"/>
                    <w:rPr>
                      <w:color w:val="000000" w:themeColor="text1"/>
                      <w:sz w:val="21"/>
                      <w:szCs w:val="16"/>
                      <w:highlight w:val="none"/>
                      <w14:textFill>
                        <w14:solidFill>
                          <w14:schemeClr w14:val="tx1"/>
                        </w14:solidFill>
                      </w14:textFill>
                    </w:rPr>
                  </w:pPr>
                  <w:r>
                    <w:rPr>
                      <w:rFonts w:hint="eastAsia"/>
                      <w:color w:val="000000" w:themeColor="text1"/>
                      <w:sz w:val="21"/>
                      <w:szCs w:val="16"/>
                      <w:highlight w:val="none"/>
                      <w:lang w:val="en-US" w:eastAsia="zh-CN"/>
                      <w14:textFill>
                        <w14:solidFill>
                          <w14:schemeClr w14:val="tx1"/>
                        </w14:solidFill>
                      </w14:textFill>
                    </w:rPr>
                    <w:t>160</w:t>
                  </w:r>
                </w:p>
              </w:tc>
              <w:tc>
                <w:tcPr>
                  <w:tcW w:w="1334" w:type="dxa"/>
                  <w:tcBorders>
                    <w:top w:val="single" w:color="auto" w:sz="8" w:space="0"/>
                    <w:left w:val="single" w:color="auto" w:sz="8" w:space="0"/>
                    <w:bottom w:val="single" w:color="auto" w:sz="12" w:space="0"/>
                    <w:right w:val="single" w:color="auto" w:sz="8" w:space="0"/>
                  </w:tcBorders>
                  <w:vAlign w:val="center"/>
                </w:tcPr>
                <w:p w14:paraId="544124F9">
                  <w:pPr>
                    <w:pStyle w:val="141"/>
                    <w:spacing w:line="240" w:lineRule="exact"/>
                    <w:rPr>
                      <w:rFonts w:hint="default" w:eastAsia="宋体"/>
                      <w:color w:val="000000" w:themeColor="text1"/>
                      <w:sz w:val="21"/>
                      <w:szCs w:val="16"/>
                      <w:highlight w:val="none"/>
                      <w:lang w:val="en-US" w:eastAsia="zh-CN"/>
                      <w14:textFill>
                        <w14:solidFill>
                          <w14:schemeClr w14:val="tx1"/>
                        </w14:solidFill>
                      </w14:textFill>
                    </w:rPr>
                  </w:pPr>
                  <w:r>
                    <w:rPr>
                      <w:color w:val="000000" w:themeColor="text1"/>
                      <w:sz w:val="21"/>
                      <w:szCs w:val="16"/>
                      <w:highlight w:val="none"/>
                      <w14:textFill>
                        <w14:solidFill>
                          <w14:schemeClr w14:val="tx1"/>
                        </w14:solidFill>
                      </w14:textFill>
                    </w:rPr>
                    <w:t>160</w:t>
                  </w:r>
                </w:p>
              </w:tc>
              <w:tc>
                <w:tcPr>
                  <w:tcW w:w="889" w:type="dxa"/>
                  <w:tcBorders>
                    <w:top w:val="single" w:color="auto" w:sz="8" w:space="0"/>
                    <w:left w:val="single" w:color="auto" w:sz="8" w:space="0"/>
                    <w:bottom w:val="single" w:color="auto" w:sz="12" w:space="0"/>
                    <w:right w:val="nil"/>
                  </w:tcBorders>
                  <w:vAlign w:val="center"/>
                </w:tcPr>
                <w:p w14:paraId="623446B0">
                  <w:pPr>
                    <w:pStyle w:val="141"/>
                    <w:spacing w:line="240" w:lineRule="exact"/>
                    <w:rPr>
                      <w:rFonts w:hint="eastAsia"/>
                      <w:color w:val="000000" w:themeColor="text1"/>
                      <w:sz w:val="21"/>
                      <w:szCs w:val="16"/>
                      <w:highlight w:val="none"/>
                      <w:lang w:val="en-US" w:eastAsia="zh-CN"/>
                      <w14:textFill>
                        <w14:solidFill>
                          <w14:schemeClr w14:val="tx1"/>
                        </w14:solidFill>
                      </w14:textFill>
                    </w:rPr>
                  </w:pPr>
                  <w:r>
                    <w:rPr>
                      <w:rFonts w:hint="eastAsia"/>
                      <w:color w:val="000000" w:themeColor="text1"/>
                      <w:sz w:val="21"/>
                      <w:szCs w:val="16"/>
                      <w:highlight w:val="none"/>
                      <w:lang w:val="en-US" w:eastAsia="zh-CN"/>
                      <w14:textFill>
                        <w14:solidFill>
                          <w14:schemeClr w14:val="tx1"/>
                        </w14:solidFill>
                      </w14:textFill>
                    </w:rPr>
                    <w:t>达标</w:t>
                  </w:r>
                </w:p>
              </w:tc>
            </w:tr>
          </w:tbl>
          <w:p w14:paraId="5FDF69D3">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由上表可见，该地区PM</w:t>
            </w:r>
            <w:r>
              <w:rPr>
                <w:color w:val="000000" w:themeColor="text1"/>
                <w:sz w:val="24"/>
                <w:highlight w:val="none"/>
                <w:vertAlign w:val="subscript"/>
                <w14:textFill>
                  <w14:solidFill>
                    <w14:schemeClr w14:val="tx1"/>
                  </w14:solidFill>
                </w14:textFill>
              </w:rPr>
              <w:t>10</w:t>
            </w:r>
            <w:r>
              <w:rPr>
                <w:color w:val="000000" w:themeColor="text1"/>
                <w:sz w:val="24"/>
                <w:highlight w:val="none"/>
                <w14:textFill>
                  <w14:solidFill>
                    <w14:schemeClr w14:val="tx1"/>
                  </w14:solidFill>
                </w14:textFill>
              </w:rPr>
              <w:t>、SO</w:t>
            </w:r>
            <w:r>
              <w:rPr>
                <w:color w:val="000000" w:themeColor="text1"/>
                <w:sz w:val="24"/>
                <w:highlight w:val="none"/>
                <w:vertAlign w:val="subscript"/>
                <w14:textFill>
                  <w14:solidFill>
                    <w14:schemeClr w14:val="tx1"/>
                  </w14:solidFill>
                </w14:textFill>
              </w:rPr>
              <w:t>2</w:t>
            </w:r>
            <w:r>
              <w:rPr>
                <w:color w:val="000000" w:themeColor="text1"/>
                <w:sz w:val="24"/>
                <w:highlight w:val="none"/>
                <w14:textFill>
                  <w14:solidFill>
                    <w14:schemeClr w14:val="tx1"/>
                  </w14:solidFill>
                </w14:textFill>
              </w:rPr>
              <w:t>、CO、NO</w:t>
            </w:r>
            <w:r>
              <w:rPr>
                <w:color w:val="000000" w:themeColor="text1"/>
                <w:sz w:val="24"/>
                <w:highlight w:val="none"/>
                <w:vertAlign w:val="subscript"/>
                <w14:textFill>
                  <w14:solidFill>
                    <w14:schemeClr w14:val="tx1"/>
                  </w14:solidFill>
                </w14:textFill>
              </w:rPr>
              <w:t>2</w:t>
            </w:r>
            <w:r>
              <w:rPr>
                <w:color w:val="000000" w:themeColor="text1"/>
                <w:sz w:val="24"/>
                <w:highlight w:val="none"/>
                <w14:textFill>
                  <w14:solidFill>
                    <w14:schemeClr w14:val="tx1"/>
                  </w14:solidFill>
                </w14:textFill>
              </w:rPr>
              <w:t>、PM</w:t>
            </w:r>
            <w:r>
              <w:rPr>
                <w:color w:val="000000" w:themeColor="text1"/>
                <w:sz w:val="24"/>
                <w:highlight w:val="none"/>
                <w:vertAlign w:val="subscript"/>
                <w14:textFill>
                  <w14:solidFill>
                    <w14:schemeClr w14:val="tx1"/>
                  </w14:solidFill>
                </w14:textFill>
              </w:rPr>
              <w:t>2.5</w:t>
            </w:r>
            <w:r>
              <w:rPr>
                <w:color w:val="000000" w:themeColor="text1"/>
                <w:sz w:val="24"/>
                <w:highlight w:val="none"/>
                <w14:textFill>
                  <w14:solidFill>
                    <w14:schemeClr w14:val="tx1"/>
                  </w14:solidFill>
                </w14:textFill>
              </w:rPr>
              <w:t>、O</w:t>
            </w:r>
            <w:r>
              <w:rPr>
                <w:color w:val="000000" w:themeColor="text1"/>
                <w:sz w:val="24"/>
                <w:highlight w:val="none"/>
                <w:vertAlign w:val="subscript"/>
                <w14:textFill>
                  <w14:solidFill>
                    <w14:schemeClr w14:val="tx1"/>
                  </w14:solidFill>
                </w14:textFill>
              </w:rPr>
              <w:t>3</w:t>
            </w:r>
            <w:r>
              <w:rPr>
                <w:color w:val="000000" w:themeColor="text1"/>
                <w:sz w:val="24"/>
                <w:highlight w:val="none"/>
                <w14:textFill>
                  <w14:solidFill>
                    <w14:schemeClr w14:val="tx1"/>
                  </w14:solidFill>
                </w14:textFill>
              </w:rPr>
              <w:t>年均值均满足《环境空气质量标准》（</w:t>
            </w:r>
            <w:r>
              <w:rPr>
                <w:rFonts w:hint="eastAsia"/>
                <w:color w:val="000000" w:themeColor="text1"/>
                <w:sz w:val="24"/>
                <w:highlight w:val="none"/>
                <w:lang w:eastAsia="zh-CN"/>
                <w14:textFill>
                  <w14:solidFill>
                    <w14:schemeClr w14:val="tx1"/>
                  </w14:solidFill>
                </w14:textFill>
              </w:rPr>
              <w:t>GB3095-2026</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过渡阶段浓度限值</w:t>
            </w:r>
            <w:r>
              <w:rPr>
                <w:color w:val="000000" w:themeColor="text1"/>
                <w:sz w:val="24"/>
                <w:highlight w:val="none"/>
                <w14:textFill>
                  <w14:solidFill>
                    <w14:schemeClr w14:val="tx1"/>
                  </w14:solidFill>
                </w14:textFill>
              </w:rPr>
              <w:t>二级标准要求，南京市为达标区。</w:t>
            </w:r>
          </w:p>
          <w:p w14:paraId="611B981B">
            <w:pPr>
              <w:shd w:val="clea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r>
              <w:rPr>
                <w:color w:val="000000" w:themeColor="text1"/>
                <w:sz w:val="24"/>
                <w:highlight w:val="none"/>
                <w:lang w:val="zh-CN"/>
                <w14:textFill>
                  <w14:solidFill>
                    <w14:schemeClr w14:val="tx1"/>
                  </w14:solidFill>
                </w14:textFill>
              </w:rPr>
              <w:t>特征</w:t>
            </w:r>
            <w:r>
              <w:rPr>
                <w:color w:val="000000" w:themeColor="text1"/>
                <w:sz w:val="24"/>
                <w:highlight w:val="none"/>
                <w14:textFill>
                  <w14:solidFill>
                    <w14:schemeClr w14:val="tx1"/>
                  </w14:solidFill>
                </w14:textFill>
              </w:rPr>
              <w:t>污染物</w:t>
            </w:r>
          </w:p>
          <w:p w14:paraId="6144CC7A">
            <w:pPr>
              <w:shd w:val="clear"/>
              <w:adjustRightInd w:val="0"/>
              <w:snapToGrid w:val="0"/>
              <w:spacing w:line="440" w:lineRule="exact"/>
              <w:ind w:firstLine="480" w:firstLineChars="200"/>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本项目引用的监测因子为非甲烷总烃</w:t>
            </w:r>
            <w:r>
              <w:rPr>
                <w:rFonts w:hint="eastAsia"/>
                <w:color w:val="000000" w:themeColor="text1"/>
                <w:sz w:val="24"/>
                <w:highlight w:val="none"/>
                <w14:textFill>
                  <w14:solidFill>
                    <w14:schemeClr w14:val="tx1"/>
                  </w14:solidFill>
                </w14:textFill>
              </w:rPr>
              <w:t>、TSP</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本次评价引用南京力升动力科技有限公司环境空气检测结果，报告编号：MST20240909020-1，点位名称G1上穆村，该点位位于本项目厂区西南方向约</w:t>
            </w:r>
            <w:r>
              <w:rPr>
                <w:rFonts w:hint="eastAsia"/>
                <w:color w:val="000000" w:themeColor="text1"/>
                <w:sz w:val="24"/>
                <w:highlight w:val="none"/>
                <w:lang w:val="en-US" w:eastAsia="zh-CN"/>
                <w14:textFill>
                  <w14:solidFill>
                    <w14:schemeClr w14:val="tx1"/>
                  </w14:solidFill>
                </w14:textFill>
              </w:rPr>
              <w:t>4.5</w:t>
            </w:r>
            <w:r>
              <w:rPr>
                <w:rFonts w:hint="eastAsia"/>
                <w:color w:val="000000" w:themeColor="text1"/>
                <w:sz w:val="24"/>
                <w:highlight w:val="none"/>
                <w14:textFill>
                  <w14:solidFill>
                    <w14:schemeClr w14:val="tx1"/>
                  </w14:solidFill>
                </w14:textFill>
              </w:rPr>
              <w:t>km，监测时间为2024年</w:t>
            </w:r>
            <w:r>
              <w:rPr>
                <w:rFonts w:hint="eastAsia"/>
                <w:color w:val="000000" w:themeColor="text1"/>
                <w:sz w:val="24"/>
                <w:highlight w:val="none"/>
                <w:lang w:val="en-US" w:eastAsia="zh-CN"/>
                <w14:textFill>
                  <w14:solidFill>
                    <w14:schemeClr w14:val="tx1"/>
                  </w14:solidFill>
                </w14:textFill>
              </w:rPr>
              <w:t>9</w:t>
            </w:r>
            <w:r>
              <w:rPr>
                <w:rFonts w:hint="eastAsia"/>
                <w:color w:val="000000" w:themeColor="text1"/>
                <w:sz w:val="24"/>
                <w:highlight w:val="none"/>
                <w14:textFill>
                  <w14:solidFill>
                    <w14:schemeClr w14:val="tx1"/>
                  </w14:solidFill>
                </w14:textFill>
              </w:rPr>
              <w:t>月</w:t>
            </w:r>
            <w:r>
              <w:rPr>
                <w:rFonts w:hint="eastAsia"/>
                <w:color w:val="000000" w:themeColor="text1"/>
                <w:sz w:val="24"/>
                <w:highlight w:val="none"/>
                <w:lang w:val="en-US" w:eastAsia="zh-CN"/>
                <w14:textFill>
                  <w14:solidFill>
                    <w14:schemeClr w14:val="tx1"/>
                  </w14:solidFill>
                </w14:textFill>
              </w:rPr>
              <w:t>17</w:t>
            </w:r>
            <w:r>
              <w:rPr>
                <w:rFonts w:hint="eastAsia"/>
                <w:color w:val="000000" w:themeColor="text1"/>
                <w:sz w:val="24"/>
                <w:highlight w:val="none"/>
                <w14:textFill>
                  <w14:solidFill>
                    <w14:schemeClr w14:val="tx1"/>
                  </w14:solidFill>
                </w14:textFill>
              </w:rPr>
              <w:t>日-</w:t>
            </w:r>
            <w:r>
              <w:rPr>
                <w:rFonts w:hint="eastAsia"/>
                <w:color w:val="000000" w:themeColor="text1"/>
                <w:sz w:val="24"/>
                <w:highlight w:val="none"/>
                <w:lang w:val="en-US" w:eastAsia="zh-CN"/>
                <w14:textFill>
                  <w14:solidFill>
                    <w14:schemeClr w14:val="tx1"/>
                  </w14:solidFill>
                </w14:textFill>
              </w:rPr>
              <w:t>24</w:t>
            </w:r>
            <w:r>
              <w:rPr>
                <w:rFonts w:hint="eastAsia"/>
                <w:color w:val="000000" w:themeColor="text1"/>
                <w:sz w:val="24"/>
                <w:highlight w:val="none"/>
                <w14:textFill>
                  <w14:solidFill>
                    <w14:schemeClr w14:val="tx1"/>
                  </w14:solidFill>
                </w14:textFill>
              </w:rPr>
              <w:t>日。</w:t>
            </w:r>
          </w:p>
          <w:p w14:paraId="691902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b/>
                <w:bCs/>
                <w:color w:val="000000" w:themeColor="text1"/>
                <w:sz w:val="24"/>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370830" cy="4011930"/>
                  <wp:effectExtent l="0" t="0" r="1270" b="7620"/>
                  <wp:docPr id="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pic:cNvPicPr>
                            <a:picLocks noChangeAspect="1"/>
                          </pic:cNvPicPr>
                        </pic:nvPicPr>
                        <pic:blipFill>
                          <a:blip r:embed="rId22"/>
                          <a:stretch>
                            <a:fillRect/>
                          </a:stretch>
                        </pic:blipFill>
                        <pic:spPr>
                          <a:xfrm>
                            <a:off x="0" y="0"/>
                            <a:ext cx="5370830" cy="4011930"/>
                          </a:xfrm>
                          <a:prstGeom prst="rect">
                            <a:avLst/>
                          </a:prstGeom>
                          <a:noFill/>
                          <a:ln>
                            <a:noFill/>
                          </a:ln>
                        </pic:spPr>
                      </pic:pic>
                    </a:graphicData>
                  </a:graphic>
                </wp:inline>
              </w:drawing>
            </w:r>
          </w:p>
          <w:p w14:paraId="2FB05D69">
            <w:pPr>
              <w:keepNext w:val="0"/>
              <w:keepLines w:val="0"/>
              <w:suppressLineNumbers w:val="0"/>
              <w:adjustRightInd w:val="0"/>
              <w:snapToGrid w:val="0"/>
              <w:spacing w:before="0" w:beforeAutospacing="0" w:after="0" w:afterAutospacing="0" w:line="440" w:lineRule="exact"/>
              <w:ind w:left="0" w:right="0"/>
              <w:jc w:val="center"/>
              <w:rPr>
                <w:rFonts w:hint="default"/>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图3-1</w:t>
            </w:r>
            <w:r>
              <w:rPr>
                <w:rFonts w:hint="eastAsia"/>
                <w:b/>
                <w:bCs/>
                <w:color w:val="000000" w:themeColor="text1"/>
                <w:sz w:val="24"/>
                <w:highlight w:val="none"/>
                <w:lang w:val="en-US" w:eastAsia="zh-CN"/>
                <w14:textFill>
                  <w14:solidFill>
                    <w14:schemeClr w14:val="tx1"/>
                  </w14:solidFill>
                </w14:textFill>
              </w:rPr>
              <w:t xml:space="preserve">  </w:t>
            </w:r>
            <w:r>
              <w:rPr>
                <w:rFonts w:hint="eastAsia"/>
                <w:b/>
                <w:bCs/>
                <w:color w:val="000000" w:themeColor="text1"/>
                <w:sz w:val="24"/>
                <w:highlight w:val="none"/>
                <w14:textFill>
                  <w14:solidFill>
                    <w14:schemeClr w14:val="tx1"/>
                  </w14:solidFill>
                </w14:textFill>
              </w:rPr>
              <w:t>项目监测点位图</w:t>
            </w:r>
          </w:p>
          <w:p w14:paraId="75064D13">
            <w:pPr>
              <w:adjustRightInd w:val="0"/>
              <w:snapToGrid w:val="0"/>
              <w:spacing w:line="440" w:lineRule="exact"/>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2）监测结果及评价</w:t>
            </w:r>
          </w:p>
          <w:p w14:paraId="2A1DA541">
            <w:pPr>
              <w:adjustRightInd w:val="0"/>
              <w:snapToGrid w:val="0"/>
              <w:spacing w:line="440" w:lineRule="exact"/>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环境空气质量现状监测结果见表3-2。</w:t>
            </w:r>
          </w:p>
          <w:p w14:paraId="49959D94">
            <w:pPr>
              <w:spacing w:line="440" w:lineRule="exact"/>
              <w:jc w:val="center"/>
              <w:rPr>
                <w:b/>
                <w:bCs/>
                <w:color w:val="000000" w:themeColor="text1"/>
                <w:sz w:val="24"/>
                <w:highlight w:val="none"/>
                <w:lang w:val="zh-CN"/>
                <w14:textFill>
                  <w14:solidFill>
                    <w14:schemeClr w14:val="tx1"/>
                  </w14:solidFill>
                </w14:textFill>
              </w:rPr>
            </w:pPr>
            <w:r>
              <w:rPr>
                <w:b/>
                <w:bCs/>
                <w:color w:val="000000" w:themeColor="text1"/>
                <w:sz w:val="24"/>
                <w:highlight w:val="none"/>
                <w:lang w:val="zh-CN"/>
                <w14:textFill>
                  <w14:solidFill>
                    <w14:schemeClr w14:val="tx1"/>
                  </w14:solidFill>
                </w14:textFill>
              </w:rPr>
              <w:t>表</w:t>
            </w:r>
            <w:r>
              <w:rPr>
                <w:rFonts w:hint="eastAsia"/>
                <w:b/>
                <w:bCs/>
                <w:color w:val="000000" w:themeColor="text1"/>
                <w:sz w:val="24"/>
                <w:highlight w:val="none"/>
                <w:lang w:val="zh-CN"/>
                <w14:textFill>
                  <w14:solidFill>
                    <w14:schemeClr w14:val="tx1"/>
                  </w14:solidFill>
                </w14:textFill>
              </w:rPr>
              <w:t>3</w:t>
            </w:r>
            <w:r>
              <w:rPr>
                <w:b/>
                <w:bCs/>
                <w:color w:val="000000" w:themeColor="text1"/>
                <w:sz w:val="24"/>
                <w:highlight w:val="none"/>
                <w:lang w:val="zh-CN"/>
                <w14:textFill>
                  <w14:solidFill>
                    <w14:schemeClr w14:val="tx1"/>
                  </w14:solidFill>
                </w14:textFill>
              </w:rPr>
              <w:t>-</w:t>
            </w:r>
            <w:r>
              <w:rPr>
                <w:rFonts w:hint="eastAsia"/>
                <w:b/>
                <w:bCs/>
                <w:color w:val="000000" w:themeColor="text1"/>
                <w:sz w:val="24"/>
                <w:highlight w:val="none"/>
                <w:lang w:val="zh-CN"/>
                <w14:textFill>
                  <w14:solidFill>
                    <w14:schemeClr w14:val="tx1"/>
                  </w14:solidFill>
                </w14:textFill>
              </w:rPr>
              <w:t>2</w:t>
            </w:r>
            <w:r>
              <w:rPr>
                <w:rFonts w:hint="eastAsia"/>
                <w:b/>
                <w:bCs/>
                <w:color w:val="000000" w:themeColor="text1"/>
                <w:sz w:val="24"/>
                <w:highlight w:val="none"/>
                <w14:textFill>
                  <w14:solidFill>
                    <w14:schemeClr w14:val="tx1"/>
                  </w14:solidFill>
                </w14:textFill>
              </w:rPr>
              <w:t xml:space="preserve"> </w:t>
            </w:r>
            <w:r>
              <w:rPr>
                <w:rFonts w:hint="eastAsia"/>
                <w:b/>
                <w:bCs/>
                <w:color w:val="000000" w:themeColor="text1"/>
                <w:sz w:val="24"/>
                <w:highlight w:val="none"/>
                <w:lang w:val="en-US" w:eastAsia="zh-CN"/>
                <w14:textFill>
                  <w14:solidFill>
                    <w14:schemeClr w14:val="tx1"/>
                  </w14:solidFill>
                </w14:textFill>
              </w:rPr>
              <w:t xml:space="preserve"> </w:t>
            </w:r>
            <w:r>
              <w:rPr>
                <w:rFonts w:hint="eastAsia"/>
                <w:b/>
                <w:bCs/>
                <w:color w:val="000000" w:themeColor="text1"/>
                <w:sz w:val="24"/>
                <w:highlight w:val="none"/>
                <w14:textFill>
                  <w14:solidFill>
                    <w14:schemeClr w14:val="tx1"/>
                  </w14:solidFill>
                </w14:textFill>
              </w:rPr>
              <w:t>特征</w:t>
            </w:r>
            <w:r>
              <w:rPr>
                <w:b/>
                <w:bCs/>
                <w:color w:val="000000" w:themeColor="text1"/>
                <w:sz w:val="24"/>
                <w:highlight w:val="none"/>
                <w:lang w:val="zh-CN"/>
                <w14:textFill>
                  <w14:solidFill>
                    <w14:schemeClr w14:val="tx1"/>
                  </w14:solidFill>
                </w14:textFill>
              </w:rPr>
              <w:t>污染物环境空气质量现状监测结果</w:t>
            </w:r>
          </w:p>
          <w:tbl>
            <w:tblPr>
              <w:tblStyle w:val="38"/>
              <w:tblW w:w="838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900"/>
              <w:gridCol w:w="1348"/>
              <w:gridCol w:w="799"/>
              <w:gridCol w:w="1266"/>
              <w:gridCol w:w="1444"/>
              <w:gridCol w:w="1155"/>
              <w:gridCol w:w="752"/>
              <w:gridCol w:w="724"/>
            </w:tblGrid>
            <w:tr w14:paraId="25EE96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00" w:type="dxa"/>
                  <w:vMerge w:val="restart"/>
                  <w:tcBorders>
                    <w:tl2br w:val="nil"/>
                    <w:tr2bl w:val="nil"/>
                  </w:tcBorders>
                  <w:vAlign w:val="center"/>
                </w:tcPr>
                <w:p w14:paraId="0BCB1CF9">
                  <w:pPr>
                    <w:pStyle w:val="141"/>
                    <w:spacing w:line="240" w:lineRule="exact"/>
                    <w:rPr>
                      <w:b/>
                      <w:bCs/>
                      <w:color w:val="000000" w:themeColor="text1"/>
                      <w:sz w:val="21"/>
                      <w:szCs w:val="16"/>
                      <w:highlight w:val="none"/>
                      <w14:textFill>
                        <w14:solidFill>
                          <w14:schemeClr w14:val="tx1"/>
                        </w14:solidFill>
                      </w14:textFill>
                    </w:rPr>
                  </w:pPr>
                  <w:r>
                    <w:rPr>
                      <w:b/>
                      <w:bCs/>
                      <w:color w:val="000000" w:themeColor="text1"/>
                      <w:sz w:val="21"/>
                      <w:szCs w:val="16"/>
                      <w:highlight w:val="none"/>
                      <w14:textFill>
                        <w14:solidFill>
                          <w14:schemeClr w14:val="tx1"/>
                        </w14:solidFill>
                      </w14:textFill>
                    </w:rPr>
                    <w:t>监测点位</w:t>
                  </w:r>
                </w:p>
              </w:tc>
              <w:tc>
                <w:tcPr>
                  <w:tcW w:w="1348" w:type="dxa"/>
                  <w:vMerge w:val="restart"/>
                  <w:tcBorders>
                    <w:tl2br w:val="nil"/>
                    <w:tr2bl w:val="nil"/>
                  </w:tcBorders>
                  <w:vAlign w:val="center"/>
                </w:tcPr>
                <w:p w14:paraId="0A2326A5">
                  <w:pPr>
                    <w:pStyle w:val="141"/>
                    <w:spacing w:line="240" w:lineRule="exact"/>
                    <w:rPr>
                      <w:b/>
                      <w:bCs/>
                      <w:color w:val="000000" w:themeColor="text1"/>
                      <w:sz w:val="21"/>
                      <w:szCs w:val="16"/>
                      <w:highlight w:val="none"/>
                      <w14:textFill>
                        <w14:solidFill>
                          <w14:schemeClr w14:val="tx1"/>
                        </w14:solidFill>
                      </w14:textFill>
                    </w:rPr>
                  </w:pPr>
                  <w:r>
                    <w:rPr>
                      <w:b/>
                      <w:bCs/>
                      <w:color w:val="000000" w:themeColor="text1"/>
                      <w:sz w:val="21"/>
                      <w:szCs w:val="16"/>
                      <w:highlight w:val="none"/>
                      <w14:textFill>
                        <w14:solidFill>
                          <w14:schemeClr w14:val="tx1"/>
                        </w14:solidFill>
                      </w14:textFill>
                    </w:rPr>
                    <w:t>污染物</w:t>
                  </w:r>
                </w:p>
              </w:tc>
              <w:tc>
                <w:tcPr>
                  <w:tcW w:w="799" w:type="dxa"/>
                  <w:vMerge w:val="restart"/>
                  <w:tcBorders>
                    <w:tl2br w:val="nil"/>
                    <w:tr2bl w:val="nil"/>
                  </w:tcBorders>
                  <w:vAlign w:val="center"/>
                </w:tcPr>
                <w:p w14:paraId="018E4589">
                  <w:pPr>
                    <w:pStyle w:val="141"/>
                    <w:spacing w:line="240" w:lineRule="exact"/>
                    <w:rPr>
                      <w:b/>
                      <w:bCs/>
                      <w:color w:val="000000" w:themeColor="text1"/>
                      <w:sz w:val="21"/>
                      <w:szCs w:val="16"/>
                      <w:highlight w:val="none"/>
                      <w14:textFill>
                        <w14:solidFill>
                          <w14:schemeClr w14:val="tx1"/>
                        </w14:solidFill>
                      </w14:textFill>
                    </w:rPr>
                  </w:pPr>
                  <w:r>
                    <w:rPr>
                      <w:b/>
                      <w:bCs/>
                      <w:color w:val="000000" w:themeColor="text1"/>
                      <w:sz w:val="21"/>
                      <w:szCs w:val="16"/>
                      <w:highlight w:val="none"/>
                      <w14:textFill>
                        <w14:solidFill>
                          <w14:schemeClr w14:val="tx1"/>
                        </w14:solidFill>
                      </w14:textFill>
                    </w:rPr>
                    <w:t>平均时间</w:t>
                  </w:r>
                </w:p>
              </w:tc>
              <w:tc>
                <w:tcPr>
                  <w:tcW w:w="1266" w:type="dxa"/>
                  <w:vMerge w:val="restart"/>
                  <w:tcBorders>
                    <w:tl2br w:val="nil"/>
                    <w:tr2bl w:val="nil"/>
                  </w:tcBorders>
                  <w:vAlign w:val="center"/>
                </w:tcPr>
                <w:p w14:paraId="4A0E5815">
                  <w:pPr>
                    <w:pStyle w:val="141"/>
                    <w:spacing w:line="240" w:lineRule="exact"/>
                    <w:rPr>
                      <w:b/>
                      <w:bCs/>
                      <w:color w:val="000000" w:themeColor="text1"/>
                      <w:sz w:val="21"/>
                      <w:szCs w:val="16"/>
                      <w:highlight w:val="none"/>
                      <w14:textFill>
                        <w14:solidFill>
                          <w14:schemeClr w14:val="tx1"/>
                        </w14:solidFill>
                      </w14:textFill>
                    </w:rPr>
                  </w:pPr>
                  <w:r>
                    <w:rPr>
                      <w:b/>
                      <w:bCs/>
                      <w:color w:val="000000" w:themeColor="text1"/>
                      <w:sz w:val="21"/>
                      <w:szCs w:val="16"/>
                      <w:highlight w:val="none"/>
                      <w14:textFill>
                        <w14:solidFill>
                          <w14:schemeClr w14:val="tx1"/>
                        </w14:solidFill>
                      </w14:textFill>
                    </w:rPr>
                    <w:t>评价标准/（mg/m</w:t>
                  </w:r>
                  <w:r>
                    <w:rPr>
                      <w:b/>
                      <w:bCs/>
                      <w:color w:val="000000" w:themeColor="text1"/>
                      <w:sz w:val="21"/>
                      <w:szCs w:val="16"/>
                      <w:highlight w:val="none"/>
                      <w:vertAlign w:val="superscript"/>
                      <w14:textFill>
                        <w14:solidFill>
                          <w14:schemeClr w14:val="tx1"/>
                        </w14:solidFill>
                      </w14:textFill>
                    </w:rPr>
                    <w:t>3</w:t>
                  </w:r>
                  <w:r>
                    <w:rPr>
                      <w:b/>
                      <w:bCs/>
                      <w:color w:val="000000" w:themeColor="text1"/>
                      <w:sz w:val="21"/>
                      <w:szCs w:val="16"/>
                      <w:highlight w:val="none"/>
                      <w14:textFill>
                        <w14:solidFill>
                          <w14:schemeClr w14:val="tx1"/>
                        </w14:solidFill>
                      </w14:textFill>
                    </w:rPr>
                    <w:t>）</w:t>
                  </w:r>
                </w:p>
              </w:tc>
              <w:tc>
                <w:tcPr>
                  <w:tcW w:w="1444" w:type="dxa"/>
                  <w:vMerge w:val="restart"/>
                  <w:tcBorders>
                    <w:tl2br w:val="nil"/>
                    <w:tr2bl w:val="nil"/>
                  </w:tcBorders>
                  <w:vAlign w:val="center"/>
                </w:tcPr>
                <w:p w14:paraId="23560A21">
                  <w:pPr>
                    <w:pStyle w:val="141"/>
                    <w:spacing w:line="240" w:lineRule="exact"/>
                    <w:rPr>
                      <w:b/>
                      <w:bCs/>
                      <w:color w:val="000000" w:themeColor="text1"/>
                      <w:sz w:val="21"/>
                      <w:szCs w:val="16"/>
                      <w:highlight w:val="none"/>
                      <w14:textFill>
                        <w14:solidFill>
                          <w14:schemeClr w14:val="tx1"/>
                        </w14:solidFill>
                      </w14:textFill>
                    </w:rPr>
                  </w:pPr>
                  <w:r>
                    <w:rPr>
                      <w:b/>
                      <w:bCs/>
                      <w:color w:val="000000" w:themeColor="text1"/>
                      <w:sz w:val="21"/>
                      <w:szCs w:val="16"/>
                      <w:highlight w:val="none"/>
                      <w14:textFill>
                        <w14:solidFill>
                          <w14:schemeClr w14:val="tx1"/>
                        </w14:solidFill>
                      </w14:textFill>
                    </w:rPr>
                    <w:t>监测浓度范围/（mg/m</w:t>
                  </w:r>
                  <w:r>
                    <w:rPr>
                      <w:b/>
                      <w:bCs/>
                      <w:color w:val="000000" w:themeColor="text1"/>
                      <w:sz w:val="21"/>
                      <w:szCs w:val="16"/>
                      <w:highlight w:val="none"/>
                      <w:vertAlign w:val="superscript"/>
                      <w14:textFill>
                        <w14:solidFill>
                          <w14:schemeClr w14:val="tx1"/>
                        </w14:solidFill>
                      </w14:textFill>
                    </w:rPr>
                    <w:t>3</w:t>
                  </w:r>
                  <w:r>
                    <w:rPr>
                      <w:b/>
                      <w:bCs/>
                      <w:color w:val="000000" w:themeColor="text1"/>
                      <w:sz w:val="21"/>
                      <w:szCs w:val="16"/>
                      <w:highlight w:val="none"/>
                      <w14:textFill>
                        <w14:solidFill>
                          <w14:schemeClr w14:val="tx1"/>
                        </w14:solidFill>
                      </w14:textFill>
                    </w:rPr>
                    <w:t>）</w:t>
                  </w:r>
                </w:p>
              </w:tc>
              <w:tc>
                <w:tcPr>
                  <w:tcW w:w="1155" w:type="dxa"/>
                  <w:vMerge w:val="restart"/>
                  <w:tcBorders>
                    <w:tl2br w:val="nil"/>
                    <w:tr2bl w:val="nil"/>
                  </w:tcBorders>
                  <w:vAlign w:val="center"/>
                </w:tcPr>
                <w:p w14:paraId="36CF5387">
                  <w:pPr>
                    <w:pStyle w:val="141"/>
                    <w:spacing w:line="240" w:lineRule="exact"/>
                    <w:rPr>
                      <w:b/>
                      <w:bCs/>
                      <w:color w:val="000000" w:themeColor="text1"/>
                      <w:sz w:val="21"/>
                      <w:szCs w:val="16"/>
                      <w:highlight w:val="none"/>
                      <w14:textFill>
                        <w14:solidFill>
                          <w14:schemeClr w14:val="tx1"/>
                        </w14:solidFill>
                      </w14:textFill>
                    </w:rPr>
                  </w:pPr>
                  <w:r>
                    <w:rPr>
                      <w:b/>
                      <w:bCs/>
                      <w:color w:val="000000" w:themeColor="text1"/>
                      <w:sz w:val="21"/>
                      <w:szCs w:val="16"/>
                      <w:highlight w:val="none"/>
                      <w14:textFill>
                        <w14:solidFill>
                          <w14:schemeClr w14:val="tx1"/>
                        </w14:solidFill>
                      </w14:textFill>
                    </w:rPr>
                    <w:t>最大浓度</w:t>
                  </w:r>
                </w:p>
                <w:p w14:paraId="4AC43D15">
                  <w:pPr>
                    <w:pStyle w:val="141"/>
                    <w:spacing w:line="240" w:lineRule="exact"/>
                    <w:rPr>
                      <w:b/>
                      <w:bCs/>
                      <w:color w:val="000000" w:themeColor="text1"/>
                      <w:sz w:val="21"/>
                      <w:szCs w:val="16"/>
                      <w:highlight w:val="none"/>
                      <w14:textFill>
                        <w14:solidFill>
                          <w14:schemeClr w14:val="tx1"/>
                        </w14:solidFill>
                      </w14:textFill>
                    </w:rPr>
                  </w:pPr>
                  <w:r>
                    <w:rPr>
                      <w:b/>
                      <w:bCs/>
                      <w:color w:val="000000" w:themeColor="text1"/>
                      <w:sz w:val="21"/>
                      <w:szCs w:val="16"/>
                      <w:highlight w:val="none"/>
                      <w14:textFill>
                        <w14:solidFill>
                          <w14:schemeClr w14:val="tx1"/>
                        </w14:solidFill>
                      </w14:textFill>
                    </w:rPr>
                    <w:t>占标率/%</w:t>
                  </w:r>
                </w:p>
              </w:tc>
              <w:tc>
                <w:tcPr>
                  <w:tcW w:w="752" w:type="dxa"/>
                  <w:vMerge w:val="restart"/>
                  <w:tcBorders>
                    <w:tl2br w:val="nil"/>
                    <w:tr2bl w:val="nil"/>
                  </w:tcBorders>
                  <w:vAlign w:val="center"/>
                </w:tcPr>
                <w:p w14:paraId="65681CB4">
                  <w:pPr>
                    <w:pStyle w:val="141"/>
                    <w:spacing w:line="240" w:lineRule="exact"/>
                    <w:rPr>
                      <w:b/>
                      <w:bCs/>
                      <w:color w:val="000000" w:themeColor="text1"/>
                      <w:sz w:val="21"/>
                      <w:szCs w:val="16"/>
                      <w:highlight w:val="none"/>
                      <w14:textFill>
                        <w14:solidFill>
                          <w14:schemeClr w14:val="tx1"/>
                        </w14:solidFill>
                      </w14:textFill>
                    </w:rPr>
                  </w:pPr>
                  <w:r>
                    <w:rPr>
                      <w:b/>
                      <w:bCs/>
                      <w:color w:val="000000" w:themeColor="text1"/>
                      <w:sz w:val="21"/>
                      <w:szCs w:val="16"/>
                      <w:highlight w:val="none"/>
                      <w14:textFill>
                        <w14:solidFill>
                          <w14:schemeClr w14:val="tx1"/>
                        </w14:solidFill>
                      </w14:textFill>
                    </w:rPr>
                    <w:t>超标率/%</w:t>
                  </w:r>
                </w:p>
              </w:tc>
              <w:tc>
                <w:tcPr>
                  <w:tcW w:w="724" w:type="dxa"/>
                  <w:vMerge w:val="restart"/>
                  <w:tcBorders>
                    <w:tl2br w:val="nil"/>
                    <w:tr2bl w:val="nil"/>
                  </w:tcBorders>
                  <w:vAlign w:val="center"/>
                </w:tcPr>
                <w:p w14:paraId="66220991">
                  <w:pPr>
                    <w:pStyle w:val="141"/>
                    <w:spacing w:line="240" w:lineRule="exact"/>
                    <w:rPr>
                      <w:b/>
                      <w:bCs/>
                      <w:color w:val="000000" w:themeColor="text1"/>
                      <w:sz w:val="21"/>
                      <w:szCs w:val="16"/>
                      <w:highlight w:val="none"/>
                      <w14:textFill>
                        <w14:solidFill>
                          <w14:schemeClr w14:val="tx1"/>
                        </w14:solidFill>
                      </w14:textFill>
                    </w:rPr>
                  </w:pPr>
                  <w:r>
                    <w:rPr>
                      <w:b/>
                      <w:bCs/>
                      <w:color w:val="000000" w:themeColor="text1"/>
                      <w:sz w:val="21"/>
                      <w:szCs w:val="16"/>
                      <w:highlight w:val="none"/>
                      <w14:textFill>
                        <w14:solidFill>
                          <w14:schemeClr w14:val="tx1"/>
                        </w14:solidFill>
                      </w14:textFill>
                    </w:rPr>
                    <w:t>达标</w:t>
                  </w:r>
                </w:p>
                <w:p w14:paraId="42D5FA42">
                  <w:pPr>
                    <w:pStyle w:val="141"/>
                    <w:spacing w:line="240" w:lineRule="exact"/>
                    <w:rPr>
                      <w:b/>
                      <w:bCs/>
                      <w:color w:val="000000" w:themeColor="text1"/>
                      <w:sz w:val="21"/>
                      <w:szCs w:val="16"/>
                      <w:highlight w:val="none"/>
                      <w14:textFill>
                        <w14:solidFill>
                          <w14:schemeClr w14:val="tx1"/>
                        </w14:solidFill>
                      </w14:textFill>
                    </w:rPr>
                  </w:pPr>
                  <w:r>
                    <w:rPr>
                      <w:b/>
                      <w:bCs/>
                      <w:color w:val="000000" w:themeColor="text1"/>
                      <w:sz w:val="21"/>
                      <w:szCs w:val="16"/>
                      <w:highlight w:val="none"/>
                      <w14:textFill>
                        <w14:solidFill>
                          <w14:schemeClr w14:val="tx1"/>
                        </w14:solidFill>
                      </w14:textFill>
                    </w:rPr>
                    <w:t>情况</w:t>
                  </w:r>
                </w:p>
              </w:tc>
            </w:tr>
            <w:tr w14:paraId="30D8BD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00" w:type="dxa"/>
                  <w:vMerge w:val="continue"/>
                  <w:tcBorders>
                    <w:tl2br w:val="nil"/>
                    <w:tr2bl w:val="nil"/>
                  </w:tcBorders>
                  <w:vAlign w:val="center"/>
                </w:tcPr>
                <w:p w14:paraId="4D018BBC">
                  <w:pPr>
                    <w:pStyle w:val="141"/>
                    <w:spacing w:line="240" w:lineRule="exact"/>
                    <w:rPr>
                      <w:color w:val="000000" w:themeColor="text1"/>
                      <w:sz w:val="21"/>
                      <w:szCs w:val="16"/>
                      <w:highlight w:val="none"/>
                      <w14:textFill>
                        <w14:solidFill>
                          <w14:schemeClr w14:val="tx1"/>
                        </w14:solidFill>
                      </w14:textFill>
                    </w:rPr>
                  </w:pPr>
                </w:p>
              </w:tc>
              <w:tc>
                <w:tcPr>
                  <w:tcW w:w="1348" w:type="dxa"/>
                  <w:vMerge w:val="continue"/>
                  <w:tcBorders>
                    <w:tl2br w:val="nil"/>
                    <w:tr2bl w:val="nil"/>
                  </w:tcBorders>
                  <w:vAlign w:val="center"/>
                </w:tcPr>
                <w:p w14:paraId="4F5A83C9">
                  <w:pPr>
                    <w:pStyle w:val="141"/>
                    <w:spacing w:line="240" w:lineRule="exact"/>
                    <w:rPr>
                      <w:color w:val="000000" w:themeColor="text1"/>
                      <w:sz w:val="21"/>
                      <w:szCs w:val="16"/>
                      <w:highlight w:val="none"/>
                      <w14:textFill>
                        <w14:solidFill>
                          <w14:schemeClr w14:val="tx1"/>
                        </w14:solidFill>
                      </w14:textFill>
                    </w:rPr>
                  </w:pPr>
                </w:p>
              </w:tc>
              <w:tc>
                <w:tcPr>
                  <w:tcW w:w="799" w:type="dxa"/>
                  <w:vMerge w:val="continue"/>
                  <w:tcBorders>
                    <w:tl2br w:val="nil"/>
                    <w:tr2bl w:val="nil"/>
                  </w:tcBorders>
                  <w:vAlign w:val="center"/>
                </w:tcPr>
                <w:p w14:paraId="5E7EA3B7">
                  <w:pPr>
                    <w:pStyle w:val="141"/>
                    <w:spacing w:line="240" w:lineRule="exact"/>
                    <w:rPr>
                      <w:color w:val="000000" w:themeColor="text1"/>
                      <w:sz w:val="21"/>
                      <w:szCs w:val="16"/>
                      <w:highlight w:val="none"/>
                      <w14:textFill>
                        <w14:solidFill>
                          <w14:schemeClr w14:val="tx1"/>
                        </w14:solidFill>
                      </w14:textFill>
                    </w:rPr>
                  </w:pPr>
                </w:p>
              </w:tc>
              <w:tc>
                <w:tcPr>
                  <w:tcW w:w="1266" w:type="dxa"/>
                  <w:vMerge w:val="continue"/>
                  <w:tcBorders>
                    <w:tl2br w:val="nil"/>
                    <w:tr2bl w:val="nil"/>
                  </w:tcBorders>
                  <w:vAlign w:val="center"/>
                </w:tcPr>
                <w:p w14:paraId="3B5B7A53">
                  <w:pPr>
                    <w:pStyle w:val="141"/>
                    <w:spacing w:line="240" w:lineRule="exact"/>
                    <w:rPr>
                      <w:color w:val="000000" w:themeColor="text1"/>
                      <w:sz w:val="21"/>
                      <w:szCs w:val="16"/>
                      <w:highlight w:val="none"/>
                      <w14:textFill>
                        <w14:solidFill>
                          <w14:schemeClr w14:val="tx1"/>
                        </w14:solidFill>
                      </w14:textFill>
                    </w:rPr>
                  </w:pPr>
                </w:p>
              </w:tc>
              <w:tc>
                <w:tcPr>
                  <w:tcW w:w="1444" w:type="dxa"/>
                  <w:vMerge w:val="continue"/>
                  <w:tcBorders>
                    <w:tl2br w:val="nil"/>
                    <w:tr2bl w:val="nil"/>
                  </w:tcBorders>
                  <w:vAlign w:val="center"/>
                </w:tcPr>
                <w:p w14:paraId="3F7089A2">
                  <w:pPr>
                    <w:pStyle w:val="141"/>
                    <w:spacing w:line="240" w:lineRule="exact"/>
                    <w:rPr>
                      <w:color w:val="000000" w:themeColor="text1"/>
                      <w:sz w:val="21"/>
                      <w:szCs w:val="16"/>
                      <w:highlight w:val="none"/>
                      <w14:textFill>
                        <w14:solidFill>
                          <w14:schemeClr w14:val="tx1"/>
                        </w14:solidFill>
                      </w14:textFill>
                    </w:rPr>
                  </w:pPr>
                </w:p>
              </w:tc>
              <w:tc>
                <w:tcPr>
                  <w:tcW w:w="1155" w:type="dxa"/>
                  <w:vMerge w:val="continue"/>
                  <w:tcBorders>
                    <w:tl2br w:val="nil"/>
                    <w:tr2bl w:val="nil"/>
                  </w:tcBorders>
                  <w:vAlign w:val="center"/>
                </w:tcPr>
                <w:p w14:paraId="5B5CF0A1">
                  <w:pPr>
                    <w:pStyle w:val="141"/>
                    <w:spacing w:line="240" w:lineRule="exact"/>
                    <w:rPr>
                      <w:color w:val="000000" w:themeColor="text1"/>
                      <w:sz w:val="21"/>
                      <w:szCs w:val="16"/>
                      <w:highlight w:val="none"/>
                      <w14:textFill>
                        <w14:solidFill>
                          <w14:schemeClr w14:val="tx1"/>
                        </w14:solidFill>
                      </w14:textFill>
                    </w:rPr>
                  </w:pPr>
                </w:p>
              </w:tc>
              <w:tc>
                <w:tcPr>
                  <w:tcW w:w="752" w:type="dxa"/>
                  <w:vMerge w:val="continue"/>
                  <w:tcBorders>
                    <w:tl2br w:val="nil"/>
                    <w:tr2bl w:val="nil"/>
                  </w:tcBorders>
                  <w:vAlign w:val="center"/>
                </w:tcPr>
                <w:p w14:paraId="17883618">
                  <w:pPr>
                    <w:pStyle w:val="141"/>
                    <w:spacing w:line="240" w:lineRule="exact"/>
                    <w:rPr>
                      <w:color w:val="000000" w:themeColor="text1"/>
                      <w:sz w:val="21"/>
                      <w:szCs w:val="16"/>
                      <w:highlight w:val="none"/>
                      <w14:textFill>
                        <w14:solidFill>
                          <w14:schemeClr w14:val="tx1"/>
                        </w14:solidFill>
                      </w14:textFill>
                    </w:rPr>
                  </w:pPr>
                </w:p>
              </w:tc>
              <w:tc>
                <w:tcPr>
                  <w:tcW w:w="724" w:type="dxa"/>
                  <w:vMerge w:val="continue"/>
                  <w:tcBorders>
                    <w:tl2br w:val="nil"/>
                    <w:tr2bl w:val="nil"/>
                  </w:tcBorders>
                  <w:vAlign w:val="center"/>
                </w:tcPr>
                <w:p w14:paraId="5F8FF5E2">
                  <w:pPr>
                    <w:pStyle w:val="141"/>
                    <w:spacing w:line="240" w:lineRule="exact"/>
                    <w:rPr>
                      <w:color w:val="000000" w:themeColor="text1"/>
                      <w:sz w:val="21"/>
                      <w:szCs w:val="16"/>
                      <w:highlight w:val="none"/>
                      <w14:textFill>
                        <w14:solidFill>
                          <w14:schemeClr w14:val="tx1"/>
                        </w14:solidFill>
                      </w14:textFill>
                    </w:rPr>
                  </w:pPr>
                </w:p>
              </w:tc>
            </w:tr>
            <w:tr w14:paraId="58F4EC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00" w:type="dxa"/>
                  <w:vMerge w:val="restart"/>
                  <w:tcBorders>
                    <w:tl2br w:val="nil"/>
                    <w:tr2bl w:val="nil"/>
                  </w:tcBorders>
                  <w:vAlign w:val="center"/>
                </w:tcPr>
                <w:p w14:paraId="05F0DF14">
                  <w:pPr>
                    <w:pStyle w:val="141"/>
                    <w:spacing w:line="240" w:lineRule="exact"/>
                    <w:rPr>
                      <w:color w:val="000000" w:themeColor="text1"/>
                      <w:sz w:val="21"/>
                      <w:szCs w:val="16"/>
                      <w:highlight w:val="none"/>
                      <w14:textFill>
                        <w14:solidFill>
                          <w14:schemeClr w14:val="tx1"/>
                        </w14:solidFill>
                      </w14:textFill>
                    </w:rPr>
                  </w:pPr>
                  <w:r>
                    <w:rPr>
                      <w:rFonts w:hint="eastAsia"/>
                      <w:color w:val="000000" w:themeColor="text1"/>
                      <w:sz w:val="21"/>
                      <w:szCs w:val="16"/>
                      <w:highlight w:val="none"/>
                      <w14:textFill>
                        <w14:solidFill>
                          <w14:schemeClr w14:val="tx1"/>
                        </w14:solidFill>
                      </w14:textFill>
                    </w:rPr>
                    <w:t>G1</w:t>
                  </w:r>
                </w:p>
              </w:tc>
              <w:tc>
                <w:tcPr>
                  <w:tcW w:w="1348" w:type="dxa"/>
                  <w:tcBorders>
                    <w:tl2br w:val="nil"/>
                    <w:tr2bl w:val="nil"/>
                  </w:tcBorders>
                  <w:vAlign w:val="center"/>
                </w:tcPr>
                <w:p w14:paraId="04AABE36">
                  <w:pPr>
                    <w:pStyle w:val="141"/>
                    <w:spacing w:line="240" w:lineRule="exact"/>
                    <w:rPr>
                      <w:color w:val="000000" w:themeColor="text1"/>
                      <w:sz w:val="21"/>
                      <w:szCs w:val="16"/>
                      <w:highlight w:val="none"/>
                      <w14:textFill>
                        <w14:solidFill>
                          <w14:schemeClr w14:val="tx1"/>
                        </w14:solidFill>
                      </w14:textFill>
                    </w:rPr>
                  </w:pPr>
                  <w:r>
                    <w:rPr>
                      <w:rFonts w:hint="eastAsia"/>
                      <w:color w:val="000000" w:themeColor="text1"/>
                      <w:sz w:val="21"/>
                      <w:szCs w:val="16"/>
                      <w:highlight w:val="none"/>
                      <w14:textFill>
                        <w14:solidFill>
                          <w14:schemeClr w14:val="tx1"/>
                        </w14:solidFill>
                      </w14:textFill>
                    </w:rPr>
                    <w:t>非甲烷总烃</w:t>
                  </w:r>
                </w:p>
              </w:tc>
              <w:tc>
                <w:tcPr>
                  <w:tcW w:w="799" w:type="dxa"/>
                  <w:tcBorders>
                    <w:tl2br w:val="nil"/>
                    <w:tr2bl w:val="nil"/>
                  </w:tcBorders>
                  <w:vAlign w:val="center"/>
                </w:tcPr>
                <w:p w14:paraId="254FDD15">
                  <w:pPr>
                    <w:pStyle w:val="141"/>
                    <w:spacing w:line="240" w:lineRule="exact"/>
                    <w:rPr>
                      <w:color w:val="000000" w:themeColor="text1"/>
                      <w:sz w:val="21"/>
                      <w:szCs w:val="16"/>
                      <w:highlight w:val="none"/>
                      <w14:textFill>
                        <w14:solidFill>
                          <w14:schemeClr w14:val="tx1"/>
                        </w14:solidFill>
                      </w14:textFill>
                    </w:rPr>
                  </w:pPr>
                  <w:r>
                    <w:rPr>
                      <w:color w:val="000000" w:themeColor="text1"/>
                      <w:sz w:val="21"/>
                      <w:szCs w:val="16"/>
                      <w:highlight w:val="none"/>
                      <w14:textFill>
                        <w14:solidFill>
                          <w14:schemeClr w14:val="tx1"/>
                        </w14:solidFill>
                      </w14:textFill>
                    </w:rPr>
                    <w:t>小时值</w:t>
                  </w:r>
                </w:p>
              </w:tc>
              <w:tc>
                <w:tcPr>
                  <w:tcW w:w="1266" w:type="dxa"/>
                  <w:tcBorders>
                    <w:tl2br w:val="nil"/>
                    <w:tr2bl w:val="nil"/>
                  </w:tcBorders>
                  <w:vAlign w:val="center"/>
                </w:tcPr>
                <w:p w14:paraId="03E142B4">
                  <w:pPr>
                    <w:pStyle w:val="141"/>
                    <w:spacing w:line="240" w:lineRule="exact"/>
                    <w:rPr>
                      <w:color w:val="000000" w:themeColor="text1"/>
                      <w:sz w:val="21"/>
                      <w:szCs w:val="16"/>
                      <w:highlight w:val="none"/>
                      <w14:textFill>
                        <w14:solidFill>
                          <w14:schemeClr w14:val="tx1"/>
                        </w14:solidFill>
                      </w14:textFill>
                    </w:rPr>
                  </w:pPr>
                  <w:r>
                    <w:rPr>
                      <w:rFonts w:hint="eastAsia"/>
                      <w:color w:val="000000" w:themeColor="text1"/>
                      <w:sz w:val="21"/>
                      <w:szCs w:val="16"/>
                      <w:highlight w:val="none"/>
                      <w14:textFill>
                        <w14:solidFill>
                          <w14:schemeClr w14:val="tx1"/>
                        </w14:solidFill>
                      </w14:textFill>
                    </w:rPr>
                    <w:t>2</w:t>
                  </w:r>
                </w:p>
              </w:tc>
              <w:tc>
                <w:tcPr>
                  <w:tcW w:w="1444" w:type="dxa"/>
                  <w:tcBorders>
                    <w:tl2br w:val="nil"/>
                    <w:tr2bl w:val="nil"/>
                  </w:tcBorders>
                  <w:vAlign w:val="center"/>
                </w:tcPr>
                <w:p w14:paraId="36CC2490">
                  <w:pPr>
                    <w:pStyle w:val="141"/>
                    <w:spacing w:line="240" w:lineRule="exact"/>
                    <w:rPr>
                      <w:rFonts w:hint="default"/>
                      <w:color w:val="000000" w:themeColor="text1"/>
                      <w:sz w:val="21"/>
                      <w:szCs w:val="16"/>
                      <w:highlight w:val="none"/>
                      <w:lang w:val="en-US" w:eastAsia="zh-CN"/>
                      <w14:textFill>
                        <w14:solidFill>
                          <w14:schemeClr w14:val="tx1"/>
                        </w14:solidFill>
                      </w14:textFill>
                    </w:rPr>
                  </w:pPr>
                  <w:r>
                    <w:rPr>
                      <w:rFonts w:hint="default"/>
                      <w:color w:val="000000" w:themeColor="text1"/>
                      <w:sz w:val="21"/>
                      <w:szCs w:val="16"/>
                      <w:highlight w:val="none"/>
                      <w:lang w:val="en-US" w:eastAsia="zh-CN"/>
                      <w14:textFill>
                        <w14:solidFill>
                          <w14:schemeClr w14:val="tx1"/>
                        </w14:solidFill>
                      </w14:textFill>
                    </w:rPr>
                    <w:t>0.42-0.95</w:t>
                  </w:r>
                </w:p>
              </w:tc>
              <w:tc>
                <w:tcPr>
                  <w:tcW w:w="1155" w:type="dxa"/>
                  <w:tcBorders>
                    <w:tl2br w:val="nil"/>
                    <w:tr2bl w:val="nil"/>
                  </w:tcBorders>
                  <w:vAlign w:val="center"/>
                </w:tcPr>
                <w:p w14:paraId="72913182">
                  <w:pPr>
                    <w:pStyle w:val="141"/>
                    <w:spacing w:line="240" w:lineRule="exact"/>
                    <w:rPr>
                      <w:rFonts w:hint="default"/>
                      <w:color w:val="000000" w:themeColor="text1"/>
                      <w:sz w:val="21"/>
                      <w:szCs w:val="16"/>
                      <w:highlight w:val="none"/>
                      <w:lang w:val="en-US" w:eastAsia="zh-CN"/>
                      <w14:textFill>
                        <w14:solidFill>
                          <w14:schemeClr w14:val="tx1"/>
                        </w14:solidFill>
                      </w14:textFill>
                    </w:rPr>
                  </w:pPr>
                  <w:r>
                    <w:rPr>
                      <w:rFonts w:hint="eastAsia"/>
                      <w:color w:val="000000" w:themeColor="text1"/>
                      <w:sz w:val="21"/>
                      <w:szCs w:val="16"/>
                      <w:highlight w:val="none"/>
                      <w:lang w:val="en-US" w:eastAsia="zh-CN"/>
                      <w14:textFill>
                        <w14:solidFill>
                          <w14:schemeClr w14:val="tx1"/>
                        </w14:solidFill>
                      </w14:textFill>
                    </w:rPr>
                    <w:t>47.5</w:t>
                  </w:r>
                </w:p>
              </w:tc>
              <w:tc>
                <w:tcPr>
                  <w:tcW w:w="752" w:type="dxa"/>
                  <w:tcBorders>
                    <w:tl2br w:val="nil"/>
                    <w:tr2bl w:val="nil"/>
                  </w:tcBorders>
                  <w:vAlign w:val="center"/>
                </w:tcPr>
                <w:p w14:paraId="47254655">
                  <w:pPr>
                    <w:pStyle w:val="141"/>
                    <w:spacing w:line="240" w:lineRule="exact"/>
                    <w:rPr>
                      <w:color w:val="000000" w:themeColor="text1"/>
                      <w:sz w:val="21"/>
                      <w:szCs w:val="16"/>
                      <w:highlight w:val="none"/>
                      <w14:textFill>
                        <w14:solidFill>
                          <w14:schemeClr w14:val="tx1"/>
                        </w14:solidFill>
                      </w14:textFill>
                    </w:rPr>
                  </w:pPr>
                  <w:r>
                    <w:rPr>
                      <w:color w:val="000000" w:themeColor="text1"/>
                      <w:sz w:val="21"/>
                      <w:szCs w:val="16"/>
                      <w:highlight w:val="none"/>
                      <w14:textFill>
                        <w14:solidFill>
                          <w14:schemeClr w14:val="tx1"/>
                        </w14:solidFill>
                      </w14:textFill>
                    </w:rPr>
                    <w:t>0</w:t>
                  </w:r>
                </w:p>
              </w:tc>
              <w:tc>
                <w:tcPr>
                  <w:tcW w:w="724" w:type="dxa"/>
                  <w:tcBorders>
                    <w:tl2br w:val="nil"/>
                    <w:tr2bl w:val="nil"/>
                  </w:tcBorders>
                  <w:vAlign w:val="center"/>
                </w:tcPr>
                <w:p w14:paraId="7C07F953">
                  <w:pPr>
                    <w:pStyle w:val="141"/>
                    <w:spacing w:line="240" w:lineRule="exact"/>
                    <w:rPr>
                      <w:color w:val="000000" w:themeColor="text1"/>
                      <w:sz w:val="21"/>
                      <w:szCs w:val="16"/>
                      <w:highlight w:val="none"/>
                      <w14:textFill>
                        <w14:solidFill>
                          <w14:schemeClr w14:val="tx1"/>
                        </w14:solidFill>
                      </w14:textFill>
                    </w:rPr>
                  </w:pPr>
                  <w:r>
                    <w:rPr>
                      <w:color w:val="000000" w:themeColor="text1"/>
                      <w:sz w:val="21"/>
                      <w:szCs w:val="16"/>
                      <w:highlight w:val="none"/>
                      <w14:textFill>
                        <w14:solidFill>
                          <w14:schemeClr w14:val="tx1"/>
                        </w14:solidFill>
                      </w14:textFill>
                    </w:rPr>
                    <w:t>达标</w:t>
                  </w:r>
                </w:p>
              </w:tc>
            </w:tr>
            <w:tr w14:paraId="17E4D4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00" w:type="dxa"/>
                  <w:vMerge w:val="continue"/>
                  <w:tcBorders>
                    <w:tl2br w:val="nil"/>
                    <w:tr2bl w:val="nil"/>
                  </w:tcBorders>
                  <w:vAlign w:val="center"/>
                </w:tcPr>
                <w:p w14:paraId="47153A1D">
                  <w:pPr>
                    <w:pStyle w:val="141"/>
                    <w:spacing w:line="240" w:lineRule="exact"/>
                    <w:rPr>
                      <w:color w:val="000000" w:themeColor="text1"/>
                      <w:sz w:val="21"/>
                      <w:szCs w:val="16"/>
                      <w:highlight w:val="none"/>
                      <w14:textFill>
                        <w14:solidFill>
                          <w14:schemeClr w14:val="tx1"/>
                        </w14:solidFill>
                      </w14:textFill>
                    </w:rPr>
                  </w:pPr>
                </w:p>
              </w:tc>
              <w:tc>
                <w:tcPr>
                  <w:tcW w:w="1348" w:type="dxa"/>
                  <w:tcBorders>
                    <w:tl2br w:val="nil"/>
                    <w:tr2bl w:val="nil"/>
                  </w:tcBorders>
                  <w:vAlign w:val="center"/>
                </w:tcPr>
                <w:p w14:paraId="1463341E">
                  <w:pPr>
                    <w:pStyle w:val="141"/>
                    <w:spacing w:line="240" w:lineRule="exact"/>
                    <w:rPr>
                      <w:color w:val="000000" w:themeColor="text1"/>
                      <w:sz w:val="21"/>
                      <w:szCs w:val="16"/>
                      <w:highlight w:val="none"/>
                      <w14:textFill>
                        <w14:solidFill>
                          <w14:schemeClr w14:val="tx1"/>
                        </w14:solidFill>
                      </w14:textFill>
                    </w:rPr>
                  </w:pPr>
                  <w:r>
                    <w:rPr>
                      <w:rFonts w:hint="eastAsia"/>
                      <w:color w:val="000000" w:themeColor="text1"/>
                      <w:sz w:val="21"/>
                      <w:szCs w:val="16"/>
                      <w:highlight w:val="none"/>
                      <w14:textFill>
                        <w14:solidFill>
                          <w14:schemeClr w14:val="tx1"/>
                        </w14:solidFill>
                      </w14:textFill>
                    </w:rPr>
                    <w:t>TSP</w:t>
                  </w:r>
                </w:p>
              </w:tc>
              <w:tc>
                <w:tcPr>
                  <w:tcW w:w="799" w:type="dxa"/>
                  <w:tcBorders>
                    <w:tl2br w:val="nil"/>
                    <w:tr2bl w:val="nil"/>
                  </w:tcBorders>
                  <w:vAlign w:val="center"/>
                </w:tcPr>
                <w:p w14:paraId="3CD3249C">
                  <w:pPr>
                    <w:pStyle w:val="141"/>
                    <w:spacing w:line="240" w:lineRule="exact"/>
                    <w:rPr>
                      <w:color w:val="000000" w:themeColor="text1"/>
                      <w:sz w:val="21"/>
                      <w:szCs w:val="16"/>
                      <w:highlight w:val="none"/>
                      <w14:textFill>
                        <w14:solidFill>
                          <w14:schemeClr w14:val="tx1"/>
                        </w14:solidFill>
                      </w14:textFill>
                    </w:rPr>
                  </w:pPr>
                  <w:r>
                    <w:rPr>
                      <w:rFonts w:hint="eastAsia"/>
                      <w:color w:val="000000" w:themeColor="text1"/>
                      <w:sz w:val="21"/>
                      <w:szCs w:val="16"/>
                      <w:highlight w:val="none"/>
                      <w14:textFill>
                        <w14:solidFill>
                          <w14:schemeClr w14:val="tx1"/>
                        </w14:solidFill>
                      </w14:textFill>
                    </w:rPr>
                    <w:t>日均值</w:t>
                  </w:r>
                </w:p>
              </w:tc>
              <w:tc>
                <w:tcPr>
                  <w:tcW w:w="1266" w:type="dxa"/>
                  <w:tcBorders>
                    <w:tl2br w:val="nil"/>
                    <w:tr2bl w:val="nil"/>
                  </w:tcBorders>
                  <w:vAlign w:val="center"/>
                </w:tcPr>
                <w:p w14:paraId="0B3059FA">
                  <w:pPr>
                    <w:pStyle w:val="141"/>
                    <w:spacing w:line="240" w:lineRule="exact"/>
                    <w:rPr>
                      <w:color w:val="000000" w:themeColor="text1"/>
                      <w:sz w:val="21"/>
                      <w:szCs w:val="16"/>
                      <w:highlight w:val="none"/>
                      <w14:textFill>
                        <w14:solidFill>
                          <w14:schemeClr w14:val="tx1"/>
                        </w14:solidFill>
                      </w14:textFill>
                    </w:rPr>
                  </w:pPr>
                  <w:r>
                    <w:rPr>
                      <w:rFonts w:hint="eastAsia"/>
                      <w:color w:val="000000" w:themeColor="text1"/>
                      <w:sz w:val="21"/>
                      <w:szCs w:val="16"/>
                      <w:highlight w:val="none"/>
                      <w14:textFill>
                        <w14:solidFill>
                          <w14:schemeClr w14:val="tx1"/>
                        </w14:solidFill>
                      </w14:textFill>
                    </w:rPr>
                    <w:t>0.3</w:t>
                  </w:r>
                </w:p>
              </w:tc>
              <w:tc>
                <w:tcPr>
                  <w:tcW w:w="1444" w:type="dxa"/>
                  <w:tcBorders>
                    <w:tl2br w:val="nil"/>
                    <w:tr2bl w:val="nil"/>
                  </w:tcBorders>
                  <w:vAlign w:val="center"/>
                </w:tcPr>
                <w:p w14:paraId="49EF97C4">
                  <w:pPr>
                    <w:pStyle w:val="141"/>
                    <w:spacing w:line="240" w:lineRule="exact"/>
                    <w:rPr>
                      <w:rFonts w:hint="default"/>
                      <w:color w:val="000000" w:themeColor="text1"/>
                      <w:sz w:val="21"/>
                      <w:szCs w:val="16"/>
                      <w:highlight w:val="none"/>
                      <w:lang w:val="en-US" w:eastAsia="zh-CN"/>
                      <w14:textFill>
                        <w14:solidFill>
                          <w14:schemeClr w14:val="tx1"/>
                        </w14:solidFill>
                      </w14:textFill>
                    </w:rPr>
                  </w:pPr>
                  <w:r>
                    <w:rPr>
                      <w:rFonts w:hint="default"/>
                      <w:color w:val="000000" w:themeColor="text1"/>
                      <w:sz w:val="21"/>
                      <w:szCs w:val="16"/>
                      <w:highlight w:val="none"/>
                      <w:lang w:val="en-US" w:eastAsia="zh-CN"/>
                      <w14:textFill>
                        <w14:solidFill>
                          <w14:schemeClr w14:val="tx1"/>
                        </w14:solidFill>
                      </w14:textFill>
                    </w:rPr>
                    <w:t>0.162-0.187</w:t>
                  </w:r>
                </w:p>
              </w:tc>
              <w:tc>
                <w:tcPr>
                  <w:tcW w:w="1155" w:type="dxa"/>
                  <w:tcBorders>
                    <w:tl2br w:val="nil"/>
                    <w:tr2bl w:val="nil"/>
                  </w:tcBorders>
                  <w:vAlign w:val="center"/>
                </w:tcPr>
                <w:p w14:paraId="538B3200">
                  <w:pPr>
                    <w:pStyle w:val="141"/>
                    <w:spacing w:line="240" w:lineRule="exact"/>
                    <w:rPr>
                      <w:rFonts w:hint="default"/>
                      <w:color w:val="000000" w:themeColor="text1"/>
                      <w:sz w:val="21"/>
                      <w:szCs w:val="16"/>
                      <w:highlight w:val="none"/>
                      <w:lang w:val="en-US" w:eastAsia="zh-CN"/>
                      <w14:textFill>
                        <w14:solidFill>
                          <w14:schemeClr w14:val="tx1"/>
                        </w14:solidFill>
                      </w14:textFill>
                    </w:rPr>
                  </w:pPr>
                  <w:r>
                    <w:rPr>
                      <w:rFonts w:hint="eastAsia"/>
                      <w:color w:val="000000" w:themeColor="text1"/>
                      <w:sz w:val="21"/>
                      <w:szCs w:val="16"/>
                      <w:highlight w:val="none"/>
                      <w:lang w:val="en-US" w:eastAsia="zh-CN"/>
                      <w14:textFill>
                        <w14:solidFill>
                          <w14:schemeClr w14:val="tx1"/>
                        </w14:solidFill>
                      </w14:textFill>
                    </w:rPr>
                    <w:t>62</w:t>
                  </w:r>
                </w:p>
              </w:tc>
              <w:tc>
                <w:tcPr>
                  <w:tcW w:w="752" w:type="dxa"/>
                  <w:tcBorders>
                    <w:tl2br w:val="nil"/>
                    <w:tr2bl w:val="nil"/>
                  </w:tcBorders>
                  <w:vAlign w:val="center"/>
                </w:tcPr>
                <w:p w14:paraId="1E0A0B2F">
                  <w:pPr>
                    <w:pStyle w:val="141"/>
                    <w:spacing w:line="240" w:lineRule="exact"/>
                    <w:rPr>
                      <w:color w:val="000000" w:themeColor="text1"/>
                      <w:sz w:val="21"/>
                      <w:szCs w:val="16"/>
                      <w:highlight w:val="none"/>
                      <w14:textFill>
                        <w14:solidFill>
                          <w14:schemeClr w14:val="tx1"/>
                        </w14:solidFill>
                      </w14:textFill>
                    </w:rPr>
                  </w:pPr>
                  <w:r>
                    <w:rPr>
                      <w:color w:val="000000" w:themeColor="text1"/>
                      <w:sz w:val="21"/>
                      <w:szCs w:val="16"/>
                      <w:highlight w:val="none"/>
                      <w14:textFill>
                        <w14:solidFill>
                          <w14:schemeClr w14:val="tx1"/>
                        </w14:solidFill>
                      </w14:textFill>
                    </w:rPr>
                    <w:t>0</w:t>
                  </w:r>
                </w:p>
              </w:tc>
              <w:tc>
                <w:tcPr>
                  <w:tcW w:w="724" w:type="dxa"/>
                  <w:tcBorders>
                    <w:tl2br w:val="nil"/>
                    <w:tr2bl w:val="nil"/>
                  </w:tcBorders>
                  <w:vAlign w:val="center"/>
                </w:tcPr>
                <w:p w14:paraId="025BD41C">
                  <w:pPr>
                    <w:pStyle w:val="141"/>
                    <w:spacing w:line="240" w:lineRule="exact"/>
                    <w:rPr>
                      <w:color w:val="000000" w:themeColor="text1"/>
                      <w:sz w:val="21"/>
                      <w:szCs w:val="16"/>
                      <w:highlight w:val="none"/>
                      <w14:textFill>
                        <w14:solidFill>
                          <w14:schemeClr w14:val="tx1"/>
                        </w14:solidFill>
                      </w14:textFill>
                    </w:rPr>
                  </w:pPr>
                  <w:r>
                    <w:rPr>
                      <w:color w:val="000000" w:themeColor="text1"/>
                      <w:sz w:val="21"/>
                      <w:szCs w:val="16"/>
                      <w:highlight w:val="none"/>
                      <w14:textFill>
                        <w14:solidFill>
                          <w14:schemeClr w14:val="tx1"/>
                        </w14:solidFill>
                      </w14:textFill>
                    </w:rPr>
                    <w:t>达标</w:t>
                  </w:r>
                </w:p>
              </w:tc>
            </w:tr>
          </w:tbl>
          <w:p w14:paraId="68B96DA0">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监测结果表明：</w:t>
            </w:r>
            <w:r>
              <w:rPr>
                <w:color w:val="000000" w:themeColor="text1"/>
                <w:sz w:val="24"/>
                <w:highlight w:val="none"/>
                <w14:textFill>
                  <w14:solidFill>
                    <w14:schemeClr w14:val="tx1"/>
                  </w14:solidFill>
                </w14:textFill>
              </w:rPr>
              <w:t>非甲烷总烃小时平均浓度能满足《大气污染物综合排放标准详解》中明确的限值</w:t>
            </w:r>
            <w:r>
              <w:rPr>
                <w:rFonts w:hint="eastAsia"/>
                <w:bCs/>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TSP</w:t>
            </w:r>
            <w:r>
              <w:rPr>
                <w:rFonts w:hint="eastAsia"/>
                <w:bCs/>
                <w:color w:val="000000" w:themeColor="text1"/>
                <w:sz w:val="24"/>
                <w:highlight w:val="none"/>
                <w14:textFill>
                  <w14:solidFill>
                    <w14:schemeClr w14:val="tx1"/>
                  </w14:solidFill>
                </w14:textFill>
              </w:rPr>
              <w:t>日</w:t>
            </w:r>
            <w:r>
              <w:rPr>
                <w:bCs/>
                <w:color w:val="000000" w:themeColor="text1"/>
                <w:sz w:val="24"/>
                <w:highlight w:val="none"/>
                <w14:textFill>
                  <w14:solidFill>
                    <w14:schemeClr w14:val="tx1"/>
                  </w14:solidFill>
                </w14:textFill>
              </w:rPr>
              <w:t>平均浓度能满足</w:t>
            </w:r>
            <w:r>
              <w:rPr>
                <w:rFonts w:hint="default"/>
                <w:color w:val="000000" w:themeColor="text1"/>
                <w:sz w:val="24"/>
                <w:highlight w:val="none"/>
                <w14:textFill>
                  <w14:solidFill>
                    <w14:schemeClr w14:val="tx1"/>
                  </w14:solidFill>
                </w14:textFill>
              </w:rPr>
              <w:t>《环境空气质量标准》（</w:t>
            </w:r>
            <w:r>
              <w:rPr>
                <w:rFonts w:hint="eastAsia"/>
                <w:color w:val="000000" w:themeColor="text1"/>
                <w:sz w:val="24"/>
                <w:highlight w:val="none"/>
                <w14:textFill>
                  <w14:solidFill>
                    <w14:schemeClr w14:val="tx1"/>
                  </w14:solidFill>
                </w14:textFill>
              </w:rPr>
              <w:t>GB3095-2026</w:t>
            </w:r>
            <w:r>
              <w:rPr>
                <w:rFonts w:hint="default"/>
                <w:color w:val="000000" w:themeColor="text1"/>
                <w:sz w:val="24"/>
                <w:highlight w:val="none"/>
                <w14:textFill>
                  <w14:solidFill>
                    <w14:schemeClr w14:val="tx1"/>
                  </w14:solidFill>
                </w14:textFill>
              </w:rPr>
              <w:t>）二级标准要求</w:t>
            </w:r>
            <w:r>
              <w:rPr>
                <w:rFonts w:hint="eastAsia"/>
                <w:color w:val="000000" w:themeColor="text1"/>
                <w:sz w:val="24"/>
                <w:highlight w:val="none"/>
                <w:lang w:val="en-US" w:eastAsia="zh-CN"/>
                <w14:textFill>
                  <w14:solidFill>
                    <w14:schemeClr w14:val="tx1"/>
                  </w14:solidFill>
                </w14:textFill>
              </w:rPr>
              <w:t>和</w:t>
            </w:r>
            <w:r>
              <w:rPr>
                <w:rFonts w:hint="default"/>
                <w:color w:val="000000" w:themeColor="text1"/>
                <w:sz w:val="24"/>
                <w:highlight w:val="none"/>
                <w14:textFill>
                  <w14:solidFill>
                    <w14:schemeClr w14:val="tx1"/>
                  </w14:solidFill>
                </w14:textFill>
              </w:rPr>
              <w:t>《环境空气质量标准》（</w:t>
            </w:r>
            <w:r>
              <w:rPr>
                <w:rFonts w:hint="eastAsia"/>
                <w:color w:val="000000" w:themeColor="text1"/>
                <w:sz w:val="24"/>
                <w:highlight w:val="none"/>
                <w14:textFill>
                  <w14:solidFill>
                    <w14:schemeClr w14:val="tx1"/>
                  </w14:solidFill>
                </w14:textFill>
              </w:rPr>
              <w:t>GB3095-20</w:t>
            </w:r>
            <w:r>
              <w:rPr>
                <w:rFonts w:hint="eastAsia"/>
                <w:color w:val="000000" w:themeColor="text1"/>
                <w:sz w:val="24"/>
                <w:highlight w:val="none"/>
                <w:lang w:val="en-US" w:eastAsia="zh-CN"/>
                <w14:textFill>
                  <w14:solidFill>
                    <w14:schemeClr w14:val="tx1"/>
                  </w14:solidFill>
                </w14:textFill>
              </w:rPr>
              <w:t>12</w:t>
            </w:r>
            <w:r>
              <w:rPr>
                <w:rFonts w:hint="default"/>
                <w:color w:val="000000" w:themeColor="text1"/>
                <w:sz w:val="24"/>
                <w:highlight w:val="none"/>
                <w14:textFill>
                  <w14:solidFill>
                    <w14:schemeClr w14:val="tx1"/>
                  </w14:solidFill>
                </w14:textFill>
              </w:rPr>
              <w:t>）二级标准要求</w:t>
            </w:r>
            <w:r>
              <w:rPr>
                <w:rFonts w:hint="eastAsia"/>
                <w:color w:val="000000" w:themeColor="text1"/>
                <w:sz w:val="24"/>
                <w:highlight w:val="none"/>
                <w:lang w:eastAsia="zh-CN"/>
                <w14:textFill>
                  <w14:solidFill>
                    <w14:schemeClr w14:val="tx1"/>
                  </w14:solidFill>
                </w14:textFill>
              </w:rPr>
              <w:t>（</w:t>
            </w:r>
            <w:r>
              <w:rPr>
                <w:rFonts w:hint="default"/>
                <w:color w:val="000000" w:themeColor="text1"/>
                <w:sz w:val="24"/>
                <w:highlight w:val="none"/>
                <w14:textFill>
                  <w14:solidFill>
                    <w14:schemeClr w14:val="tx1"/>
                  </w14:solidFill>
                </w14:textFill>
              </w:rPr>
              <w:t>标准</w:t>
            </w:r>
            <w:r>
              <w:rPr>
                <w:rFonts w:hint="eastAsia"/>
                <w:color w:val="000000" w:themeColor="text1"/>
                <w:sz w:val="24"/>
                <w:highlight w:val="none"/>
                <w:lang w:val="en-US" w:eastAsia="zh-CN"/>
                <w14:textFill>
                  <w14:solidFill>
                    <w14:schemeClr w14:val="tx1"/>
                  </w14:solidFill>
                </w14:textFill>
              </w:rPr>
              <w:t>值未变</w:t>
            </w:r>
            <w:r>
              <w:rPr>
                <w:rFonts w:hint="eastAsia"/>
                <w:color w:val="000000" w:themeColor="text1"/>
                <w:sz w:val="24"/>
                <w:highlight w:val="none"/>
                <w:lang w:eastAsia="zh-CN"/>
                <w14:textFill>
                  <w14:solidFill>
                    <w14:schemeClr w14:val="tx1"/>
                  </w14:solidFill>
                </w14:textFill>
              </w:rPr>
              <w:t>）。</w:t>
            </w:r>
          </w:p>
          <w:p w14:paraId="458AC78F">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2、地表水环境质量现状</w:t>
            </w:r>
          </w:p>
          <w:p w14:paraId="63704DBD">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w:t>
            </w:r>
            <w:r>
              <w:rPr>
                <w:rFonts w:hint="eastAsia"/>
                <w:color w:val="000000" w:themeColor="text1"/>
                <w:sz w:val="24"/>
                <w:highlight w:val="none"/>
                <w:lang w:eastAsia="zh-CN"/>
                <w14:textFill>
                  <w14:solidFill>
                    <w14:schemeClr w14:val="tx1"/>
                  </w14:solidFill>
                </w14:textFill>
              </w:rPr>
              <w:t>2025年南京市生态环境状况公报</w:t>
            </w:r>
            <w:r>
              <w:rPr>
                <w:color w:val="000000" w:themeColor="text1"/>
                <w:sz w:val="24"/>
                <w:highlight w:val="none"/>
                <w14:textFill>
                  <w14:solidFill>
                    <w14:schemeClr w14:val="tx1"/>
                  </w14:solidFill>
                </w14:textFill>
              </w:rPr>
              <w:t>》，全市水环境质量持续优良。202</w:t>
            </w:r>
            <w:r>
              <w:rPr>
                <w:rFonts w:hint="eastAsia"/>
                <w:color w:val="000000" w:themeColor="text1"/>
                <w:sz w:val="24"/>
                <w:highlight w:val="none"/>
                <w:lang w:val="en-US" w:eastAsia="zh-CN"/>
                <w14:textFill>
                  <w14:solidFill>
                    <w14:schemeClr w14:val="tx1"/>
                  </w14:solidFill>
                </w14:textFill>
              </w:rPr>
              <w:t>5</w:t>
            </w:r>
            <w:r>
              <w:rPr>
                <w:color w:val="000000" w:themeColor="text1"/>
                <w:sz w:val="24"/>
                <w:highlight w:val="none"/>
                <w14:textFill>
                  <w14:solidFill>
                    <w14:schemeClr w14:val="tx1"/>
                  </w14:solidFill>
                </w14:textFill>
              </w:rPr>
              <w:t>年全市水环境质量总体处于良好水平，其中纳入江苏省</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十四五</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水环境考核目标的42个地表水断面水质优良（《地表水环境质量标准》</w:t>
            </w:r>
            <w:r>
              <w:rPr>
                <w:rFonts w:hint="eastAsia"/>
                <w:color w:val="000000" w:themeColor="text1"/>
                <w:sz w:val="24"/>
                <w:highlight w:val="none"/>
                <w14:textFill>
                  <w14:solidFill>
                    <w14:schemeClr w14:val="tx1"/>
                  </w14:solidFill>
                </w14:textFill>
              </w:rPr>
              <w:t>（GB 3838-2002）</w:t>
            </w:r>
            <w:r>
              <w:rPr>
                <w:color w:val="000000" w:themeColor="text1"/>
                <w:sz w:val="24"/>
                <w:highlight w:val="none"/>
                <w14:textFill>
                  <w14:solidFill>
                    <w14:schemeClr w14:val="tx1"/>
                  </w14:solidFill>
                </w14:textFill>
              </w:rPr>
              <w:t>Ⅲ类及以上）比例为100%，无丧失使用功能（劣Ⅴ类）断面。全市18条省控入江支流，水质优良比例为100%。其中</w:t>
            </w:r>
            <w:r>
              <w:rPr>
                <w:rFonts w:hint="eastAsia"/>
                <w:color w:val="000000" w:themeColor="text1"/>
                <w:sz w:val="24"/>
                <w:highlight w:val="none"/>
                <w:lang w:val="en-US" w:eastAsia="zh-CN"/>
                <w14:textFill>
                  <w14:solidFill>
                    <w14:schemeClr w14:val="tx1"/>
                  </w14:solidFill>
                </w14:textFill>
              </w:rPr>
              <w:t>8</w:t>
            </w:r>
            <w:r>
              <w:rPr>
                <w:color w:val="000000" w:themeColor="text1"/>
                <w:sz w:val="24"/>
                <w:highlight w:val="none"/>
                <w14:textFill>
                  <w14:solidFill>
                    <w14:schemeClr w14:val="tx1"/>
                  </w14:solidFill>
                </w14:textFill>
              </w:rPr>
              <w:t>条水质为Ⅱ类，</w:t>
            </w:r>
            <w:r>
              <w:rPr>
                <w:rFonts w:hint="eastAsia"/>
                <w:color w:val="000000" w:themeColor="text1"/>
                <w:sz w:val="24"/>
                <w:highlight w:val="none"/>
                <w:lang w:val="en-US" w:eastAsia="zh-CN"/>
                <w14:textFill>
                  <w14:solidFill>
                    <w14:schemeClr w14:val="tx1"/>
                  </w14:solidFill>
                </w14:textFill>
              </w:rPr>
              <w:t>10</w:t>
            </w:r>
            <w:r>
              <w:rPr>
                <w:color w:val="000000" w:themeColor="text1"/>
                <w:sz w:val="24"/>
                <w:highlight w:val="none"/>
                <w14:textFill>
                  <w14:solidFill>
                    <w14:schemeClr w14:val="tx1"/>
                  </w14:solidFill>
                </w14:textFill>
              </w:rPr>
              <w:t>条水质为Ⅲ类，与上年相比，水质无明显变化。</w:t>
            </w:r>
          </w:p>
          <w:p w14:paraId="00C81367">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本项目的纳污水体为</w:t>
            </w:r>
            <w:r>
              <w:rPr>
                <w:rFonts w:hint="eastAsia"/>
                <w:color w:val="000000" w:themeColor="text1"/>
                <w:sz w:val="24"/>
                <w:highlight w:val="none"/>
                <w:lang w:eastAsia="zh-CN"/>
                <w14:textFill>
                  <w14:solidFill>
                    <w14:schemeClr w14:val="tx1"/>
                  </w14:solidFill>
                </w14:textFill>
              </w:rPr>
              <w:t>横溪河</w:t>
            </w: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根据</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南京市江宁区禄口污水处理厂</w:t>
            </w:r>
            <w:r>
              <w:rPr>
                <w:rFonts w:hint="eastAsia" w:cs="Times New Roman"/>
                <w:color w:val="000000" w:themeColor="text1"/>
                <w:kern w:val="2"/>
                <w:sz w:val="24"/>
                <w:szCs w:val="24"/>
                <w:highlight w:val="none"/>
                <w:lang w:val="en-US" w:eastAsia="zh-CN" w:bidi="ar-SA"/>
                <w14:textFill>
                  <w14:solidFill>
                    <w14:schemeClr w14:val="tx1"/>
                  </w14:solidFill>
                </w14:textFill>
              </w:rPr>
              <w:t>检测</w:t>
            </w:r>
            <w:r>
              <w:rPr>
                <w:rFonts w:hint="eastAsia" w:eastAsia="宋体" w:cs="Times New Roman"/>
                <w:color w:val="000000" w:themeColor="text1"/>
                <w:kern w:val="2"/>
                <w:sz w:val="24"/>
                <w:szCs w:val="24"/>
                <w:highlight w:val="none"/>
                <w:lang w:val="en-US" w:eastAsia="zh-CN" w:bidi="ar-SA"/>
                <w14:textFill>
                  <w14:solidFill>
                    <w14:schemeClr w14:val="tx1"/>
                  </w14:solidFill>
                </w14:textFill>
              </w:rPr>
              <w:t>报告</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，监测时间202</w:t>
            </w:r>
            <w:r>
              <w:rPr>
                <w:rFonts w:hint="eastAsia" w:cs="Times New Roman"/>
                <w:color w:val="000000" w:themeColor="text1"/>
                <w:kern w:val="2"/>
                <w:sz w:val="24"/>
                <w:szCs w:val="24"/>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年</w:t>
            </w:r>
            <w:r>
              <w:rPr>
                <w:rFonts w:hint="eastAsia" w:cs="Times New Roman"/>
                <w:color w:val="000000" w:themeColor="text1"/>
                <w:kern w:val="2"/>
                <w:sz w:val="24"/>
                <w:szCs w:val="24"/>
                <w:highlight w:val="none"/>
                <w:lang w:val="en-US" w:eastAsia="zh-CN" w:bidi="ar-SA"/>
                <w14:textFill>
                  <w14:solidFill>
                    <w14:schemeClr w14:val="tx1"/>
                  </w14:solidFill>
                </w14:textFill>
              </w:rPr>
              <w:t>6</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月</w:t>
            </w:r>
            <w:r>
              <w:rPr>
                <w:rFonts w:hint="eastAsia" w:cs="Times New Roman"/>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0日</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22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日，报告编号R2506395号。</w:t>
            </w:r>
            <w:r>
              <w:rPr>
                <w:color w:val="000000" w:themeColor="text1"/>
                <w:sz w:val="24"/>
                <w:highlight w:val="none"/>
                <w14:textFill>
                  <w14:solidFill>
                    <w14:schemeClr w14:val="tx1"/>
                  </w14:solidFill>
                </w14:textFill>
              </w:rPr>
              <w:t>地表水</w:t>
            </w:r>
            <w:r>
              <w:rPr>
                <w:rFonts w:hint="eastAsia"/>
                <w:color w:val="000000" w:themeColor="text1"/>
                <w:sz w:val="24"/>
                <w:highlight w:val="none"/>
                <w:lang w:eastAsia="zh-CN"/>
                <w14:textFill>
                  <w14:solidFill>
                    <w14:schemeClr w14:val="tx1"/>
                  </w14:solidFill>
                </w14:textFill>
              </w:rPr>
              <w:t>横溪河禄口污水处理厂</w:t>
            </w:r>
            <w:r>
              <w:rPr>
                <w:rFonts w:hint="eastAsia"/>
                <w:color w:val="000000" w:themeColor="text1"/>
                <w:sz w:val="24"/>
                <w:highlight w:val="none"/>
                <w:lang w:val="en-US" w:eastAsia="zh-CN"/>
                <w14:textFill>
                  <w14:solidFill>
                    <w14:schemeClr w14:val="tx1"/>
                  </w14:solidFill>
                </w14:textFill>
              </w:rPr>
              <w:t>下游</w:t>
            </w:r>
            <w:r>
              <w:rPr>
                <w:color w:val="000000" w:themeColor="text1"/>
                <w:sz w:val="24"/>
                <w:highlight w:val="none"/>
                <w14:textFill>
                  <w14:solidFill>
                    <w14:schemeClr w14:val="tx1"/>
                  </w14:solidFill>
                </w14:textFill>
              </w:rPr>
              <w:t>监测断面pH、COD、氨氮、总磷监测结果汇总见下表。</w:t>
            </w:r>
          </w:p>
          <w:p w14:paraId="47140036">
            <w:pPr>
              <w:adjustRightInd w:val="0"/>
              <w:snapToGrid w:val="0"/>
              <w:spacing w:line="440" w:lineRule="exact"/>
              <w:ind w:firstLine="482" w:firstLineChars="20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表3-</w:t>
            </w:r>
            <w:r>
              <w:rPr>
                <w:rFonts w:hint="eastAsia"/>
                <w:b/>
                <w:color w:val="000000" w:themeColor="text1"/>
                <w:sz w:val="24"/>
                <w:highlight w:val="none"/>
                <w14:textFill>
                  <w14:solidFill>
                    <w14:schemeClr w14:val="tx1"/>
                  </w14:solidFill>
                </w14:textFill>
              </w:rPr>
              <w:t>3</w:t>
            </w:r>
            <w:r>
              <w:rPr>
                <w:rFonts w:hint="eastAsia"/>
                <w:b/>
                <w:color w:val="000000" w:themeColor="text1"/>
                <w:sz w:val="24"/>
                <w:highlight w:val="none"/>
                <w:lang w:val="en-US" w:eastAsia="zh-CN"/>
                <w14:textFill>
                  <w14:solidFill>
                    <w14:schemeClr w14:val="tx1"/>
                  </w14:solidFill>
                </w14:textFill>
              </w:rPr>
              <w:t xml:space="preserve">  </w:t>
            </w:r>
            <w:r>
              <w:rPr>
                <w:rFonts w:hint="eastAsia"/>
                <w:b/>
                <w:color w:val="000000" w:themeColor="text1"/>
                <w:sz w:val="24"/>
                <w:highlight w:val="none"/>
                <w:lang w:eastAsia="zh-CN"/>
                <w14:textFill>
                  <w14:solidFill>
                    <w14:schemeClr w14:val="tx1"/>
                  </w14:solidFill>
                </w14:textFill>
              </w:rPr>
              <w:t>横溪河</w:t>
            </w:r>
            <w:r>
              <w:rPr>
                <w:b/>
                <w:color w:val="000000" w:themeColor="text1"/>
                <w:sz w:val="24"/>
                <w:highlight w:val="none"/>
                <w14:textFill>
                  <w14:solidFill>
                    <w14:schemeClr w14:val="tx1"/>
                  </w14:solidFill>
                </w14:textFill>
              </w:rPr>
              <w:t>水质评价结果（单位：mg/L）</w:t>
            </w:r>
          </w:p>
          <w:tbl>
            <w:tblPr>
              <w:tblStyle w:val="3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995"/>
              <w:gridCol w:w="1417"/>
              <w:gridCol w:w="1707"/>
              <w:gridCol w:w="1429"/>
            </w:tblGrid>
            <w:tr w14:paraId="129099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92" w:type="pct"/>
                  <w:vAlign w:val="center"/>
                </w:tcPr>
                <w:p w14:paraId="6C367532">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断面</w:t>
                  </w:r>
                </w:p>
              </w:tc>
              <w:tc>
                <w:tcPr>
                  <w:tcW w:w="593" w:type="pct"/>
                  <w:vAlign w:val="center"/>
                </w:tcPr>
                <w:p w14:paraId="03BC4654">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pH</w:t>
                  </w:r>
                </w:p>
              </w:tc>
              <w:tc>
                <w:tcPr>
                  <w:tcW w:w="844" w:type="pct"/>
                  <w:vAlign w:val="center"/>
                </w:tcPr>
                <w:p w14:paraId="7D7C959B">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COD</w:t>
                  </w:r>
                </w:p>
              </w:tc>
              <w:tc>
                <w:tcPr>
                  <w:tcW w:w="1017" w:type="pct"/>
                  <w:vAlign w:val="center"/>
                </w:tcPr>
                <w:p w14:paraId="3B692A46">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NH</w:t>
                  </w:r>
                  <w:r>
                    <w:rPr>
                      <w:b/>
                      <w:bCs/>
                      <w:color w:val="000000" w:themeColor="text1"/>
                      <w:szCs w:val="21"/>
                      <w:highlight w:val="none"/>
                      <w:vertAlign w:val="subscript"/>
                      <w14:textFill>
                        <w14:solidFill>
                          <w14:schemeClr w14:val="tx1"/>
                        </w14:solidFill>
                      </w14:textFill>
                    </w:rPr>
                    <w:t>3</w:t>
                  </w:r>
                  <w:r>
                    <w:rPr>
                      <w:b/>
                      <w:bCs/>
                      <w:color w:val="000000" w:themeColor="text1"/>
                      <w:szCs w:val="21"/>
                      <w:highlight w:val="none"/>
                      <w14:textFill>
                        <w14:solidFill>
                          <w14:schemeClr w14:val="tx1"/>
                        </w14:solidFill>
                      </w14:textFill>
                    </w:rPr>
                    <w:t>-N</w:t>
                  </w:r>
                </w:p>
              </w:tc>
              <w:tc>
                <w:tcPr>
                  <w:tcW w:w="851" w:type="pct"/>
                  <w:vAlign w:val="center"/>
                </w:tcPr>
                <w:p w14:paraId="0E6D38A4">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TP</w:t>
                  </w:r>
                </w:p>
              </w:tc>
            </w:tr>
            <w:tr w14:paraId="22EDCA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92" w:type="pct"/>
                  <w:vAlign w:val="center"/>
                </w:tcPr>
                <w:p w14:paraId="5E69034E">
                  <w:pPr>
                    <w:snapToGrid w:val="0"/>
                    <w:spacing w:line="240" w:lineRule="exact"/>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横溪河禄口污水处理厂</w:t>
                  </w:r>
                  <w:r>
                    <w:rPr>
                      <w:rFonts w:hint="eastAsia"/>
                      <w:color w:val="000000" w:themeColor="text1"/>
                      <w:szCs w:val="21"/>
                      <w:highlight w:val="none"/>
                      <w14:textFill>
                        <w14:solidFill>
                          <w14:schemeClr w14:val="tx1"/>
                        </w14:solidFill>
                      </w14:textFill>
                    </w:rPr>
                    <w:t>下游</w:t>
                  </w:r>
                  <w:r>
                    <w:rPr>
                      <w:rFonts w:hint="eastAsia"/>
                      <w:color w:val="000000" w:themeColor="text1"/>
                      <w:szCs w:val="21"/>
                      <w:highlight w:val="none"/>
                      <w:lang w:val="en-US" w:eastAsia="zh-CN"/>
                      <w14:textFill>
                        <w14:solidFill>
                          <w14:schemeClr w14:val="tx1"/>
                        </w14:solidFill>
                      </w14:textFill>
                    </w:rPr>
                    <w:t>最大值</w:t>
                  </w:r>
                </w:p>
              </w:tc>
              <w:tc>
                <w:tcPr>
                  <w:tcW w:w="593" w:type="pct"/>
                  <w:vAlign w:val="center"/>
                </w:tcPr>
                <w:p w14:paraId="0F8EEEC2">
                  <w:pPr>
                    <w:snapToGrid w:val="0"/>
                    <w:spacing w:line="24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7.</w:t>
                  </w:r>
                  <w:r>
                    <w:rPr>
                      <w:rFonts w:hint="eastAsia" w:cs="Times New Roman"/>
                      <w:color w:val="000000" w:themeColor="text1"/>
                      <w:szCs w:val="21"/>
                      <w:highlight w:val="none"/>
                      <w:lang w:val="en-US" w:eastAsia="zh-CN"/>
                      <w14:textFill>
                        <w14:solidFill>
                          <w14:schemeClr w14:val="tx1"/>
                        </w14:solidFill>
                      </w14:textFill>
                    </w:rPr>
                    <w:t>2-7.3</w:t>
                  </w:r>
                </w:p>
              </w:tc>
              <w:tc>
                <w:tcPr>
                  <w:tcW w:w="844" w:type="pct"/>
                  <w:vAlign w:val="center"/>
                </w:tcPr>
                <w:p w14:paraId="6A54DF84">
                  <w:pPr>
                    <w:snapToGrid w:val="0"/>
                    <w:spacing w:line="24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9</w:t>
                  </w:r>
                </w:p>
              </w:tc>
              <w:tc>
                <w:tcPr>
                  <w:tcW w:w="1017" w:type="pct"/>
                  <w:vAlign w:val="center"/>
                </w:tcPr>
                <w:p w14:paraId="4FA3B61E">
                  <w:pPr>
                    <w:snapToGrid w:val="0"/>
                    <w:spacing w:line="240" w:lineRule="exact"/>
                    <w:jc w:val="center"/>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0.</w:t>
                  </w:r>
                  <w:r>
                    <w:rPr>
                      <w:rFonts w:hint="eastAsia" w:cs="Times New Roman"/>
                      <w:color w:val="000000" w:themeColor="text1"/>
                      <w:szCs w:val="21"/>
                      <w:highlight w:val="none"/>
                      <w:lang w:val="en-US" w:eastAsia="zh-CN"/>
                      <w14:textFill>
                        <w14:solidFill>
                          <w14:schemeClr w14:val="tx1"/>
                        </w14:solidFill>
                      </w14:textFill>
                    </w:rPr>
                    <w:t>338</w:t>
                  </w:r>
                </w:p>
              </w:tc>
              <w:tc>
                <w:tcPr>
                  <w:tcW w:w="851" w:type="pct"/>
                  <w:vAlign w:val="center"/>
                </w:tcPr>
                <w:p w14:paraId="02983C06">
                  <w:pPr>
                    <w:snapToGrid w:val="0"/>
                    <w:spacing w:line="24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0.0</w:t>
                  </w:r>
                  <w:r>
                    <w:rPr>
                      <w:rFonts w:hint="eastAsia" w:cs="Times New Roman"/>
                      <w:color w:val="000000" w:themeColor="text1"/>
                      <w:szCs w:val="21"/>
                      <w:highlight w:val="none"/>
                      <w:lang w:val="en-US" w:eastAsia="zh-CN"/>
                      <w14:textFill>
                        <w14:solidFill>
                          <w14:schemeClr w14:val="tx1"/>
                        </w14:solidFill>
                      </w14:textFill>
                    </w:rPr>
                    <w:t>9</w:t>
                  </w:r>
                </w:p>
              </w:tc>
            </w:tr>
            <w:tr w14:paraId="00B55F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92" w:type="pct"/>
                  <w:vAlign w:val="center"/>
                </w:tcPr>
                <w:p w14:paraId="27EBEA8E">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Ⅲ类</w:t>
                  </w:r>
                  <w:r>
                    <w:rPr>
                      <w:color w:val="000000" w:themeColor="text1"/>
                      <w:szCs w:val="21"/>
                      <w:highlight w:val="none"/>
                      <w14:textFill>
                        <w14:solidFill>
                          <w14:schemeClr w14:val="tx1"/>
                        </w14:solidFill>
                      </w14:textFill>
                    </w:rPr>
                    <w:t>标准</w:t>
                  </w:r>
                </w:p>
              </w:tc>
              <w:tc>
                <w:tcPr>
                  <w:tcW w:w="593" w:type="pct"/>
                  <w:vAlign w:val="center"/>
                </w:tcPr>
                <w:p w14:paraId="126B656F">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6-9</w:t>
                  </w:r>
                </w:p>
              </w:tc>
              <w:tc>
                <w:tcPr>
                  <w:tcW w:w="844" w:type="pct"/>
                  <w:vAlign w:val="center"/>
                </w:tcPr>
                <w:p w14:paraId="25D4F31E">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w:t>
                  </w:r>
                  <w:r>
                    <w:rPr>
                      <w:color w:val="000000" w:themeColor="text1"/>
                      <w:szCs w:val="21"/>
                      <w:highlight w:val="none"/>
                      <w14:textFill>
                        <w14:solidFill>
                          <w14:schemeClr w14:val="tx1"/>
                        </w14:solidFill>
                      </w14:textFill>
                    </w:rPr>
                    <w:t>0</w:t>
                  </w:r>
                </w:p>
              </w:tc>
              <w:tc>
                <w:tcPr>
                  <w:tcW w:w="1017" w:type="pct"/>
                  <w:vAlign w:val="center"/>
                </w:tcPr>
                <w:p w14:paraId="0053B961">
                  <w:pPr>
                    <w:snapToGrid w:val="0"/>
                    <w:spacing w:line="240" w:lineRule="exact"/>
                    <w:jc w:val="center"/>
                    <w:rPr>
                      <w:rFonts w:hint="eastAsia" w:eastAsia="宋体"/>
                      <w:color w:val="000000" w:themeColor="text1"/>
                      <w:szCs w:val="21"/>
                      <w:highlight w:val="none"/>
                      <w:lang w:eastAsia="zh-CN"/>
                      <w14:textFill>
                        <w14:solidFill>
                          <w14:schemeClr w14:val="tx1"/>
                        </w14:solidFill>
                      </w14:textFill>
                    </w:rPr>
                  </w:pPr>
                  <w:r>
                    <w:rPr>
                      <w:color w:val="000000" w:themeColor="text1"/>
                      <w:szCs w:val="21"/>
                      <w:highlight w:val="none"/>
                      <w14:textFill>
                        <w14:solidFill>
                          <w14:schemeClr w14:val="tx1"/>
                        </w14:solidFill>
                      </w14:textFill>
                    </w:rPr>
                    <w:t>1.</w:t>
                  </w:r>
                  <w:r>
                    <w:rPr>
                      <w:rFonts w:hint="eastAsia"/>
                      <w:color w:val="000000" w:themeColor="text1"/>
                      <w:szCs w:val="21"/>
                      <w:highlight w:val="none"/>
                      <w:lang w:val="en-US" w:eastAsia="zh-CN"/>
                      <w14:textFill>
                        <w14:solidFill>
                          <w14:schemeClr w14:val="tx1"/>
                        </w14:solidFill>
                      </w14:textFill>
                    </w:rPr>
                    <w:t>0</w:t>
                  </w:r>
                </w:p>
              </w:tc>
              <w:tc>
                <w:tcPr>
                  <w:tcW w:w="851" w:type="pct"/>
                  <w:vAlign w:val="center"/>
                </w:tcPr>
                <w:p w14:paraId="2C2B5AF5">
                  <w:pPr>
                    <w:snapToGrid w:val="0"/>
                    <w:spacing w:line="240" w:lineRule="exact"/>
                    <w:jc w:val="center"/>
                    <w:rPr>
                      <w:rFonts w:hint="eastAsia" w:eastAsia="宋体"/>
                      <w:color w:val="000000" w:themeColor="text1"/>
                      <w:szCs w:val="21"/>
                      <w:highlight w:val="none"/>
                      <w:lang w:eastAsia="zh-CN"/>
                      <w14:textFill>
                        <w14:solidFill>
                          <w14:schemeClr w14:val="tx1"/>
                        </w14:solidFill>
                      </w14:textFill>
                    </w:rPr>
                  </w:pPr>
                  <w:r>
                    <w:rPr>
                      <w:color w:val="000000" w:themeColor="text1"/>
                      <w:szCs w:val="21"/>
                      <w:highlight w:val="none"/>
                      <w14:textFill>
                        <w14:solidFill>
                          <w14:schemeClr w14:val="tx1"/>
                        </w14:solidFill>
                      </w14:textFill>
                    </w:rPr>
                    <w:t>0.</w:t>
                  </w:r>
                  <w:r>
                    <w:rPr>
                      <w:rFonts w:hint="eastAsia"/>
                      <w:color w:val="000000" w:themeColor="text1"/>
                      <w:szCs w:val="21"/>
                      <w:highlight w:val="none"/>
                      <w:lang w:val="en-US" w:eastAsia="zh-CN"/>
                      <w14:textFill>
                        <w14:solidFill>
                          <w14:schemeClr w14:val="tx1"/>
                        </w14:solidFill>
                      </w14:textFill>
                    </w:rPr>
                    <w:t>2</w:t>
                  </w:r>
                </w:p>
              </w:tc>
            </w:tr>
          </w:tbl>
          <w:p w14:paraId="7AA29E77">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禄口污水处理厂</w:t>
            </w:r>
            <w:r>
              <w:rPr>
                <w:rFonts w:hint="eastAsia"/>
                <w:color w:val="000000" w:themeColor="text1"/>
                <w:sz w:val="24"/>
                <w:highlight w:val="none"/>
                <w14:textFill>
                  <w14:solidFill>
                    <w14:schemeClr w14:val="tx1"/>
                  </w14:solidFill>
                </w14:textFill>
              </w:rPr>
              <w:t>排口上游</w:t>
            </w:r>
            <w:r>
              <w:rPr>
                <w:color w:val="000000" w:themeColor="text1"/>
                <w:sz w:val="24"/>
                <w:highlight w:val="none"/>
                <w14:textFill>
                  <w14:solidFill>
                    <w14:schemeClr w14:val="tx1"/>
                  </w14:solidFill>
                </w14:textFill>
              </w:rPr>
              <w:t>监测断面pH、COD、氨氮、总磷等均能满足《地表水环境质量标准》（GB3838-2002）</w:t>
            </w:r>
            <w:r>
              <w:rPr>
                <w:rFonts w:hint="eastAsia"/>
                <w:color w:val="000000" w:themeColor="text1"/>
                <w:sz w:val="24"/>
                <w:highlight w:val="none"/>
                <w14:textFill>
                  <w14:solidFill>
                    <w14:schemeClr w14:val="tx1"/>
                  </w14:solidFill>
                </w14:textFill>
              </w:rPr>
              <w:t>Ⅲ</w:t>
            </w:r>
            <w:r>
              <w:rPr>
                <w:color w:val="000000" w:themeColor="text1"/>
                <w:sz w:val="24"/>
                <w:highlight w:val="none"/>
                <w14:textFill>
                  <w14:solidFill>
                    <w14:schemeClr w14:val="tx1"/>
                  </w14:solidFill>
                </w14:textFill>
              </w:rPr>
              <w:t>类水体功能标准。</w:t>
            </w:r>
          </w:p>
          <w:p w14:paraId="649258BB">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综上，本项目周边地表水环境质量良好。</w:t>
            </w:r>
          </w:p>
          <w:p w14:paraId="4F680643">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3、声环境质量现状</w:t>
            </w:r>
          </w:p>
          <w:p w14:paraId="19629B92">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w:t>
            </w:r>
            <w:r>
              <w:rPr>
                <w:rFonts w:hint="eastAsia"/>
                <w:color w:val="000000" w:themeColor="text1"/>
                <w:sz w:val="24"/>
                <w:highlight w:val="none"/>
                <w:lang w:eastAsia="zh-CN"/>
                <w14:textFill>
                  <w14:solidFill>
                    <w14:schemeClr w14:val="tx1"/>
                  </w14:solidFill>
                </w14:textFill>
              </w:rPr>
              <w:t>2025年南京市生态环境状况公报</w:t>
            </w:r>
            <w:r>
              <w:rPr>
                <w:color w:val="000000" w:themeColor="text1"/>
                <w:sz w:val="24"/>
                <w:highlight w:val="none"/>
                <w14:textFill>
                  <w14:solidFill>
                    <w14:schemeClr w14:val="tx1"/>
                  </w14:solidFill>
                </w14:textFill>
              </w:rPr>
              <w:t>》，全市区域噪声监测点位53</w:t>
            </w:r>
            <w:r>
              <w:rPr>
                <w:rFonts w:hint="eastAsia"/>
                <w:color w:val="000000" w:themeColor="text1"/>
                <w:sz w:val="24"/>
                <w:highlight w:val="none"/>
                <w:lang w:val="en-US" w:eastAsia="zh-CN"/>
                <w14:textFill>
                  <w14:solidFill>
                    <w14:schemeClr w14:val="tx1"/>
                  </w14:solidFill>
                </w14:textFill>
              </w:rPr>
              <w:t>4</w:t>
            </w:r>
            <w:r>
              <w:rPr>
                <w:color w:val="000000" w:themeColor="text1"/>
                <w:sz w:val="24"/>
                <w:highlight w:val="none"/>
                <w14:textFill>
                  <w14:solidFill>
                    <w14:schemeClr w14:val="tx1"/>
                  </w14:solidFill>
                </w14:textFill>
              </w:rPr>
              <w:t>个。城区区域环境噪声均值为55.</w:t>
            </w:r>
            <w:r>
              <w:rPr>
                <w:rFonts w:hint="eastAsia"/>
                <w:color w:val="000000" w:themeColor="text1"/>
                <w:sz w:val="24"/>
                <w:highlight w:val="none"/>
                <w:lang w:val="en-US" w:eastAsia="zh-CN"/>
                <w14:textFill>
                  <w14:solidFill>
                    <w14:schemeClr w14:val="tx1"/>
                  </w14:solidFill>
                </w14:textFill>
              </w:rPr>
              <w:t>0</w:t>
            </w:r>
            <w:r>
              <w:rPr>
                <w:color w:val="000000" w:themeColor="text1"/>
                <w:sz w:val="24"/>
                <w:highlight w:val="none"/>
                <w14:textFill>
                  <w14:solidFill>
                    <w14:schemeClr w14:val="tx1"/>
                  </w14:solidFill>
                </w14:textFill>
              </w:rPr>
              <w:t>dB，同比</w:t>
            </w:r>
            <w:r>
              <w:rPr>
                <w:rFonts w:hint="eastAsia"/>
                <w:color w:val="000000" w:themeColor="text1"/>
                <w:sz w:val="24"/>
                <w:highlight w:val="none"/>
                <w:lang w:val="en-US" w:eastAsia="zh-CN"/>
                <w14:textFill>
                  <w14:solidFill>
                    <w14:schemeClr w14:val="tx1"/>
                  </w14:solidFill>
                </w14:textFill>
              </w:rPr>
              <w:t>下降0.1</w:t>
            </w:r>
            <w:r>
              <w:rPr>
                <w:color w:val="000000" w:themeColor="text1"/>
                <w:sz w:val="24"/>
                <w:highlight w:val="none"/>
                <w14:textFill>
                  <w14:solidFill>
                    <w14:schemeClr w14:val="tx1"/>
                  </w14:solidFill>
                </w14:textFill>
              </w:rPr>
              <w:t>dB；郊区区域环境噪声均值52.</w:t>
            </w:r>
            <w:r>
              <w:rPr>
                <w:rFonts w:hint="eastAsia"/>
                <w:color w:val="000000" w:themeColor="text1"/>
                <w:sz w:val="24"/>
                <w:highlight w:val="none"/>
                <w:lang w:val="en-US" w:eastAsia="zh-CN"/>
                <w14:textFill>
                  <w14:solidFill>
                    <w14:schemeClr w14:val="tx1"/>
                  </w14:solidFill>
                </w14:textFill>
              </w:rPr>
              <w:t>7</w:t>
            </w:r>
            <w:r>
              <w:rPr>
                <w:color w:val="000000" w:themeColor="text1"/>
                <w:sz w:val="24"/>
                <w:highlight w:val="none"/>
                <w14:textFill>
                  <w14:solidFill>
                    <w14:schemeClr w14:val="tx1"/>
                  </w14:solidFill>
                </w14:textFill>
              </w:rPr>
              <w:t>dB，同比</w:t>
            </w:r>
            <w:r>
              <w:rPr>
                <w:rFonts w:hint="eastAsia"/>
                <w:color w:val="000000" w:themeColor="text1"/>
                <w:sz w:val="24"/>
                <w:highlight w:val="none"/>
                <w:lang w:val="en-US" w:eastAsia="zh-CN"/>
                <w14:textFill>
                  <w14:solidFill>
                    <w14:schemeClr w14:val="tx1"/>
                  </w14:solidFill>
                </w14:textFill>
              </w:rPr>
              <w:t>上升0.4</w:t>
            </w:r>
            <w:r>
              <w:rPr>
                <w:color w:val="000000" w:themeColor="text1"/>
                <w:sz w:val="24"/>
                <w:highlight w:val="none"/>
                <w14:textFill>
                  <w14:solidFill>
                    <w14:schemeClr w14:val="tx1"/>
                  </w14:solidFill>
                </w14:textFill>
              </w:rPr>
              <w:t>dB。全市交通噪声监测点位247个。城区交通噪声均值为6</w:t>
            </w:r>
            <w:r>
              <w:rPr>
                <w:rFonts w:hint="eastAsia"/>
                <w:color w:val="000000" w:themeColor="text1"/>
                <w:sz w:val="24"/>
                <w:highlight w:val="none"/>
                <w:lang w:val="en-US" w:eastAsia="zh-CN"/>
                <w14:textFill>
                  <w14:solidFill>
                    <w14:schemeClr w14:val="tx1"/>
                  </w14:solidFill>
                </w14:textFill>
              </w:rPr>
              <w:t>6.8</w:t>
            </w:r>
            <w:r>
              <w:rPr>
                <w:color w:val="000000" w:themeColor="text1"/>
                <w:sz w:val="24"/>
                <w:highlight w:val="none"/>
                <w14:textFill>
                  <w14:solidFill>
                    <w14:schemeClr w14:val="tx1"/>
                  </w14:solidFill>
                </w14:textFill>
              </w:rPr>
              <w:t>dB，同比下降0</w:t>
            </w:r>
            <w:r>
              <w:rPr>
                <w:rFonts w:hint="eastAsia"/>
                <w:color w:val="000000" w:themeColor="text1"/>
                <w:sz w:val="24"/>
                <w:highlight w:val="none"/>
                <w:lang w:val="en-US" w:eastAsia="zh-CN"/>
                <w14:textFill>
                  <w14:solidFill>
                    <w14:schemeClr w14:val="tx1"/>
                  </w14:solidFill>
                </w14:textFill>
              </w:rPr>
              <w:t>.3</w:t>
            </w:r>
            <w:r>
              <w:rPr>
                <w:color w:val="000000" w:themeColor="text1"/>
                <w:sz w:val="24"/>
                <w:highlight w:val="none"/>
                <w14:textFill>
                  <w14:solidFill>
                    <w14:schemeClr w14:val="tx1"/>
                  </w14:solidFill>
                </w14:textFill>
              </w:rPr>
              <w:t>dB；郊区交通噪声均值6</w:t>
            </w:r>
            <w:r>
              <w:rPr>
                <w:rFonts w:hint="eastAsia"/>
                <w:color w:val="000000" w:themeColor="text1"/>
                <w:sz w:val="24"/>
                <w:highlight w:val="none"/>
                <w:lang w:val="en-US" w:eastAsia="zh-CN"/>
                <w14:textFill>
                  <w14:solidFill>
                    <w14:schemeClr w14:val="tx1"/>
                  </w14:solidFill>
                </w14:textFill>
              </w:rPr>
              <w:t>4.8</w:t>
            </w:r>
            <w:r>
              <w:rPr>
                <w:color w:val="000000" w:themeColor="text1"/>
                <w:sz w:val="24"/>
                <w:highlight w:val="none"/>
                <w14:textFill>
                  <w14:solidFill>
                    <w14:schemeClr w14:val="tx1"/>
                  </w14:solidFill>
                </w14:textFill>
              </w:rPr>
              <w:t>dB，同比下降0.</w:t>
            </w:r>
            <w:r>
              <w:rPr>
                <w:rFonts w:hint="eastAsia"/>
                <w:color w:val="000000" w:themeColor="text1"/>
                <w:sz w:val="24"/>
                <w:highlight w:val="none"/>
                <w:lang w:val="en-US" w:eastAsia="zh-CN"/>
                <w14:textFill>
                  <w14:solidFill>
                    <w14:schemeClr w14:val="tx1"/>
                  </w14:solidFill>
                </w14:textFill>
              </w:rPr>
              <w:t>9</w:t>
            </w:r>
            <w:r>
              <w:rPr>
                <w:color w:val="000000" w:themeColor="text1"/>
                <w:sz w:val="24"/>
                <w:highlight w:val="none"/>
                <w14:textFill>
                  <w14:solidFill>
                    <w14:schemeClr w14:val="tx1"/>
                  </w14:solidFill>
                </w14:textFill>
              </w:rPr>
              <w:t>dB。全市功能区噪声自动监测点位20个。昼间噪声达标率为9</w:t>
            </w:r>
            <w:r>
              <w:rPr>
                <w:rFonts w:hint="eastAsia"/>
                <w:color w:val="000000" w:themeColor="text1"/>
                <w:sz w:val="24"/>
                <w:highlight w:val="none"/>
                <w:lang w:val="en-US" w:eastAsia="zh-CN"/>
                <w14:textFill>
                  <w14:solidFill>
                    <w14:schemeClr w14:val="tx1"/>
                  </w14:solidFill>
                </w14:textFill>
              </w:rPr>
              <w:t>6.9</w:t>
            </w:r>
            <w:r>
              <w:rPr>
                <w:color w:val="000000" w:themeColor="text1"/>
                <w:sz w:val="24"/>
                <w:highlight w:val="none"/>
                <w14:textFill>
                  <w14:solidFill>
                    <w14:schemeClr w14:val="tx1"/>
                  </w14:solidFill>
                </w14:textFill>
              </w:rPr>
              <w:t>%，夜间噪声达标率为</w:t>
            </w:r>
            <w:r>
              <w:rPr>
                <w:rFonts w:hint="eastAsia"/>
                <w:color w:val="000000" w:themeColor="text1"/>
                <w:sz w:val="24"/>
                <w:highlight w:val="none"/>
                <w:lang w:val="en-US" w:eastAsia="zh-CN"/>
                <w14:textFill>
                  <w14:solidFill>
                    <w14:schemeClr w14:val="tx1"/>
                  </w14:solidFill>
                </w14:textFill>
              </w:rPr>
              <w:t>90.9</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w:t>
            </w:r>
          </w:p>
          <w:p w14:paraId="4E0B5DA9">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根据《建设项目环境影响报告表编制技术指南（污染影响类）》（试行），声环境厂界外周边50米范围内</w:t>
            </w:r>
            <w:r>
              <w:rPr>
                <w:rFonts w:hint="eastAsia"/>
                <w:color w:val="000000" w:themeColor="text1"/>
                <w:sz w:val="24"/>
                <w:highlight w:val="none"/>
                <w14:textFill>
                  <w14:solidFill>
                    <w14:schemeClr w14:val="tx1"/>
                  </w14:solidFill>
                </w14:textFill>
              </w:rPr>
              <w:t>不</w:t>
            </w:r>
            <w:r>
              <w:rPr>
                <w:color w:val="000000" w:themeColor="text1"/>
                <w:sz w:val="24"/>
                <w:highlight w:val="none"/>
                <w:lang w:val="zh-CN"/>
                <w14:textFill>
                  <w14:solidFill>
                    <w14:schemeClr w14:val="tx1"/>
                  </w14:solidFill>
                </w14:textFill>
              </w:rPr>
              <w:t>存在声环境保护目标的建设项目，</w:t>
            </w:r>
            <w:r>
              <w:rPr>
                <w:rFonts w:hint="eastAsia"/>
                <w:color w:val="000000" w:themeColor="text1"/>
                <w:sz w:val="24"/>
                <w:highlight w:val="none"/>
                <w14:textFill>
                  <w14:solidFill>
                    <w14:schemeClr w14:val="tx1"/>
                  </w14:solidFill>
                </w14:textFill>
              </w:rPr>
              <w:t>不</w:t>
            </w:r>
            <w:r>
              <w:rPr>
                <w:color w:val="000000" w:themeColor="text1"/>
                <w:sz w:val="24"/>
                <w:highlight w:val="none"/>
                <w:lang w:val="zh-CN"/>
                <w14:textFill>
                  <w14:solidFill>
                    <w14:schemeClr w14:val="tx1"/>
                  </w14:solidFill>
                </w14:textFill>
              </w:rPr>
              <w:t>需开展声环境质量现状调查。</w:t>
            </w:r>
          </w:p>
          <w:p w14:paraId="3D71FC1C">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4</w:t>
            </w:r>
            <w:r>
              <w:rPr>
                <w:color w:val="000000" w:themeColor="text1"/>
                <w:sz w:val="24"/>
                <w:highlight w:val="none"/>
                <w:lang w:val="zh-CN"/>
                <w14:textFill>
                  <w14:solidFill>
                    <w14:schemeClr w14:val="tx1"/>
                  </w14:solidFill>
                </w14:textFill>
              </w:rPr>
              <w:t>、生态环境</w:t>
            </w:r>
          </w:p>
          <w:p w14:paraId="58531A6C">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本项目利用现有地块进行建设，项目用地范围内无生态环境保护目标，无需进行生态现状调查。</w:t>
            </w:r>
          </w:p>
          <w:p w14:paraId="74FFE90A">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5、</w:t>
            </w:r>
            <w:r>
              <w:rPr>
                <w:color w:val="000000" w:themeColor="text1"/>
                <w:sz w:val="24"/>
                <w:highlight w:val="none"/>
                <w:lang w:val="zh-CN"/>
                <w14:textFill>
                  <w14:solidFill>
                    <w14:schemeClr w14:val="tx1"/>
                  </w14:solidFill>
                </w14:textFill>
              </w:rPr>
              <w:t>电磁辐射</w:t>
            </w:r>
          </w:p>
          <w:p w14:paraId="5ACE6B2C">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本项目属于</w:t>
            </w:r>
            <w:r>
              <w:rPr>
                <w:rFonts w:hint="eastAsia"/>
                <w:color w:val="000000" w:themeColor="text1"/>
                <w:sz w:val="24"/>
                <w:highlight w:val="none"/>
                <w:lang w:eastAsia="zh-CN"/>
                <w14:textFill>
                  <w14:solidFill>
                    <w14:schemeClr w14:val="tx1"/>
                  </w14:solidFill>
                </w14:textFill>
              </w:rPr>
              <w:t>C2913橡胶零件制造、C2929塑料零件及其他塑料制品制造、C3670汽车零部件及配件制造，</w:t>
            </w:r>
            <w:r>
              <w:rPr>
                <w:rFonts w:hint="eastAsia"/>
                <w:color w:val="000000" w:themeColor="text1"/>
                <w:sz w:val="24"/>
                <w:highlight w:val="none"/>
                <w14:textFill>
                  <w14:solidFill>
                    <w14:schemeClr w14:val="tx1"/>
                  </w14:solidFill>
                </w14:textFill>
              </w:rPr>
              <w:t>不</w:t>
            </w:r>
            <w:r>
              <w:rPr>
                <w:color w:val="000000" w:themeColor="text1"/>
                <w:sz w:val="24"/>
                <w:highlight w:val="none"/>
                <w14:textFill>
                  <w14:solidFill>
                    <w14:schemeClr w14:val="tx1"/>
                  </w14:solidFill>
                </w14:textFill>
              </w:rPr>
              <w:t>涉及电磁辐射，无需对电磁辐射现状开展监测与评价。</w:t>
            </w:r>
          </w:p>
          <w:p w14:paraId="0F06CCEB">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6、</w:t>
            </w:r>
            <w:r>
              <w:rPr>
                <w:color w:val="000000" w:themeColor="text1"/>
                <w:sz w:val="24"/>
                <w:highlight w:val="none"/>
                <w:lang w:val="zh-CN"/>
                <w14:textFill>
                  <w14:solidFill>
                    <w14:schemeClr w14:val="tx1"/>
                  </w14:solidFill>
                </w14:textFill>
              </w:rPr>
              <w:t>地下水、土壤</w:t>
            </w:r>
          </w:p>
          <w:p w14:paraId="0E71E1FF">
            <w:pPr>
              <w:adjustRightInd w:val="0"/>
              <w:snapToGrid w:val="0"/>
              <w:spacing w:line="440" w:lineRule="exact"/>
              <w:ind w:firstLine="480" w:firstLineChars="200"/>
              <w:rPr>
                <w:color w:val="000000" w:themeColor="text1"/>
                <w:kern w:val="0"/>
                <w:szCs w:val="21"/>
                <w:highlight w:val="none"/>
                <w14:textFill>
                  <w14:solidFill>
                    <w14:schemeClr w14:val="tx1"/>
                  </w14:solidFill>
                </w14:textFill>
              </w:rPr>
            </w:pPr>
            <w:r>
              <w:rPr>
                <w:color w:val="000000" w:themeColor="text1"/>
                <w:sz w:val="24"/>
                <w:highlight w:val="none"/>
                <w:lang w:val="zh-CN"/>
                <w14:textFill>
                  <w14:solidFill>
                    <w14:schemeClr w14:val="tx1"/>
                  </w14:solidFill>
                </w14:textFill>
              </w:rPr>
              <w:t>根据《建设项目环境影响报告表编制技术指南（污染影响类）</w:t>
            </w:r>
            <w:r>
              <w:rPr>
                <w:rFonts w:hint="eastAsia"/>
                <w:color w:val="000000" w:themeColor="text1"/>
                <w:sz w:val="24"/>
                <w:highlight w:val="none"/>
                <w:lang w:val="zh-CN"/>
                <w14:textFill>
                  <w14:solidFill>
                    <w14:schemeClr w14:val="tx1"/>
                  </w14:solidFill>
                </w14:textFill>
              </w:rPr>
              <w:t>（试行）》</w:t>
            </w:r>
            <w:r>
              <w:rPr>
                <w:color w:val="000000" w:themeColor="text1"/>
                <w:sz w:val="24"/>
                <w:highlight w:val="none"/>
                <w:lang w:val="zh-CN"/>
                <w14:textFill>
                  <w14:solidFill>
                    <w14:schemeClr w14:val="tx1"/>
                  </w14:solidFill>
                </w14:textFill>
              </w:rPr>
              <w:t>，本项目无污染途径，原则上不开展地下水、土壤环境质量现状调查。</w:t>
            </w:r>
            <w:r>
              <w:rPr>
                <w:color w:val="000000" w:themeColor="text1"/>
                <w:sz w:val="24"/>
                <w:highlight w:val="none"/>
                <w14:textFill>
                  <w14:solidFill>
                    <w14:schemeClr w14:val="tx1"/>
                  </w14:solidFill>
                </w14:textFill>
              </w:rPr>
              <w:t>厂区</w:t>
            </w:r>
            <w:r>
              <w:rPr>
                <w:color w:val="000000" w:themeColor="text1"/>
                <w:sz w:val="24"/>
                <w:highlight w:val="none"/>
                <w:lang w:val="zh-CN"/>
                <w14:textFill>
                  <w14:solidFill>
                    <w14:schemeClr w14:val="tx1"/>
                  </w14:solidFill>
                </w14:textFill>
              </w:rPr>
              <w:t>路面及厂房均实施了硬化，地面状况良好，因此本项目发生地下水、土壤环境问题的可能性较小。对地下水、土壤有影响的各个环节均能得到良好控制，可不开展现状</w:t>
            </w:r>
            <w:r>
              <w:rPr>
                <w:rFonts w:hint="eastAsia"/>
                <w:color w:val="000000" w:themeColor="text1"/>
                <w:sz w:val="24"/>
                <w:highlight w:val="none"/>
                <w:lang w:val="zh-CN"/>
                <w14:textFill>
                  <w14:solidFill>
                    <w14:schemeClr w14:val="tx1"/>
                  </w14:solidFill>
                </w14:textFill>
              </w:rPr>
              <w:t>调查</w:t>
            </w:r>
            <w:r>
              <w:rPr>
                <w:color w:val="000000" w:themeColor="text1"/>
                <w:sz w:val="24"/>
                <w:highlight w:val="none"/>
                <w:lang w:val="zh-CN"/>
                <w14:textFill>
                  <w14:solidFill>
                    <w14:schemeClr w14:val="tx1"/>
                  </w14:solidFill>
                </w14:textFill>
              </w:rPr>
              <w:t>。</w:t>
            </w:r>
          </w:p>
        </w:tc>
      </w:tr>
      <w:tr w14:paraId="2BDB82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10" w:hRule="atLeast"/>
          <w:jc w:val="center"/>
        </w:trPr>
        <w:tc>
          <w:tcPr>
            <w:tcW w:w="453" w:type="dxa"/>
            <w:vAlign w:val="center"/>
          </w:tcPr>
          <w:p w14:paraId="3D5AEA8C">
            <w:pPr>
              <w:adjustRightInd w:val="0"/>
              <w:snapToGrid w:val="0"/>
              <w:spacing w:line="440" w:lineRule="exact"/>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环境</w:t>
            </w:r>
          </w:p>
          <w:p w14:paraId="19CF490B">
            <w:pPr>
              <w:adjustRightInd w:val="0"/>
              <w:snapToGrid w:val="0"/>
              <w:spacing w:line="440" w:lineRule="exact"/>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保护</w:t>
            </w:r>
          </w:p>
          <w:p w14:paraId="1C5A9D20">
            <w:pPr>
              <w:adjustRightInd w:val="0"/>
              <w:snapToGrid w:val="0"/>
              <w:spacing w:line="440" w:lineRule="exact"/>
              <w:jc w:val="center"/>
              <w:rPr>
                <w:color w:val="000000" w:themeColor="text1"/>
                <w:kern w:val="0"/>
                <w:szCs w:val="21"/>
                <w:highlight w:val="none"/>
                <w14:textFill>
                  <w14:solidFill>
                    <w14:schemeClr w14:val="tx1"/>
                  </w14:solidFill>
                </w14:textFill>
              </w:rPr>
            </w:pPr>
            <w:r>
              <w:rPr>
                <w:color w:val="000000" w:themeColor="text1"/>
                <w:kern w:val="0"/>
                <w:sz w:val="24"/>
                <w:highlight w:val="none"/>
                <w14:textFill>
                  <w14:solidFill>
                    <w14:schemeClr w14:val="tx1"/>
                  </w14:solidFill>
                </w14:textFill>
              </w:rPr>
              <w:t>目标</w:t>
            </w:r>
          </w:p>
        </w:tc>
        <w:tc>
          <w:tcPr>
            <w:tcW w:w="8608" w:type="dxa"/>
            <w:vAlign w:val="center"/>
          </w:tcPr>
          <w:p w14:paraId="5FF81C32">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根据现场勘查，本项目周围主要环境保护目标具体见下表。</w:t>
            </w:r>
          </w:p>
          <w:p w14:paraId="537C0593">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1）大气环境</w:t>
            </w:r>
          </w:p>
          <w:p w14:paraId="29734C78">
            <w:pPr>
              <w:keepNext w:val="0"/>
              <w:keepLines w:val="0"/>
              <w:pageBreakBefore w:val="0"/>
              <w:widowControl w:val="0"/>
              <w:kinsoku/>
              <w:wordWrap/>
              <w:overflowPunct/>
              <w:topLinePunct w:val="0"/>
              <w:autoSpaceDE/>
              <w:autoSpaceDN/>
              <w:bidi w:val="0"/>
              <w:spacing w:line="460" w:lineRule="exact"/>
              <w:ind w:firstLine="480" w:firstLineChars="200"/>
              <w:jc w:val="left"/>
              <w:textAlignment w:val="auto"/>
              <w:rPr>
                <w:rFonts w:hint="eastAsia" w:ascii="Times New Roman" w:hAnsi="Times New Roman" w:eastAsia="宋体" w:cs="Times New Roman"/>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sz w:val="24"/>
                <w:highlight w:val="none"/>
                <w14:textFill>
                  <w14:solidFill>
                    <w14:schemeClr w14:val="tx1"/>
                  </w14:solidFill>
                </w14:textFill>
              </w:rPr>
              <w:t>根据现场勘查，企业周边500米范围内敏感目标见表3-</w:t>
            </w:r>
            <w:r>
              <w:rPr>
                <w:rFonts w:hint="eastAsia" w:cs="Times New Roman"/>
                <w:color w:val="000000" w:themeColor="text1"/>
                <w:sz w:val="24"/>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sz w:val="24"/>
                <w:highlight w:val="none"/>
                <w14:textFill>
                  <w14:solidFill>
                    <w14:schemeClr w14:val="tx1"/>
                  </w14:solidFill>
                </w14:textFill>
              </w:rPr>
              <w:t>。</w:t>
            </w:r>
          </w:p>
          <w:p w14:paraId="25324ABC">
            <w:pPr>
              <w:widowControl/>
              <w:spacing w:line="460" w:lineRule="exact"/>
              <w:jc w:val="center"/>
              <w:rPr>
                <w:rFonts w:hint="eastAsia" w:ascii="Times New Roman" w:hAnsi="Times New Roman" w:eastAsia="宋体" w:cs="Times New Roman"/>
                <w:b/>
                <w:bCs/>
                <w:color w:val="000000" w:themeColor="text1"/>
                <w:sz w:val="24"/>
                <w:highlight w:val="none"/>
                <w:lang w:val="zh-CN"/>
                <w14:textFill>
                  <w14:solidFill>
                    <w14:schemeClr w14:val="tx1"/>
                  </w14:solidFill>
                </w14:textFill>
              </w:rPr>
            </w:pPr>
            <w:r>
              <w:rPr>
                <w:rFonts w:hint="eastAsia" w:ascii="Times New Roman" w:hAnsi="Times New Roman" w:eastAsia="宋体" w:cs="Times New Roman"/>
                <w:b/>
                <w:bCs/>
                <w:color w:val="000000" w:themeColor="text1"/>
                <w:sz w:val="24"/>
                <w:highlight w:val="none"/>
                <w:lang w:val="zh-CN"/>
                <w14:textFill>
                  <w14:solidFill>
                    <w14:schemeClr w14:val="tx1"/>
                  </w14:solidFill>
                </w14:textFill>
              </w:rPr>
              <w:t>表3-</w:t>
            </w:r>
            <w:r>
              <w:rPr>
                <w:rFonts w:hint="eastAsia" w:cs="Times New Roman"/>
                <w:b/>
                <w:bCs/>
                <w:color w:val="000000" w:themeColor="text1"/>
                <w:sz w:val="24"/>
                <w:highlight w:val="none"/>
                <w:lang w:val="en-US" w:eastAsia="zh-CN"/>
                <w14:textFill>
                  <w14:solidFill>
                    <w14:schemeClr w14:val="tx1"/>
                  </w14:solidFill>
                </w14:textFill>
              </w:rPr>
              <w:t>4</w:t>
            </w:r>
            <w:r>
              <w:rPr>
                <w:rFonts w:hint="eastAsia" w:ascii="Times New Roman" w:hAnsi="Times New Roman" w:eastAsia="宋体" w:cs="Times New Roman"/>
                <w:b/>
                <w:bCs/>
                <w:color w:val="000000" w:themeColor="text1"/>
                <w:sz w:val="24"/>
                <w:highlight w:val="none"/>
                <w:lang w:val="en-US" w:eastAsia="zh-CN"/>
                <w14:textFill>
                  <w14:solidFill>
                    <w14:schemeClr w14:val="tx1"/>
                  </w14:solidFill>
                </w14:textFill>
              </w:rPr>
              <w:t>大气</w:t>
            </w:r>
            <w:r>
              <w:rPr>
                <w:rFonts w:hint="eastAsia" w:ascii="Times New Roman" w:hAnsi="Times New Roman" w:eastAsia="宋体" w:cs="Times New Roman"/>
                <w:b/>
                <w:bCs/>
                <w:color w:val="000000" w:themeColor="text1"/>
                <w:sz w:val="24"/>
                <w:highlight w:val="none"/>
                <w:lang w:val="zh-CN"/>
                <w14:textFill>
                  <w14:solidFill>
                    <w14:schemeClr w14:val="tx1"/>
                  </w14:solidFill>
                </w14:textFill>
              </w:rPr>
              <w:t>环境保护目标一览表</w:t>
            </w:r>
          </w:p>
          <w:tbl>
            <w:tblPr>
              <w:tblStyle w:val="39"/>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423"/>
              <w:gridCol w:w="621"/>
              <w:gridCol w:w="549"/>
              <w:gridCol w:w="580"/>
              <w:gridCol w:w="1036"/>
              <w:gridCol w:w="1650"/>
              <w:gridCol w:w="900"/>
              <w:gridCol w:w="961"/>
            </w:tblGrid>
            <w:tr w14:paraId="58DEA1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8" w:type="dxa"/>
                  <w:vMerge w:val="restart"/>
                  <w:tcBorders>
                    <w:tl2br w:val="nil"/>
                    <w:tr2bl w:val="nil"/>
                  </w:tcBorders>
                  <w:vAlign w:val="center"/>
                </w:tcPr>
                <w:p w14:paraId="64B8C555">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环境要素</w:t>
                  </w:r>
                </w:p>
              </w:tc>
              <w:tc>
                <w:tcPr>
                  <w:tcW w:w="1423" w:type="dxa"/>
                  <w:vMerge w:val="restart"/>
                  <w:tcBorders>
                    <w:tl2br w:val="nil"/>
                    <w:tr2bl w:val="nil"/>
                  </w:tcBorders>
                  <w:vAlign w:val="center"/>
                </w:tcPr>
                <w:p w14:paraId="10B0A4A2">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环境保护目标</w:t>
                  </w:r>
                </w:p>
              </w:tc>
              <w:tc>
                <w:tcPr>
                  <w:tcW w:w="1170" w:type="dxa"/>
                  <w:gridSpan w:val="2"/>
                  <w:tcBorders>
                    <w:tl2br w:val="nil"/>
                    <w:tr2bl w:val="nil"/>
                  </w:tcBorders>
                  <w:vAlign w:val="center"/>
                </w:tcPr>
                <w:p w14:paraId="04435FC4">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color w:val="000000" w:themeColor="text1"/>
                      <w:kern w:val="0"/>
                      <w:sz w:val="21"/>
                      <w:szCs w:val="21"/>
                      <w:highlight w:val="none"/>
                      <w:lang w:val="en-US"/>
                      <w14:textFill>
                        <w14:solidFill>
                          <w14:schemeClr w14:val="tx1"/>
                        </w14:solidFill>
                      </w14:textFill>
                    </w:rPr>
                  </w:pPr>
                  <w:r>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坐标</w:t>
                  </w:r>
                  <w:r>
                    <w:rPr>
                      <w:rFonts w:hint="eastAsia" w:cs="Times New Roman"/>
                      <w:b/>
                      <w:color w:val="000000" w:themeColor="text1"/>
                      <w:kern w:val="0"/>
                      <w:sz w:val="21"/>
                      <w:szCs w:val="21"/>
                      <w:highlight w:val="none"/>
                      <w:lang w:val="en-US" w:eastAsia="zh-CN"/>
                      <w14:textFill>
                        <w14:solidFill>
                          <w14:schemeClr w14:val="tx1"/>
                        </w14:solidFill>
                      </w14:textFill>
                    </w:rPr>
                    <w:t>（m）</w:t>
                  </w:r>
                </w:p>
              </w:tc>
              <w:tc>
                <w:tcPr>
                  <w:tcW w:w="580" w:type="dxa"/>
                  <w:vMerge w:val="restart"/>
                  <w:tcBorders>
                    <w:tl2br w:val="nil"/>
                    <w:tr2bl w:val="nil"/>
                  </w:tcBorders>
                  <w:vAlign w:val="center"/>
                </w:tcPr>
                <w:p w14:paraId="0AAB975B">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保护</w:t>
                  </w:r>
                </w:p>
                <w:p w14:paraId="67853085">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内容</w:t>
                  </w:r>
                </w:p>
              </w:tc>
              <w:tc>
                <w:tcPr>
                  <w:tcW w:w="1036" w:type="dxa"/>
                  <w:vMerge w:val="restart"/>
                  <w:tcBorders>
                    <w:tl2br w:val="nil"/>
                    <w:tr2bl w:val="nil"/>
                  </w:tcBorders>
                  <w:vAlign w:val="center"/>
                </w:tcPr>
                <w:p w14:paraId="4EA59BF4">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保护对象</w:t>
                  </w:r>
                </w:p>
              </w:tc>
              <w:tc>
                <w:tcPr>
                  <w:tcW w:w="1650" w:type="dxa"/>
                  <w:vMerge w:val="restart"/>
                  <w:tcBorders>
                    <w:tl2br w:val="nil"/>
                    <w:tr2bl w:val="nil"/>
                  </w:tcBorders>
                  <w:vAlign w:val="center"/>
                </w:tcPr>
                <w:p w14:paraId="30547B42">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环境功能区</w:t>
                  </w:r>
                </w:p>
              </w:tc>
              <w:tc>
                <w:tcPr>
                  <w:tcW w:w="900" w:type="dxa"/>
                  <w:vMerge w:val="restart"/>
                  <w:tcBorders>
                    <w:tl2br w:val="nil"/>
                    <w:tr2bl w:val="nil"/>
                  </w:tcBorders>
                  <w:vAlign w:val="center"/>
                </w:tcPr>
                <w:p w14:paraId="31807B45">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相对厂址方位</w:t>
                  </w:r>
                </w:p>
              </w:tc>
              <w:tc>
                <w:tcPr>
                  <w:tcW w:w="961" w:type="dxa"/>
                  <w:vMerge w:val="restart"/>
                  <w:tcBorders>
                    <w:tl2br w:val="nil"/>
                    <w:tr2bl w:val="nil"/>
                  </w:tcBorders>
                  <w:vAlign w:val="center"/>
                </w:tcPr>
                <w:p w14:paraId="7ABEF55E">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相对厂界距离m</w:t>
                  </w:r>
                </w:p>
              </w:tc>
            </w:tr>
            <w:tr w14:paraId="554284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8" w:type="dxa"/>
                  <w:vMerge w:val="continue"/>
                  <w:tcBorders>
                    <w:tl2br w:val="nil"/>
                    <w:tr2bl w:val="nil"/>
                  </w:tcBorders>
                  <w:vAlign w:val="center"/>
                </w:tcPr>
                <w:p w14:paraId="165C7FBC">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b/>
                      <w:color w:val="000000" w:themeColor="text1"/>
                      <w:kern w:val="0"/>
                      <w:sz w:val="21"/>
                      <w:szCs w:val="21"/>
                      <w:highlight w:val="none"/>
                      <w14:textFill>
                        <w14:solidFill>
                          <w14:schemeClr w14:val="tx1"/>
                        </w14:solidFill>
                      </w14:textFill>
                    </w:rPr>
                  </w:pPr>
                </w:p>
              </w:tc>
              <w:tc>
                <w:tcPr>
                  <w:tcW w:w="1423" w:type="dxa"/>
                  <w:vMerge w:val="continue"/>
                  <w:tcBorders>
                    <w:tl2br w:val="nil"/>
                    <w:tr2bl w:val="nil"/>
                  </w:tcBorders>
                  <w:vAlign w:val="center"/>
                </w:tcPr>
                <w:p w14:paraId="77321751">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b/>
                      <w:color w:val="000000" w:themeColor="text1"/>
                      <w:kern w:val="0"/>
                      <w:sz w:val="21"/>
                      <w:szCs w:val="21"/>
                      <w:highlight w:val="none"/>
                      <w14:textFill>
                        <w14:solidFill>
                          <w14:schemeClr w14:val="tx1"/>
                        </w14:solidFill>
                      </w14:textFill>
                    </w:rPr>
                  </w:pPr>
                </w:p>
              </w:tc>
              <w:tc>
                <w:tcPr>
                  <w:tcW w:w="621" w:type="dxa"/>
                  <w:tcBorders>
                    <w:tl2br w:val="nil"/>
                    <w:tr2bl w:val="nil"/>
                  </w:tcBorders>
                  <w:vAlign w:val="center"/>
                </w:tcPr>
                <w:p w14:paraId="17562811">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X</w:t>
                  </w:r>
                </w:p>
              </w:tc>
              <w:tc>
                <w:tcPr>
                  <w:tcW w:w="549" w:type="dxa"/>
                  <w:tcBorders>
                    <w:tl2br w:val="nil"/>
                    <w:tr2bl w:val="nil"/>
                  </w:tcBorders>
                  <w:vAlign w:val="center"/>
                </w:tcPr>
                <w:p w14:paraId="5B11982D">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Y</w:t>
                  </w:r>
                </w:p>
              </w:tc>
              <w:tc>
                <w:tcPr>
                  <w:tcW w:w="580" w:type="dxa"/>
                  <w:vMerge w:val="continue"/>
                  <w:tcBorders>
                    <w:tl2br w:val="nil"/>
                    <w:tr2bl w:val="nil"/>
                  </w:tcBorders>
                  <w:vAlign w:val="center"/>
                </w:tcPr>
                <w:p w14:paraId="2E40F334">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b/>
                      <w:color w:val="000000" w:themeColor="text1"/>
                      <w:kern w:val="0"/>
                      <w:sz w:val="21"/>
                      <w:szCs w:val="21"/>
                      <w:highlight w:val="none"/>
                      <w14:textFill>
                        <w14:solidFill>
                          <w14:schemeClr w14:val="tx1"/>
                        </w14:solidFill>
                      </w14:textFill>
                    </w:rPr>
                  </w:pPr>
                </w:p>
              </w:tc>
              <w:tc>
                <w:tcPr>
                  <w:tcW w:w="1036" w:type="dxa"/>
                  <w:vMerge w:val="continue"/>
                  <w:tcBorders>
                    <w:tl2br w:val="nil"/>
                    <w:tr2bl w:val="nil"/>
                  </w:tcBorders>
                  <w:vAlign w:val="center"/>
                </w:tcPr>
                <w:p w14:paraId="4E25CE64">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b/>
                      <w:color w:val="000000" w:themeColor="text1"/>
                      <w:kern w:val="0"/>
                      <w:sz w:val="21"/>
                      <w:szCs w:val="21"/>
                      <w:highlight w:val="none"/>
                      <w14:textFill>
                        <w14:solidFill>
                          <w14:schemeClr w14:val="tx1"/>
                        </w14:solidFill>
                      </w14:textFill>
                    </w:rPr>
                  </w:pPr>
                </w:p>
              </w:tc>
              <w:tc>
                <w:tcPr>
                  <w:tcW w:w="1650" w:type="dxa"/>
                  <w:vMerge w:val="continue"/>
                  <w:tcBorders>
                    <w:tl2br w:val="nil"/>
                    <w:tr2bl w:val="nil"/>
                  </w:tcBorders>
                  <w:vAlign w:val="center"/>
                </w:tcPr>
                <w:p w14:paraId="102FA0B1">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b/>
                      <w:color w:val="000000" w:themeColor="text1"/>
                      <w:kern w:val="0"/>
                      <w:sz w:val="21"/>
                      <w:szCs w:val="21"/>
                      <w:highlight w:val="none"/>
                      <w14:textFill>
                        <w14:solidFill>
                          <w14:schemeClr w14:val="tx1"/>
                        </w14:solidFill>
                      </w14:textFill>
                    </w:rPr>
                  </w:pPr>
                </w:p>
              </w:tc>
              <w:tc>
                <w:tcPr>
                  <w:tcW w:w="900" w:type="dxa"/>
                  <w:vMerge w:val="continue"/>
                  <w:tcBorders>
                    <w:tl2br w:val="nil"/>
                    <w:tr2bl w:val="nil"/>
                  </w:tcBorders>
                  <w:vAlign w:val="center"/>
                </w:tcPr>
                <w:p w14:paraId="3289A908">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b/>
                      <w:color w:val="000000" w:themeColor="text1"/>
                      <w:kern w:val="0"/>
                      <w:sz w:val="21"/>
                      <w:szCs w:val="21"/>
                      <w:highlight w:val="none"/>
                      <w14:textFill>
                        <w14:solidFill>
                          <w14:schemeClr w14:val="tx1"/>
                        </w14:solidFill>
                      </w14:textFill>
                    </w:rPr>
                  </w:pPr>
                </w:p>
              </w:tc>
              <w:tc>
                <w:tcPr>
                  <w:tcW w:w="961" w:type="dxa"/>
                  <w:vMerge w:val="continue"/>
                  <w:tcBorders>
                    <w:tl2br w:val="nil"/>
                    <w:tr2bl w:val="nil"/>
                  </w:tcBorders>
                  <w:vAlign w:val="center"/>
                </w:tcPr>
                <w:p w14:paraId="14337AB8">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b/>
                      <w:color w:val="000000" w:themeColor="text1"/>
                      <w:kern w:val="0"/>
                      <w:sz w:val="21"/>
                      <w:szCs w:val="21"/>
                      <w:highlight w:val="none"/>
                      <w14:textFill>
                        <w14:solidFill>
                          <w14:schemeClr w14:val="tx1"/>
                        </w14:solidFill>
                      </w14:textFill>
                    </w:rPr>
                  </w:pPr>
                </w:p>
              </w:tc>
            </w:tr>
            <w:tr w14:paraId="06CBAA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8" w:type="dxa"/>
                  <w:vMerge w:val="restart"/>
                  <w:tcBorders>
                    <w:tl2br w:val="nil"/>
                    <w:tr2bl w:val="nil"/>
                  </w:tcBorders>
                  <w:vAlign w:val="center"/>
                </w:tcPr>
                <w:p w14:paraId="0C17AD55">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b w:val="0"/>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大气环境</w:t>
                  </w:r>
                </w:p>
              </w:tc>
              <w:tc>
                <w:tcPr>
                  <w:tcW w:w="1423" w:type="dxa"/>
                  <w:tcBorders>
                    <w:tl2br w:val="nil"/>
                    <w:tr2bl w:val="nil"/>
                  </w:tcBorders>
                  <w:vAlign w:val="center"/>
                </w:tcPr>
                <w:p w14:paraId="02AF5A01">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000000" w:themeColor="text1"/>
                      <w:kern w:val="0"/>
                      <w:sz w:val="2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云禄湾</w:t>
                  </w:r>
                </w:p>
              </w:tc>
              <w:tc>
                <w:tcPr>
                  <w:tcW w:w="621" w:type="dxa"/>
                  <w:tcBorders>
                    <w:tl2br w:val="nil"/>
                    <w:tr2bl w:val="nil"/>
                  </w:tcBorders>
                  <w:vAlign w:val="center"/>
                </w:tcPr>
                <w:p w14:paraId="1C6943E0">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-240</w:t>
                  </w:r>
                </w:p>
              </w:tc>
              <w:tc>
                <w:tcPr>
                  <w:tcW w:w="549" w:type="dxa"/>
                  <w:tcBorders>
                    <w:tl2br w:val="nil"/>
                    <w:tr2bl w:val="nil"/>
                  </w:tcBorders>
                  <w:vAlign w:val="center"/>
                </w:tcPr>
                <w:p w14:paraId="4334F13C">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330</w:t>
                  </w:r>
                </w:p>
              </w:tc>
              <w:tc>
                <w:tcPr>
                  <w:tcW w:w="580" w:type="dxa"/>
                  <w:vMerge w:val="restart"/>
                  <w:tcBorders>
                    <w:tl2br w:val="nil"/>
                    <w:tr2bl w:val="nil"/>
                  </w:tcBorders>
                  <w:vAlign w:val="center"/>
                </w:tcPr>
                <w:p w14:paraId="122F0545">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b w:val="0"/>
                      <w:bCs/>
                      <w:color w:val="000000" w:themeColor="text1"/>
                      <w:kern w:val="0"/>
                      <w:sz w:val="21"/>
                      <w:szCs w:val="21"/>
                      <w:highlight w:val="none"/>
                      <w14:textFill>
                        <w14:solidFill>
                          <w14:schemeClr w14:val="tx1"/>
                        </w14:solidFill>
                      </w14:textFill>
                    </w:rPr>
                  </w:pPr>
                  <w:r>
                    <w:rPr>
                      <w:rFonts w:hint="eastAsia" w:cs="Times New Roman"/>
                      <w:b w:val="0"/>
                      <w:bCs/>
                      <w:color w:val="000000" w:themeColor="text1"/>
                      <w:kern w:val="0"/>
                      <w:sz w:val="21"/>
                      <w:szCs w:val="21"/>
                      <w:highlight w:val="none"/>
                      <w:lang w:val="en-US" w:eastAsia="zh-CN"/>
                      <w14:textFill>
                        <w14:solidFill>
                          <w14:schemeClr w14:val="tx1"/>
                        </w14:solidFill>
                      </w14:textFill>
                    </w:rPr>
                    <w:t>居住区</w:t>
                  </w:r>
                </w:p>
              </w:tc>
              <w:tc>
                <w:tcPr>
                  <w:tcW w:w="1036" w:type="dxa"/>
                  <w:tcBorders>
                    <w:tl2br w:val="nil"/>
                    <w:tr2bl w:val="nil"/>
                  </w:tcBorders>
                  <w:vAlign w:val="center"/>
                </w:tcPr>
                <w:p w14:paraId="489E4011">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b w:val="0"/>
                      <w:bCs/>
                      <w:color w:val="000000" w:themeColor="text1"/>
                      <w:kern w:val="0"/>
                      <w:sz w:val="21"/>
                      <w:szCs w:val="21"/>
                      <w:highlight w:val="none"/>
                      <w14:textFill>
                        <w14:solidFill>
                          <w14:schemeClr w14:val="tx1"/>
                        </w14:solidFill>
                      </w14:textFill>
                    </w:rPr>
                  </w:pPr>
                  <w:r>
                    <w:rPr>
                      <w:rFonts w:hint="eastAsia" w:cs="Times New Roman"/>
                      <w:b w:val="0"/>
                      <w:bCs/>
                      <w:color w:val="000000" w:themeColor="text1"/>
                      <w:kern w:val="0"/>
                      <w:sz w:val="21"/>
                      <w:szCs w:val="21"/>
                      <w:highlight w:val="none"/>
                      <w:lang w:val="en-US" w:eastAsia="zh-CN"/>
                      <w14:textFill>
                        <w14:solidFill>
                          <w14:schemeClr w14:val="tx1"/>
                        </w14:solidFill>
                      </w14:textFill>
                    </w:rPr>
                    <w:t>3</w:t>
                  </w: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00</w:t>
                  </w: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人</w:t>
                  </w:r>
                </w:p>
              </w:tc>
              <w:tc>
                <w:tcPr>
                  <w:tcW w:w="1650" w:type="dxa"/>
                  <w:vMerge w:val="restart"/>
                  <w:tcBorders>
                    <w:tl2br w:val="nil"/>
                    <w:tr2bl w:val="nil"/>
                  </w:tcBorders>
                  <w:vAlign w:val="center"/>
                </w:tcPr>
                <w:p w14:paraId="40835113">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b w:val="0"/>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GB3095-2026二类区</w:t>
                  </w:r>
                </w:p>
              </w:tc>
              <w:tc>
                <w:tcPr>
                  <w:tcW w:w="900" w:type="dxa"/>
                  <w:tcBorders>
                    <w:tl2br w:val="nil"/>
                    <w:tr2bl w:val="nil"/>
                  </w:tcBorders>
                  <w:vAlign w:val="center"/>
                </w:tcPr>
                <w:p w14:paraId="7C62FEE8">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000000" w:themeColor="text1"/>
                      <w:kern w:val="0"/>
                      <w:sz w:val="21"/>
                      <w:szCs w:val="21"/>
                      <w:highlight w:val="none"/>
                      <w:lang w:val="en-US"/>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N</w:t>
                  </w:r>
                </w:p>
              </w:tc>
              <w:tc>
                <w:tcPr>
                  <w:tcW w:w="961" w:type="dxa"/>
                  <w:tcBorders>
                    <w:tl2br w:val="nil"/>
                    <w:tr2bl w:val="nil"/>
                  </w:tcBorders>
                  <w:vAlign w:val="center"/>
                </w:tcPr>
                <w:p w14:paraId="6DD4EE02">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cs="Times New Roman"/>
                      <w:b w:val="0"/>
                      <w:bCs/>
                      <w:color w:val="000000" w:themeColor="text1"/>
                      <w:kern w:val="0"/>
                      <w:sz w:val="21"/>
                      <w:szCs w:val="21"/>
                      <w:highlight w:val="none"/>
                      <w:lang w:val="en-US" w:eastAsia="zh-CN"/>
                      <w14:textFill>
                        <w14:solidFill>
                          <w14:schemeClr w14:val="tx1"/>
                        </w14:solidFill>
                      </w14:textFill>
                    </w:rPr>
                    <w:t>260</w:t>
                  </w:r>
                </w:p>
              </w:tc>
            </w:tr>
            <w:tr w14:paraId="1EC5F4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8" w:type="dxa"/>
                  <w:vMerge w:val="continue"/>
                  <w:tcBorders>
                    <w:tl2br w:val="nil"/>
                    <w:tr2bl w:val="nil"/>
                  </w:tcBorders>
                  <w:vAlign w:val="center"/>
                </w:tcPr>
                <w:p w14:paraId="65E524AA">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p>
              </w:tc>
              <w:tc>
                <w:tcPr>
                  <w:tcW w:w="1423" w:type="dxa"/>
                  <w:tcBorders>
                    <w:tl2br w:val="nil"/>
                    <w:tr2bl w:val="nil"/>
                  </w:tcBorders>
                  <w:vAlign w:val="center"/>
                </w:tcPr>
                <w:p w14:paraId="7B0BF878">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招商依云郡</w:t>
                  </w:r>
                </w:p>
              </w:tc>
              <w:tc>
                <w:tcPr>
                  <w:tcW w:w="621" w:type="dxa"/>
                  <w:tcBorders>
                    <w:tl2br w:val="nil"/>
                    <w:tr2bl w:val="nil"/>
                  </w:tcBorders>
                  <w:vAlign w:val="center"/>
                </w:tcPr>
                <w:p w14:paraId="556929FA">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130</w:t>
                  </w:r>
                </w:p>
              </w:tc>
              <w:tc>
                <w:tcPr>
                  <w:tcW w:w="549" w:type="dxa"/>
                  <w:tcBorders>
                    <w:tl2br w:val="nil"/>
                    <w:tr2bl w:val="nil"/>
                  </w:tcBorders>
                  <w:vAlign w:val="center"/>
                </w:tcPr>
                <w:p w14:paraId="6FE0DD18">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330</w:t>
                  </w:r>
                </w:p>
              </w:tc>
              <w:tc>
                <w:tcPr>
                  <w:tcW w:w="580" w:type="dxa"/>
                  <w:vMerge w:val="continue"/>
                  <w:tcBorders>
                    <w:tl2br w:val="nil"/>
                    <w:tr2bl w:val="nil"/>
                  </w:tcBorders>
                  <w:vAlign w:val="center"/>
                </w:tcPr>
                <w:p w14:paraId="54E29192">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cs="Times New Roman"/>
                      <w:b w:val="0"/>
                      <w:bCs/>
                      <w:color w:val="000000" w:themeColor="text1"/>
                      <w:kern w:val="0"/>
                      <w:sz w:val="21"/>
                      <w:szCs w:val="21"/>
                      <w:highlight w:val="none"/>
                      <w:lang w:val="en-US" w:eastAsia="zh-CN"/>
                      <w14:textFill>
                        <w14:solidFill>
                          <w14:schemeClr w14:val="tx1"/>
                        </w14:solidFill>
                      </w14:textFill>
                    </w:rPr>
                  </w:pPr>
                </w:p>
              </w:tc>
              <w:tc>
                <w:tcPr>
                  <w:tcW w:w="1036" w:type="dxa"/>
                  <w:tcBorders>
                    <w:tl2br w:val="nil"/>
                    <w:tr2bl w:val="nil"/>
                  </w:tcBorders>
                  <w:vAlign w:val="center"/>
                </w:tcPr>
                <w:p w14:paraId="6827C2A3">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default" w:cs="Times New Roman"/>
                      <w:b w:val="0"/>
                      <w:bCs/>
                      <w:color w:val="000000" w:themeColor="text1"/>
                      <w:kern w:val="0"/>
                      <w:sz w:val="21"/>
                      <w:szCs w:val="21"/>
                      <w:highlight w:val="none"/>
                      <w:lang w:val="en-US" w:eastAsia="zh-CN"/>
                      <w14:textFill>
                        <w14:solidFill>
                          <w14:schemeClr w14:val="tx1"/>
                        </w14:solidFill>
                      </w14:textFill>
                    </w:rPr>
                  </w:pPr>
                  <w:r>
                    <w:rPr>
                      <w:rFonts w:hint="eastAsia" w:cs="Times New Roman"/>
                      <w:b w:val="0"/>
                      <w:bCs/>
                      <w:color w:val="000000" w:themeColor="text1"/>
                      <w:kern w:val="0"/>
                      <w:sz w:val="21"/>
                      <w:szCs w:val="21"/>
                      <w:highlight w:val="none"/>
                      <w:lang w:val="en-US" w:eastAsia="zh-CN"/>
                      <w14:textFill>
                        <w14:solidFill>
                          <w14:schemeClr w14:val="tx1"/>
                        </w14:solidFill>
                      </w14:textFill>
                    </w:rPr>
                    <w:t>6000</w:t>
                  </w: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人</w:t>
                  </w:r>
                </w:p>
              </w:tc>
              <w:tc>
                <w:tcPr>
                  <w:tcW w:w="1650" w:type="dxa"/>
                  <w:vMerge w:val="continue"/>
                  <w:tcBorders>
                    <w:tl2br w:val="nil"/>
                    <w:tr2bl w:val="nil"/>
                  </w:tcBorders>
                  <w:vAlign w:val="center"/>
                </w:tcPr>
                <w:p w14:paraId="6B8F55E1">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p>
              </w:tc>
              <w:tc>
                <w:tcPr>
                  <w:tcW w:w="900" w:type="dxa"/>
                  <w:tcBorders>
                    <w:tl2br w:val="nil"/>
                    <w:tr2bl w:val="nil"/>
                  </w:tcBorders>
                  <w:vAlign w:val="center"/>
                </w:tcPr>
                <w:p w14:paraId="3E2D2972">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N</w:t>
                  </w:r>
                </w:p>
              </w:tc>
              <w:tc>
                <w:tcPr>
                  <w:tcW w:w="961" w:type="dxa"/>
                  <w:tcBorders>
                    <w:tl2br w:val="nil"/>
                    <w:tr2bl w:val="nil"/>
                  </w:tcBorders>
                  <w:vAlign w:val="center"/>
                </w:tcPr>
                <w:p w14:paraId="6EB52ADD">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default" w:cs="Times New Roman"/>
                      <w:b w:val="0"/>
                      <w:bCs/>
                      <w:color w:val="000000" w:themeColor="text1"/>
                      <w:kern w:val="0"/>
                      <w:sz w:val="21"/>
                      <w:szCs w:val="21"/>
                      <w:highlight w:val="none"/>
                      <w:lang w:val="en-US" w:eastAsia="zh-CN"/>
                      <w14:textFill>
                        <w14:solidFill>
                          <w14:schemeClr w14:val="tx1"/>
                        </w14:solidFill>
                      </w14:textFill>
                    </w:rPr>
                  </w:pPr>
                  <w:r>
                    <w:rPr>
                      <w:rFonts w:hint="eastAsia" w:cs="Times New Roman"/>
                      <w:b w:val="0"/>
                      <w:bCs/>
                      <w:color w:val="000000" w:themeColor="text1"/>
                      <w:kern w:val="0"/>
                      <w:sz w:val="21"/>
                      <w:szCs w:val="21"/>
                      <w:highlight w:val="none"/>
                      <w:lang w:val="en-US" w:eastAsia="zh-CN"/>
                      <w14:textFill>
                        <w14:solidFill>
                          <w14:schemeClr w14:val="tx1"/>
                        </w14:solidFill>
                      </w14:textFill>
                    </w:rPr>
                    <w:t>285</w:t>
                  </w:r>
                </w:p>
              </w:tc>
            </w:tr>
            <w:tr w14:paraId="6D7E2E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8" w:type="dxa"/>
                  <w:vMerge w:val="continue"/>
                  <w:tcBorders>
                    <w:tl2br w:val="nil"/>
                    <w:tr2bl w:val="nil"/>
                  </w:tcBorders>
                  <w:vAlign w:val="center"/>
                </w:tcPr>
                <w:p w14:paraId="2DFA7433">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p>
              </w:tc>
              <w:tc>
                <w:tcPr>
                  <w:tcW w:w="1423" w:type="dxa"/>
                  <w:tcBorders>
                    <w:tl2br w:val="nil"/>
                    <w:tr2bl w:val="nil"/>
                  </w:tcBorders>
                  <w:vAlign w:val="center"/>
                </w:tcPr>
                <w:p w14:paraId="6BCF2463">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南京市百家湖小学分校空港小学</w:t>
                  </w:r>
                </w:p>
              </w:tc>
              <w:tc>
                <w:tcPr>
                  <w:tcW w:w="621" w:type="dxa"/>
                  <w:tcBorders>
                    <w:tl2br w:val="nil"/>
                    <w:tr2bl w:val="nil"/>
                  </w:tcBorders>
                  <w:vAlign w:val="center"/>
                </w:tcPr>
                <w:p w14:paraId="0879132D">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480</w:t>
                  </w:r>
                </w:p>
              </w:tc>
              <w:tc>
                <w:tcPr>
                  <w:tcW w:w="549" w:type="dxa"/>
                  <w:tcBorders>
                    <w:tl2br w:val="nil"/>
                    <w:tr2bl w:val="nil"/>
                  </w:tcBorders>
                  <w:vAlign w:val="center"/>
                </w:tcPr>
                <w:p w14:paraId="3551F304">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330</w:t>
                  </w:r>
                </w:p>
              </w:tc>
              <w:tc>
                <w:tcPr>
                  <w:tcW w:w="580" w:type="dxa"/>
                  <w:tcBorders>
                    <w:tl2br w:val="nil"/>
                    <w:tr2bl w:val="nil"/>
                  </w:tcBorders>
                  <w:vAlign w:val="center"/>
                </w:tcPr>
                <w:p w14:paraId="1BDC39A9">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default" w:cs="Times New Roman"/>
                      <w:b w:val="0"/>
                      <w:bCs/>
                      <w:color w:val="000000" w:themeColor="text1"/>
                      <w:kern w:val="0"/>
                      <w:sz w:val="21"/>
                      <w:szCs w:val="21"/>
                      <w:highlight w:val="none"/>
                      <w:lang w:val="en-US" w:eastAsia="zh-CN"/>
                      <w14:textFill>
                        <w14:solidFill>
                          <w14:schemeClr w14:val="tx1"/>
                        </w14:solidFill>
                      </w14:textFill>
                    </w:rPr>
                  </w:pPr>
                  <w:r>
                    <w:rPr>
                      <w:rFonts w:hint="eastAsia" w:cs="Times New Roman"/>
                      <w:b w:val="0"/>
                      <w:bCs/>
                      <w:color w:val="000000" w:themeColor="text1"/>
                      <w:kern w:val="0"/>
                      <w:sz w:val="21"/>
                      <w:szCs w:val="21"/>
                      <w:highlight w:val="none"/>
                      <w:lang w:val="en-US" w:eastAsia="zh-CN"/>
                      <w14:textFill>
                        <w14:solidFill>
                          <w14:schemeClr w14:val="tx1"/>
                        </w14:solidFill>
                      </w14:textFill>
                    </w:rPr>
                    <w:t>学校</w:t>
                  </w:r>
                </w:p>
              </w:tc>
              <w:tc>
                <w:tcPr>
                  <w:tcW w:w="1036" w:type="dxa"/>
                  <w:tcBorders>
                    <w:tl2br w:val="nil"/>
                    <w:tr2bl w:val="nil"/>
                  </w:tcBorders>
                  <w:vAlign w:val="center"/>
                </w:tcPr>
                <w:p w14:paraId="3C7B3A96">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default" w:cs="Times New Roman"/>
                      <w:b w:val="0"/>
                      <w:bCs/>
                      <w:color w:val="000000" w:themeColor="text1"/>
                      <w:kern w:val="0"/>
                      <w:sz w:val="21"/>
                      <w:szCs w:val="21"/>
                      <w:highlight w:val="none"/>
                      <w:lang w:val="en-US" w:eastAsia="zh-CN"/>
                      <w14:textFill>
                        <w14:solidFill>
                          <w14:schemeClr w14:val="tx1"/>
                        </w14:solidFill>
                      </w14:textFill>
                    </w:rPr>
                  </w:pPr>
                  <w:r>
                    <w:rPr>
                      <w:rFonts w:hint="eastAsia" w:cs="Times New Roman"/>
                      <w:b w:val="0"/>
                      <w:bCs/>
                      <w:color w:val="000000" w:themeColor="text1"/>
                      <w:kern w:val="0"/>
                      <w:sz w:val="21"/>
                      <w:szCs w:val="21"/>
                      <w:highlight w:val="none"/>
                      <w:lang w:val="en-US" w:eastAsia="zh-CN"/>
                      <w14:textFill>
                        <w14:solidFill>
                          <w14:schemeClr w14:val="tx1"/>
                        </w14:solidFill>
                      </w14:textFill>
                    </w:rPr>
                    <w:t>1500</w:t>
                  </w: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人</w:t>
                  </w:r>
                </w:p>
              </w:tc>
              <w:tc>
                <w:tcPr>
                  <w:tcW w:w="1650" w:type="dxa"/>
                  <w:vMerge w:val="continue"/>
                  <w:tcBorders>
                    <w:tl2br w:val="nil"/>
                    <w:tr2bl w:val="nil"/>
                  </w:tcBorders>
                  <w:vAlign w:val="center"/>
                </w:tcPr>
                <w:p w14:paraId="457C8B9B">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p>
              </w:tc>
              <w:tc>
                <w:tcPr>
                  <w:tcW w:w="900" w:type="dxa"/>
                  <w:tcBorders>
                    <w:tl2br w:val="nil"/>
                    <w:tr2bl w:val="nil"/>
                  </w:tcBorders>
                  <w:vAlign w:val="center"/>
                </w:tcPr>
                <w:p w14:paraId="190C729F">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NE</w:t>
                  </w:r>
                </w:p>
              </w:tc>
              <w:tc>
                <w:tcPr>
                  <w:tcW w:w="961" w:type="dxa"/>
                  <w:tcBorders>
                    <w:tl2br w:val="nil"/>
                    <w:tr2bl w:val="nil"/>
                  </w:tcBorders>
                  <w:vAlign w:val="center"/>
                </w:tcPr>
                <w:p w14:paraId="758E259E">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default" w:cs="Times New Roman"/>
                      <w:b w:val="0"/>
                      <w:bCs/>
                      <w:color w:val="000000" w:themeColor="text1"/>
                      <w:kern w:val="0"/>
                      <w:sz w:val="21"/>
                      <w:szCs w:val="21"/>
                      <w:highlight w:val="none"/>
                      <w:lang w:val="en-US" w:eastAsia="zh-CN"/>
                      <w14:textFill>
                        <w14:solidFill>
                          <w14:schemeClr w14:val="tx1"/>
                        </w14:solidFill>
                      </w14:textFill>
                    </w:rPr>
                  </w:pPr>
                  <w:r>
                    <w:rPr>
                      <w:rFonts w:hint="eastAsia" w:cs="Times New Roman"/>
                      <w:b w:val="0"/>
                      <w:bCs/>
                      <w:color w:val="000000" w:themeColor="text1"/>
                      <w:kern w:val="0"/>
                      <w:sz w:val="21"/>
                      <w:szCs w:val="21"/>
                      <w:highlight w:val="none"/>
                      <w:lang w:val="en-US" w:eastAsia="zh-CN"/>
                      <w14:textFill>
                        <w14:solidFill>
                          <w14:schemeClr w14:val="tx1"/>
                        </w14:solidFill>
                      </w14:textFill>
                    </w:rPr>
                    <w:t>481</w:t>
                  </w:r>
                </w:p>
              </w:tc>
            </w:tr>
          </w:tbl>
          <w:p w14:paraId="5C11ECE0">
            <w:pPr>
              <w:snapToGrid w:val="0"/>
              <w:spacing w:line="240" w:lineRule="exact"/>
              <w:jc w:val="left"/>
              <w:rPr>
                <w:rFonts w:hint="eastAsia"/>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备注：以</w:t>
            </w:r>
            <w:r>
              <w:rPr>
                <w:rFonts w:hint="eastAsia"/>
                <w:b/>
                <w:bCs/>
                <w:color w:val="000000" w:themeColor="text1"/>
                <w:sz w:val="21"/>
                <w:szCs w:val="21"/>
                <w:highlight w:val="none"/>
                <w:lang w:val="en-US" w:eastAsia="zh-CN"/>
                <w14:textFill>
                  <w14:solidFill>
                    <w14:schemeClr w14:val="tx1"/>
                  </w14:solidFill>
                </w14:textFill>
              </w:rPr>
              <w:t>厂区中心点</w:t>
            </w:r>
            <w:r>
              <w:rPr>
                <w:rFonts w:hint="eastAsia"/>
                <w:b/>
                <w:bCs/>
                <w:color w:val="000000" w:themeColor="text1"/>
                <w:sz w:val="21"/>
                <w:szCs w:val="21"/>
                <w:highlight w:val="none"/>
                <w14:textFill>
                  <w14:solidFill>
                    <w14:schemeClr w14:val="tx1"/>
                  </w14:solidFill>
                </w14:textFill>
              </w:rPr>
              <w:t>为坐标原点，坐标原点经纬度为</w:t>
            </w:r>
            <w:r>
              <w:rPr>
                <w:rFonts w:hint="eastAsia"/>
                <w:b/>
                <w:bCs/>
                <w:color w:val="000000" w:themeColor="text1"/>
                <w:sz w:val="21"/>
                <w:szCs w:val="21"/>
                <w:highlight w:val="none"/>
                <w:lang w:eastAsia="zh-CN"/>
                <w14:textFill>
                  <w14:solidFill>
                    <w14:schemeClr w14:val="tx1"/>
                  </w14:solidFill>
                </w14:textFill>
              </w:rPr>
              <w:t>（</w:t>
            </w:r>
            <w:r>
              <w:rPr>
                <w:rFonts w:hint="eastAsia"/>
                <w:b/>
                <w:bCs/>
                <w:color w:val="000000" w:themeColor="text1"/>
                <w:sz w:val="21"/>
                <w:szCs w:val="21"/>
                <w:highlight w:val="none"/>
                <w14:textFill>
                  <w14:solidFill>
                    <w14:schemeClr w14:val="tx1"/>
                  </w14:solidFill>
                </w14:textFill>
              </w:rPr>
              <w:t>118.83999415</w:t>
            </w:r>
            <w:r>
              <w:rPr>
                <w:rFonts w:hint="eastAsia" w:ascii="宋体" w:hAnsi="宋体" w:eastAsia="宋体" w:cs="宋体"/>
                <w:b/>
                <w:bCs/>
                <w:color w:val="000000" w:themeColor="text1"/>
                <w:sz w:val="21"/>
                <w:szCs w:val="21"/>
                <w:highlight w:val="none"/>
                <w14:textFill>
                  <w14:solidFill>
                    <w14:schemeClr w14:val="tx1"/>
                  </w14:solidFill>
                </w14:textFill>
              </w:rPr>
              <w:t>°</w:t>
            </w:r>
            <w:r>
              <w:rPr>
                <w:rFonts w:hint="eastAsia"/>
                <w:b/>
                <w:bCs/>
                <w:color w:val="000000" w:themeColor="text1"/>
                <w:sz w:val="21"/>
                <w:szCs w:val="21"/>
                <w:highlight w:val="none"/>
                <w:lang w:eastAsia="zh-CN"/>
                <w14:textFill>
                  <w14:solidFill>
                    <w14:schemeClr w14:val="tx1"/>
                  </w14:solidFill>
                </w14:textFill>
              </w:rPr>
              <w:t>，</w:t>
            </w:r>
            <w:r>
              <w:rPr>
                <w:rFonts w:hint="eastAsia"/>
                <w:b/>
                <w:bCs/>
                <w:color w:val="000000" w:themeColor="text1"/>
                <w:sz w:val="21"/>
                <w:szCs w:val="21"/>
                <w:highlight w:val="none"/>
                <w14:textFill>
                  <w14:solidFill>
                    <w14:schemeClr w14:val="tx1"/>
                  </w14:solidFill>
                </w14:textFill>
              </w:rPr>
              <w:t>31.77427205</w:t>
            </w:r>
            <w:r>
              <w:rPr>
                <w:rFonts w:hint="eastAsia" w:ascii="宋体" w:hAnsi="宋体" w:eastAsia="宋体" w:cs="宋体"/>
                <w:b/>
                <w:bCs/>
                <w:color w:val="000000" w:themeColor="text1"/>
                <w:sz w:val="21"/>
                <w:szCs w:val="21"/>
                <w:highlight w:val="none"/>
                <w14:textFill>
                  <w14:solidFill>
                    <w14:schemeClr w14:val="tx1"/>
                  </w14:solidFill>
                </w14:textFill>
              </w:rPr>
              <w:t>°</w:t>
            </w:r>
            <w:r>
              <w:rPr>
                <w:rFonts w:hint="eastAsia"/>
                <w:b/>
                <w:bCs/>
                <w:color w:val="000000" w:themeColor="text1"/>
                <w:sz w:val="21"/>
                <w:szCs w:val="21"/>
                <w:highlight w:val="none"/>
                <w14:textFill>
                  <w14:solidFill>
                    <w14:schemeClr w14:val="tx1"/>
                  </w14:solidFill>
                </w14:textFill>
              </w:rPr>
              <w:t>）。</w:t>
            </w:r>
          </w:p>
          <w:p w14:paraId="60A721C0">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2）声环境</w:t>
            </w:r>
          </w:p>
          <w:p w14:paraId="40FA6014">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根据现场勘查，企业周边50m范围内</w:t>
            </w:r>
            <w:r>
              <w:rPr>
                <w:rFonts w:hint="eastAsia"/>
                <w:color w:val="000000" w:themeColor="text1"/>
                <w:sz w:val="24"/>
                <w:highlight w:val="none"/>
                <w14:textFill>
                  <w14:solidFill>
                    <w14:schemeClr w14:val="tx1"/>
                  </w14:solidFill>
                </w14:textFill>
              </w:rPr>
              <w:t>无</w:t>
            </w:r>
            <w:r>
              <w:rPr>
                <w:color w:val="000000" w:themeColor="text1"/>
                <w:sz w:val="24"/>
                <w:highlight w:val="none"/>
                <w14:textFill>
                  <w14:solidFill>
                    <w14:schemeClr w14:val="tx1"/>
                  </w14:solidFill>
                </w14:textFill>
              </w:rPr>
              <w:t>声环境保护目标。</w:t>
            </w:r>
          </w:p>
          <w:p w14:paraId="5FCFDE42">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3）地下水</w:t>
            </w:r>
          </w:p>
          <w:p w14:paraId="12F72C10">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本项目厂界外500米范围内不存在地下水集中式饮用水源和热水、矿泉水、温泉等特殊地下水资源。</w:t>
            </w:r>
          </w:p>
          <w:p w14:paraId="19918497">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4）生态环境</w:t>
            </w:r>
          </w:p>
          <w:p w14:paraId="65A6B808">
            <w:pPr>
              <w:adjustRightInd w:val="0"/>
              <w:snapToGrid w:val="0"/>
              <w:spacing w:line="440" w:lineRule="exact"/>
              <w:ind w:firstLine="480" w:firstLineChars="200"/>
              <w:rPr>
                <w:color w:val="000000" w:themeColor="text1"/>
                <w:kern w:val="0"/>
                <w:szCs w:val="21"/>
                <w:highlight w:val="none"/>
                <w14:textFill>
                  <w14:solidFill>
                    <w14:schemeClr w14:val="tx1"/>
                  </w14:solidFill>
                </w14:textFill>
              </w:rPr>
            </w:pPr>
            <w:r>
              <w:rPr>
                <w:color w:val="000000" w:themeColor="text1"/>
                <w:sz w:val="24"/>
                <w:highlight w:val="none"/>
                <w14:textFill>
                  <w14:solidFill>
                    <w14:schemeClr w14:val="tx1"/>
                  </w14:solidFill>
                </w14:textFill>
              </w:rPr>
              <w:t>本项目利用</w:t>
            </w:r>
            <w:r>
              <w:rPr>
                <w:rFonts w:hint="eastAsia"/>
                <w:color w:val="000000" w:themeColor="text1"/>
                <w:sz w:val="24"/>
                <w:highlight w:val="none"/>
                <w:lang w:eastAsia="zh-CN"/>
                <w14:textFill>
                  <w14:solidFill>
                    <w14:schemeClr w14:val="tx1"/>
                  </w14:solidFill>
                </w14:textFill>
              </w:rPr>
              <w:t>江宁区禄口街道蓝天路218号</w:t>
            </w:r>
            <w:r>
              <w:rPr>
                <w:color w:val="000000" w:themeColor="text1"/>
                <w:sz w:val="24"/>
                <w:highlight w:val="none"/>
                <w14:textFill>
                  <w14:solidFill>
                    <w14:schemeClr w14:val="tx1"/>
                  </w14:solidFill>
                </w14:textFill>
              </w:rPr>
              <w:t>进行建设，项目用地范围内无生态环境保护目标。</w:t>
            </w:r>
          </w:p>
        </w:tc>
      </w:tr>
      <w:tr w14:paraId="06EC1D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40" w:hRule="atLeast"/>
          <w:jc w:val="center"/>
        </w:trPr>
        <w:tc>
          <w:tcPr>
            <w:tcW w:w="453" w:type="dxa"/>
            <w:tcMar>
              <w:left w:w="28" w:type="dxa"/>
              <w:right w:w="28" w:type="dxa"/>
            </w:tcMar>
            <w:vAlign w:val="center"/>
          </w:tcPr>
          <w:p w14:paraId="219169FB">
            <w:pPr>
              <w:adjustRightInd w:val="0"/>
              <w:snapToGrid w:val="0"/>
              <w:spacing w:line="440" w:lineRule="exact"/>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污染</w:t>
            </w:r>
          </w:p>
          <w:p w14:paraId="23E45679">
            <w:pPr>
              <w:adjustRightInd w:val="0"/>
              <w:snapToGrid w:val="0"/>
              <w:spacing w:line="440" w:lineRule="exact"/>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物排</w:t>
            </w:r>
          </w:p>
          <w:p w14:paraId="42EC3A48">
            <w:pPr>
              <w:adjustRightInd w:val="0"/>
              <w:snapToGrid w:val="0"/>
              <w:spacing w:line="440" w:lineRule="exact"/>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放控</w:t>
            </w:r>
          </w:p>
          <w:p w14:paraId="55440C7E">
            <w:pPr>
              <w:adjustRightInd w:val="0"/>
              <w:snapToGrid w:val="0"/>
              <w:spacing w:line="440" w:lineRule="exact"/>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制标</w:t>
            </w:r>
          </w:p>
          <w:p w14:paraId="78ED2377">
            <w:pPr>
              <w:adjustRightInd w:val="0"/>
              <w:snapToGrid w:val="0"/>
              <w:spacing w:line="440" w:lineRule="exact"/>
              <w:jc w:val="center"/>
              <w:rPr>
                <w:color w:val="000000" w:themeColor="text1"/>
                <w:kern w:val="0"/>
                <w:szCs w:val="21"/>
                <w:highlight w:val="none"/>
                <w14:textFill>
                  <w14:solidFill>
                    <w14:schemeClr w14:val="tx1"/>
                  </w14:solidFill>
                </w14:textFill>
              </w:rPr>
            </w:pPr>
            <w:r>
              <w:rPr>
                <w:color w:val="000000" w:themeColor="text1"/>
                <w:kern w:val="0"/>
                <w:sz w:val="24"/>
                <w:highlight w:val="none"/>
                <w14:textFill>
                  <w14:solidFill>
                    <w14:schemeClr w14:val="tx1"/>
                  </w14:solidFill>
                </w14:textFill>
              </w:rPr>
              <w:t>准</w:t>
            </w:r>
          </w:p>
        </w:tc>
        <w:tc>
          <w:tcPr>
            <w:tcW w:w="8608" w:type="dxa"/>
            <w:vAlign w:val="center"/>
          </w:tcPr>
          <w:p w14:paraId="29E739D9">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1、废气排放标准</w:t>
            </w:r>
          </w:p>
          <w:p w14:paraId="617E2F1B">
            <w:pPr>
              <w:adjustRightInd w:val="0"/>
              <w:snapToGrid w:val="0"/>
              <w:spacing w:line="440" w:lineRule="exact"/>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DA001</w:t>
            </w:r>
            <w:r>
              <w:rPr>
                <w:color w:val="000000" w:themeColor="text1"/>
                <w:sz w:val="24"/>
                <w:szCs w:val="21"/>
                <w:highlight w:val="none"/>
                <w14:textFill>
                  <w14:solidFill>
                    <w14:schemeClr w14:val="tx1"/>
                  </w14:solidFill>
                </w14:textFill>
              </w:rPr>
              <w:t>非甲烷总烃执行</w:t>
            </w:r>
            <w:r>
              <w:rPr>
                <w:rFonts w:hint="eastAsia"/>
                <w:color w:val="000000" w:themeColor="text1"/>
                <w:sz w:val="24"/>
                <w:szCs w:val="21"/>
                <w:highlight w:val="none"/>
                <w:lang w:eastAsia="zh-CN"/>
                <w14:textFill>
                  <w14:solidFill>
                    <w14:schemeClr w14:val="tx1"/>
                  </w14:solidFill>
                </w14:textFill>
              </w:rPr>
              <w:t>《橡胶制品工业污染物排放标准》（GB27632-2011）</w:t>
            </w:r>
            <w:r>
              <w:rPr>
                <w:rFonts w:hint="eastAsia"/>
                <w:color w:val="000000" w:themeColor="text1"/>
                <w:sz w:val="24"/>
                <w:szCs w:val="21"/>
                <w:highlight w:val="none"/>
                <w:lang w:val="en-US" w:eastAsia="zh-CN"/>
                <w14:textFill>
                  <w14:solidFill>
                    <w14:schemeClr w14:val="tx1"/>
                  </w14:solidFill>
                </w14:textFill>
              </w:rPr>
              <w:t>表5</w:t>
            </w:r>
            <w:r>
              <w:rPr>
                <w:color w:val="000000" w:themeColor="text1"/>
                <w:sz w:val="24"/>
                <w:szCs w:val="21"/>
                <w:highlight w:val="none"/>
                <w14:textFill>
                  <w14:solidFill>
                    <w14:schemeClr w14:val="tx1"/>
                  </w14:solidFill>
                </w14:textFill>
              </w:rPr>
              <w:t>中排放限</w:t>
            </w:r>
            <w:r>
              <w:rPr>
                <w:rFonts w:hint="eastAsia" w:ascii="Times New Roman" w:hAnsi="Times New Roman" w:eastAsia="宋体" w:cs="Times New Roman"/>
                <w:color w:val="000000" w:themeColor="text1"/>
                <w:sz w:val="24"/>
                <w:szCs w:val="21"/>
                <w:highlight w:val="none"/>
                <w:lang w:eastAsia="zh-CN"/>
                <w14:textFill>
                  <w14:solidFill>
                    <w14:schemeClr w14:val="tx1"/>
                  </w14:solidFill>
                </w14:textFill>
              </w:rPr>
              <w:t>值</w:t>
            </w:r>
            <w:r>
              <w:rPr>
                <w:rFonts w:hint="eastAsia" w:cs="Times New Roman"/>
                <w:color w:val="000000" w:themeColor="text1"/>
                <w:sz w:val="24"/>
                <w:szCs w:val="21"/>
                <w:highlight w:val="none"/>
                <w:lang w:eastAsia="zh-CN"/>
                <w14:textFill>
                  <w14:solidFill>
                    <w14:schemeClr w14:val="tx1"/>
                  </w14:solidFill>
                </w14:textFill>
              </w:rPr>
              <w:t>，</w:t>
            </w:r>
            <w:r>
              <w:rPr>
                <w:rFonts w:hint="eastAsia" w:cs="Times New Roman"/>
                <w:color w:val="000000" w:themeColor="text1"/>
                <w:sz w:val="24"/>
                <w:szCs w:val="21"/>
                <w:highlight w:val="none"/>
                <w:lang w:val="en-US" w:eastAsia="zh-CN"/>
                <w14:textFill>
                  <w14:solidFill>
                    <w14:schemeClr w14:val="tx1"/>
                  </w14:solidFill>
                </w14:textFill>
              </w:rPr>
              <w:t>DA002</w:t>
            </w:r>
            <w:r>
              <w:rPr>
                <w:rFonts w:hint="eastAsia"/>
                <w:color w:val="000000" w:themeColor="text1"/>
                <w:sz w:val="24"/>
                <w:szCs w:val="21"/>
                <w:highlight w:val="none"/>
                <w:lang w:eastAsia="zh-CN"/>
                <w14:textFill>
                  <w14:solidFill>
                    <w14:schemeClr w14:val="tx1"/>
                  </w14:solidFill>
                </w14:textFill>
              </w:rPr>
              <w:t>非甲烷总烃、乙醛、四氢呋喃执行</w:t>
            </w:r>
            <w:r>
              <w:rPr>
                <w:rFonts w:hint="eastAsia" w:cs="Times New Roman"/>
                <w:color w:val="000000" w:themeColor="text1"/>
                <w:sz w:val="24"/>
                <w:szCs w:val="21"/>
                <w:highlight w:val="none"/>
                <w:lang w:eastAsia="zh-CN"/>
                <w14:textFill>
                  <w14:solidFill>
                    <w14:schemeClr w14:val="tx1"/>
                  </w14:solidFill>
                </w14:textFill>
              </w:rPr>
              <w:t>《合成树脂工业污染物排放标准》（GB31572-2015）（含2024年修改单）</w:t>
            </w:r>
            <w:r>
              <w:rPr>
                <w:rFonts w:hint="eastAsia" w:ascii="Times New Roman" w:hAnsi="Times New Roman" w:eastAsia="宋体" w:cs="Times New Roman"/>
                <w:color w:val="000000" w:themeColor="text1"/>
                <w:sz w:val="24"/>
                <w:szCs w:val="21"/>
                <w:highlight w:val="none"/>
                <w:lang w:eastAsia="zh-CN"/>
                <w14:textFill>
                  <w14:solidFill>
                    <w14:schemeClr w14:val="tx1"/>
                  </w14:solidFill>
                </w14:textFill>
              </w:rPr>
              <w:t>表5中排放限值；</w:t>
            </w:r>
            <w:r>
              <w:rPr>
                <w:rFonts w:hint="eastAsia"/>
                <w:color w:val="000000" w:themeColor="text1"/>
                <w:sz w:val="24"/>
                <w:szCs w:val="21"/>
                <w:highlight w:val="none"/>
                <w:lang w:val="en-US" w:eastAsia="zh-CN"/>
                <w14:textFill>
                  <w14:solidFill>
                    <w14:schemeClr w14:val="tx1"/>
                  </w14:solidFill>
                </w14:textFill>
              </w:rPr>
              <w:t>无组织厂界</w:t>
            </w:r>
            <w:r>
              <w:rPr>
                <w:color w:val="000000" w:themeColor="text1"/>
                <w:sz w:val="24"/>
                <w:szCs w:val="21"/>
                <w:highlight w:val="none"/>
                <w14:textFill>
                  <w14:solidFill>
                    <w14:schemeClr w14:val="tx1"/>
                  </w14:solidFill>
                </w14:textFill>
              </w:rPr>
              <w:t>非甲烷总烃执行</w:t>
            </w:r>
            <w:r>
              <w:rPr>
                <w:rFonts w:hint="eastAsia"/>
                <w:color w:val="000000" w:themeColor="text1"/>
                <w:sz w:val="24"/>
                <w:szCs w:val="21"/>
                <w:highlight w:val="none"/>
                <w:lang w:eastAsia="zh-CN"/>
                <w14:textFill>
                  <w14:solidFill>
                    <w14:schemeClr w14:val="tx1"/>
                  </w14:solidFill>
                </w14:textFill>
              </w:rPr>
              <w:t>《橡胶制品工业污染物排放标准》（GB27632-2011）</w:t>
            </w:r>
            <w:r>
              <w:rPr>
                <w:rFonts w:hint="eastAsia"/>
                <w:color w:val="000000" w:themeColor="text1"/>
                <w:sz w:val="24"/>
                <w:szCs w:val="21"/>
                <w:highlight w:val="none"/>
                <w:lang w:val="en-US" w:eastAsia="zh-CN"/>
                <w14:textFill>
                  <w14:solidFill>
                    <w14:schemeClr w14:val="tx1"/>
                  </w14:solidFill>
                </w14:textFill>
              </w:rPr>
              <w:t>表6</w:t>
            </w:r>
            <w:r>
              <w:rPr>
                <w:color w:val="000000" w:themeColor="text1"/>
                <w:sz w:val="24"/>
                <w:szCs w:val="21"/>
                <w:highlight w:val="none"/>
                <w14:textFill>
                  <w14:solidFill>
                    <w14:schemeClr w14:val="tx1"/>
                  </w14:solidFill>
                </w14:textFill>
              </w:rPr>
              <w:t>中排放限值</w:t>
            </w:r>
            <w:r>
              <w:rPr>
                <w:rFonts w:hint="eastAsia"/>
                <w:color w:val="000000" w:themeColor="text1"/>
                <w:sz w:val="24"/>
                <w:szCs w:val="21"/>
                <w:highlight w:val="none"/>
                <w:lang w:eastAsia="zh-CN"/>
                <w14:textFill>
                  <w14:solidFill>
                    <w14:schemeClr w14:val="tx1"/>
                  </w14:solidFill>
                </w14:textFill>
              </w:rPr>
              <w:t>、</w:t>
            </w:r>
            <w:r>
              <w:rPr>
                <w:color w:val="000000" w:themeColor="text1"/>
                <w:sz w:val="24"/>
                <w:szCs w:val="21"/>
                <w:highlight w:val="none"/>
                <w14:textFill>
                  <w14:solidFill>
                    <w14:schemeClr w14:val="tx1"/>
                  </w14:solidFill>
                </w14:textFill>
              </w:rPr>
              <w:t>颗粒物</w:t>
            </w:r>
            <w:r>
              <w:rPr>
                <w:rFonts w:hint="eastAsia"/>
                <w:color w:val="000000" w:themeColor="text1"/>
                <w:sz w:val="24"/>
                <w:szCs w:val="21"/>
                <w:highlight w:val="none"/>
                <w:lang w:eastAsia="zh-CN"/>
                <w14:textFill>
                  <w14:solidFill>
                    <w14:schemeClr w14:val="tx1"/>
                  </w14:solidFill>
                </w14:textFill>
              </w:rPr>
              <w:t>执行</w:t>
            </w:r>
            <w:r>
              <w:rPr>
                <w:rFonts w:hint="eastAsia" w:cs="Times New Roman"/>
                <w:color w:val="000000" w:themeColor="text1"/>
                <w:sz w:val="24"/>
                <w:szCs w:val="21"/>
                <w:highlight w:val="none"/>
                <w:lang w:eastAsia="zh-CN"/>
                <w14:textFill>
                  <w14:solidFill>
                    <w14:schemeClr w14:val="tx1"/>
                  </w14:solidFill>
                </w14:textFill>
              </w:rPr>
              <w:t>《合成树脂工业污染物排放标准》（GB31572-2015）（含2024年修改单）</w:t>
            </w:r>
            <w:r>
              <w:rPr>
                <w:rFonts w:hint="eastAsia" w:ascii="Times New Roman" w:hAnsi="Times New Roman" w:eastAsia="宋体" w:cs="Times New Roman"/>
                <w:color w:val="000000" w:themeColor="text1"/>
                <w:sz w:val="24"/>
                <w:szCs w:val="21"/>
                <w:highlight w:val="none"/>
                <w:lang w:eastAsia="zh-CN"/>
                <w14:textFill>
                  <w14:solidFill>
                    <w14:schemeClr w14:val="tx1"/>
                  </w14:solidFill>
                </w14:textFill>
              </w:rPr>
              <w:t>表</w:t>
            </w:r>
            <w:r>
              <w:rPr>
                <w:rFonts w:hint="eastAsia" w:ascii="Times New Roman" w:hAnsi="Times New Roman" w:eastAsia="宋体" w:cs="Times New Roman"/>
                <w:color w:val="000000" w:themeColor="text1"/>
                <w:sz w:val="24"/>
                <w:szCs w:val="21"/>
                <w:highlight w:val="none"/>
                <w:lang w:val="en-US" w:eastAsia="zh-CN"/>
                <w14:textFill>
                  <w14:solidFill>
                    <w14:schemeClr w14:val="tx1"/>
                  </w14:solidFill>
                </w14:textFill>
              </w:rPr>
              <w:t>9</w:t>
            </w:r>
            <w:r>
              <w:rPr>
                <w:rFonts w:hint="eastAsia" w:ascii="Times New Roman" w:hAnsi="Times New Roman" w:eastAsia="宋体" w:cs="Times New Roman"/>
                <w:color w:val="000000" w:themeColor="text1"/>
                <w:sz w:val="24"/>
                <w:szCs w:val="21"/>
                <w:highlight w:val="none"/>
                <w:lang w:eastAsia="zh-CN"/>
                <w14:textFill>
                  <w14:solidFill>
                    <w14:schemeClr w14:val="tx1"/>
                  </w14:solidFill>
                </w14:textFill>
              </w:rPr>
              <w:t>中排放限值</w:t>
            </w:r>
            <w:r>
              <w:rPr>
                <w:color w:val="000000" w:themeColor="text1"/>
                <w:sz w:val="24"/>
                <w:szCs w:val="21"/>
                <w:highlight w:val="none"/>
                <w14:textFill>
                  <w14:solidFill>
                    <w14:schemeClr w14:val="tx1"/>
                  </w14:solidFill>
                </w14:textFill>
              </w:rPr>
              <w:t>，厂区内非甲烷总烃执行</w:t>
            </w:r>
            <w:r>
              <w:rPr>
                <w:rFonts w:hint="default" w:ascii="Times New Roman" w:hAnsi="Times New Roman" w:cs="Times New Roman"/>
                <w:color w:val="000000" w:themeColor="text1"/>
                <w:sz w:val="24"/>
                <w:szCs w:val="21"/>
                <w:highlight w:val="none"/>
                <w14:textFill>
                  <w14:solidFill>
                    <w14:schemeClr w14:val="tx1"/>
                  </w14:solidFill>
                </w14:textFill>
              </w:rPr>
              <w:t>《大气污染物综合排放标准》（DB32/4041-2021）表</w:t>
            </w:r>
            <w:r>
              <w:rPr>
                <w:rFonts w:hint="default" w:ascii="Times New Roman" w:hAnsi="Times New Roman" w:cs="Times New Roman"/>
                <w:color w:val="000000" w:themeColor="text1"/>
                <w:sz w:val="24"/>
                <w:szCs w:val="21"/>
                <w:highlight w:val="none"/>
                <w:lang w:val="en-US" w:eastAsia="zh-CN"/>
                <w14:textFill>
                  <w14:solidFill>
                    <w14:schemeClr w14:val="tx1"/>
                  </w14:solidFill>
                </w14:textFill>
              </w:rPr>
              <w:t>2</w:t>
            </w:r>
            <w:r>
              <w:rPr>
                <w:rFonts w:hint="eastAsia"/>
                <w:color w:val="000000" w:themeColor="text1"/>
                <w:sz w:val="24"/>
                <w:szCs w:val="21"/>
                <w:highlight w:val="none"/>
                <w:lang w:eastAsia="zh-CN"/>
                <w14:textFill>
                  <w14:solidFill>
                    <w14:schemeClr w14:val="tx1"/>
                  </w14:solidFill>
                </w14:textFill>
              </w:rPr>
              <w:t>中排放限值，</w:t>
            </w:r>
            <w:r>
              <w:rPr>
                <w:color w:val="000000" w:themeColor="text1"/>
                <w:sz w:val="24"/>
                <w:szCs w:val="21"/>
                <w:highlight w:val="none"/>
                <w14:textFill>
                  <w14:solidFill>
                    <w14:schemeClr w14:val="tx1"/>
                  </w14:solidFill>
                </w14:textFill>
              </w:rPr>
              <w:t>臭气浓度执行《恶臭污染物排放标准》（GB14554-1993）</w:t>
            </w:r>
            <w:r>
              <w:rPr>
                <w:rFonts w:hint="eastAsia"/>
                <w:color w:val="000000" w:themeColor="text1"/>
                <w:sz w:val="24"/>
                <w:szCs w:val="21"/>
                <w:highlight w:val="none"/>
                <w:lang w:eastAsia="zh-CN"/>
                <w14:textFill>
                  <w14:solidFill>
                    <w14:schemeClr w14:val="tx1"/>
                  </w14:solidFill>
                </w14:textFill>
              </w:rPr>
              <w:t>，</w:t>
            </w:r>
            <w:r>
              <w:rPr>
                <w:color w:val="000000" w:themeColor="text1"/>
                <w:sz w:val="24"/>
                <w:szCs w:val="21"/>
                <w:highlight w:val="none"/>
                <w14:textFill>
                  <w14:solidFill>
                    <w14:schemeClr w14:val="tx1"/>
                  </w14:solidFill>
                </w14:textFill>
              </w:rPr>
              <w:t>具体标准值见下表。</w:t>
            </w:r>
          </w:p>
          <w:p w14:paraId="1234BC8F">
            <w:pPr>
              <w:adjustRightInd w:val="0"/>
              <w:snapToGrid w:val="0"/>
              <w:spacing w:line="440" w:lineRule="exact"/>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表3-</w:t>
            </w:r>
            <w:r>
              <w:rPr>
                <w:rFonts w:hint="eastAsia"/>
                <w:b/>
                <w:color w:val="000000" w:themeColor="text1"/>
                <w:sz w:val="24"/>
                <w:highlight w:val="none"/>
                <w:lang w:val="en-US" w:eastAsia="zh-CN"/>
                <w14:textFill>
                  <w14:solidFill>
                    <w14:schemeClr w14:val="tx1"/>
                  </w14:solidFill>
                </w14:textFill>
              </w:rPr>
              <w:t xml:space="preserve">5  </w:t>
            </w:r>
            <w:r>
              <w:rPr>
                <w:b/>
                <w:color w:val="000000" w:themeColor="text1"/>
                <w:sz w:val="24"/>
                <w:highlight w:val="none"/>
                <w14:textFill>
                  <w14:solidFill>
                    <w14:schemeClr w14:val="tx1"/>
                  </w14:solidFill>
                </w14:textFill>
              </w:rPr>
              <w:t>有组织</w:t>
            </w:r>
            <w:r>
              <w:rPr>
                <w:b/>
                <w:bCs/>
                <w:color w:val="000000" w:themeColor="text1"/>
                <w:sz w:val="24"/>
                <w:highlight w:val="none"/>
                <w14:textFill>
                  <w14:solidFill>
                    <w14:schemeClr w14:val="tx1"/>
                  </w14:solidFill>
                </w14:textFill>
              </w:rPr>
              <w:t>大气污染物排放标准</w:t>
            </w:r>
          </w:p>
          <w:tbl>
            <w:tblPr>
              <w:tblStyle w:val="38"/>
              <w:tblW w:w="0" w:type="auto"/>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1000"/>
              <w:gridCol w:w="1103"/>
              <w:gridCol w:w="1282"/>
              <w:gridCol w:w="1257"/>
              <w:gridCol w:w="1352"/>
              <w:gridCol w:w="2394"/>
            </w:tblGrid>
            <w:tr w14:paraId="55A3F2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1000" w:type="dxa"/>
                  <w:vAlign w:val="center"/>
                </w:tcPr>
                <w:p w14:paraId="28CB11C0">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排气筒</w:t>
                  </w:r>
                </w:p>
              </w:tc>
              <w:tc>
                <w:tcPr>
                  <w:tcW w:w="1103" w:type="dxa"/>
                  <w:vAlign w:val="center"/>
                </w:tcPr>
                <w:p w14:paraId="60221EC6">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污染物</w:t>
                  </w:r>
                </w:p>
              </w:tc>
              <w:tc>
                <w:tcPr>
                  <w:tcW w:w="1282" w:type="dxa"/>
                  <w:vAlign w:val="center"/>
                </w:tcPr>
                <w:p w14:paraId="6498231E">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最高允许排放浓度（mg/m</w:t>
                  </w:r>
                  <w:r>
                    <w:rPr>
                      <w:b/>
                      <w:bCs/>
                      <w:color w:val="000000" w:themeColor="text1"/>
                      <w:szCs w:val="21"/>
                      <w:highlight w:val="none"/>
                      <w:vertAlign w:val="superscript"/>
                      <w14:textFill>
                        <w14:solidFill>
                          <w14:schemeClr w14:val="tx1"/>
                        </w14:solidFill>
                      </w14:textFill>
                    </w:rPr>
                    <w:t>3</w:t>
                  </w:r>
                  <w:r>
                    <w:rPr>
                      <w:b/>
                      <w:bCs/>
                      <w:color w:val="000000" w:themeColor="text1"/>
                      <w:szCs w:val="21"/>
                      <w:highlight w:val="none"/>
                      <w14:textFill>
                        <w14:solidFill>
                          <w14:schemeClr w14:val="tx1"/>
                        </w14:solidFill>
                      </w14:textFill>
                    </w:rPr>
                    <w:t>）</w:t>
                  </w:r>
                </w:p>
              </w:tc>
              <w:tc>
                <w:tcPr>
                  <w:tcW w:w="1257" w:type="dxa"/>
                  <w:vAlign w:val="center"/>
                </w:tcPr>
                <w:p w14:paraId="26008B67">
                  <w:pPr>
                    <w:snapToGrid w:val="0"/>
                    <w:spacing w:line="240" w:lineRule="exact"/>
                    <w:jc w:val="center"/>
                    <w:rPr>
                      <w:rFonts w:ascii="Times New Roman" w:hAnsi="Times New Roman" w:eastAsia="宋体" w:cs="Times New Roman"/>
                      <w:b/>
                      <w:bCs/>
                      <w:color w:val="000000" w:themeColor="text1"/>
                      <w:szCs w:val="21"/>
                      <w:highlight w:val="none"/>
                      <w14:textFill>
                        <w14:solidFill>
                          <w14:schemeClr w14:val="tx1"/>
                        </w14:solidFill>
                      </w14:textFill>
                    </w:rPr>
                  </w:pPr>
                  <w:r>
                    <w:rPr>
                      <w:rFonts w:hint="eastAsia" w:ascii="Times New Roman" w:hAnsi="Times New Roman" w:eastAsia="宋体" w:cs="Times New Roman"/>
                      <w:b/>
                      <w:bCs/>
                      <w:color w:val="000000" w:themeColor="text1"/>
                      <w:szCs w:val="21"/>
                      <w:highlight w:val="none"/>
                      <w:lang w:val="zh-CN"/>
                      <w14:textFill>
                        <w14:solidFill>
                          <w14:schemeClr w14:val="tx1"/>
                        </w14:solidFill>
                      </w14:textFill>
                    </w:rPr>
                    <w:t>基准排</w:t>
                  </w: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气</w:t>
                  </w:r>
                  <w:r>
                    <w:rPr>
                      <w:rFonts w:hint="eastAsia" w:ascii="Times New Roman" w:hAnsi="Times New Roman" w:eastAsia="宋体" w:cs="Times New Roman"/>
                      <w:b/>
                      <w:bCs/>
                      <w:color w:val="000000" w:themeColor="text1"/>
                      <w:szCs w:val="21"/>
                      <w:highlight w:val="none"/>
                      <w:lang w:val="zh-CN"/>
                      <w14:textFill>
                        <w14:solidFill>
                          <w14:schemeClr w14:val="tx1"/>
                        </w14:solidFill>
                      </w14:textFill>
                    </w:rPr>
                    <w:t>量（m</w:t>
                  </w:r>
                  <w:r>
                    <w:rPr>
                      <w:rFonts w:hint="eastAsia" w:ascii="Times New Roman" w:hAnsi="Times New Roman" w:eastAsia="宋体" w:cs="Times New Roman"/>
                      <w:b/>
                      <w:bCs/>
                      <w:color w:val="000000" w:themeColor="text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w:t>
                  </w:r>
                  <w:r>
                    <w:rPr>
                      <w:rFonts w:hint="eastAsia" w:ascii="Times New Roman" w:hAnsi="Times New Roman" w:eastAsia="宋体" w:cs="Times New Roman"/>
                      <w:b/>
                      <w:bCs/>
                      <w:color w:val="000000" w:themeColor="text1"/>
                      <w:szCs w:val="21"/>
                      <w:highlight w:val="none"/>
                      <w:lang w:val="zh-CN"/>
                      <w14:textFill>
                        <w14:solidFill>
                          <w14:schemeClr w14:val="tx1"/>
                        </w14:solidFill>
                      </w14:textFill>
                    </w:rPr>
                    <w:t>t胶）</w:t>
                  </w:r>
                </w:p>
              </w:tc>
              <w:tc>
                <w:tcPr>
                  <w:tcW w:w="1352" w:type="dxa"/>
                  <w:vAlign w:val="center"/>
                </w:tcPr>
                <w:p w14:paraId="44E05073">
                  <w:pPr>
                    <w:snapToGrid w:val="0"/>
                    <w:spacing w:line="240" w:lineRule="exact"/>
                    <w:jc w:val="center"/>
                    <w:rPr>
                      <w:rFonts w:ascii="Times New Roman" w:hAnsi="Times New Roman" w:eastAsia="宋体" w:cs="Times New Roman"/>
                      <w:b/>
                      <w:bCs/>
                      <w:color w:val="000000" w:themeColor="text1"/>
                      <w:szCs w:val="21"/>
                      <w:highlight w:val="none"/>
                      <w14:textFill>
                        <w14:solidFill>
                          <w14:schemeClr w14:val="tx1"/>
                        </w14:solidFill>
                      </w14:textFill>
                    </w:rPr>
                  </w:pPr>
                  <w:r>
                    <w:rPr>
                      <w:rFonts w:ascii="Times New Roman" w:hAnsi="Times New Roman" w:eastAsia="宋体" w:cs="Times New Roman"/>
                      <w:b/>
                      <w:bCs/>
                      <w:color w:val="000000" w:themeColor="text1"/>
                      <w:szCs w:val="21"/>
                      <w:highlight w:val="none"/>
                      <w14:textFill>
                        <w14:solidFill>
                          <w14:schemeClr w14:val="tx1"/>
                        </w14:solidFill>
                      </w14:textFill>
                    </w:rPr>
                    <w:t>监控位置</w:t>
                  </w:r>
                </w:p>
              </w:tc>
              <w:tc>
                <w:tcPr>
                  <w:tcW w:w="2394" w:type="dxa"/>
                  <w:vAlign w:val="center"/>
                </w:tcPr>
                <w:p w14:paraId="65CC7B6B">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执行标准</w:t>
                  </w:r>
                </w:p>
              </w:tc>
            </w:tr>
            <w:tr w14:paraId="3B7C0B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9" w:hRule="atLeast"/>
                <w:jc w:val="center"/>
              </w:trPr>
              <w:tc>
                <w:tcPr>
                  <w:tcW w:w="1000" w:type="dxa"/>
                  <w:vAlign w:val="center"/>
                </w:tcPr>
                <w:p w14:paraId="08947FDD">
                  <w:pPr>
                    <w:snapToGrid w:val="0"/>
                    <w:spacing w:line="240" w:lineRule="exact"/>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DA00</w:t>
                  </w:r>
                  <w:r>
                    <w:rPr>
                      <w:rFonts w:hint="eastAsia"/>
                      <w:color w:val="000000" w:themeColor="text1"/>
                      <w:highlight w:val="none"/>
                      <w:lang w:val="en-US" w:eastAsia="zh-CN"/>
                      <w14:textFill>
                        <w14:solidFill>
                          <w14:schemeClr w14:val="tx1"/>
                        </w14:solidFill>
                      </w14:textFill>
                    </w:rPr>
                    <w:t>1</w:t>
                  </w:r>
                </w:p>
              </w:tc>
              <w:tc>
                <w:tcPr>
                  <w:tcW w:w="1103" w:type="dxa"/>
                  <w:vAlign w:val="center"/>
                </w:tcPr>
                <w:p w14:paraId="4BC39B56">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非甲烷总烃</w:t>
                  </w:r>
                </w:p>
              </w:tc>
              <w:tc>
                <w:tcPr>
                  <w:tcW w:w="1282" w:type="dxa"/>
                  <w:vAlign w:val="center"/>
                </w:tcPr>
                <w:p w14:paraId="706B89CF">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10</w:t>
                  </w:r>
                </w:p>
              </w:tc>
              <w:tc>
                <w:tcPr>
                  <w:tcW w:w="1257" w:type="dxa"/>
                  <w:vAlign w:val="center"/>
                </w:tcPr>
                <w:p w14:paraId="2CC698DC">
                  <w:pPr>
                    <w:snapToGrid w:val="0"/>
                    <w:spacing w:line="24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2000</w:t>
                  </w:r>
                </w:p>
              </w:tc>
              <w:tc>
                <w:tcPr>
                  <w:tcW w:w="1352" w:type="dxa"/>
                  <w:vMerge w:val="restart"/>
                  <w:vAlign w:val="center"/>
                </w:tcPr>
                <w:p w14:paraId="71479A32">
                  <w:pPr>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车间排气筒出口或生产设施排气筒出口</w:t>
                  </w:r>
                </w:p>
              </w:tc>
              <w:tc>
                <w:tcPr>
                  <w:tcW w:w="2394" w:type="dxa"/>
                  <w:vAlign w:val="center"/>
                </w:tcPr>
                <w:p w14:paraId="1030A89E">
                  <w:pPr>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《橡胶制品工业污染物排放标准》（GB27632-2011）</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表</w:t>
                  </w:r>
                  <w:r>
                    <w:rPr>
                      <w:rFonts w:hint="eastAsia" w:cs="Times New Roman"/>
                      <w:color w:val="000000" w:themeColor="text1"/>
                      <w:szCs w:val="21"/>
                      <w:highlight w:val="none"/>
                      <w:lang w:val="en-US" w:eastAsia="zh-CN"/>
                      <w14:textFill>
                        <w14:solidFill>
                          <w14:schemeClr w14:val="tx1"/>
                        </w14:solidFill>
                      </w14:textFill>
                    </w:rPr>
                    <w:t>5</w:t>
                  </w:r>
                </w:p>
              </w:tc>
            </w:tr>
            <w:tr w14:paraId="5661712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9" w:hRule="atLeast"/>
                <w:jc w:val="center"/>
              </w:trPr>
              <w:tc>
                <w:tcPr>
                  <w:tcW w:w="1000" w:type="dxa"/>
                  <w:vAlign w:val="center"/>
                </w:tcPr>
                <w:p w14:paraId="474E7840">
                  <w:pPr>
                    <w:snapToGrid w:val="0"/>
                    <w:spacing w:line="24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DA00</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DA00</w:t>
                  </w:r>
                  <w:r>
                    <w:rPr>
                      <w:rFonts w:hint="eastAsia"/>
                      <w:color w:val="000000" w:themeColor="text1"/>
                      <w:highlight w:val="none"/>
                      <w:lang w:val="en-US" w:eastAsia="zh-CN"/>
                      <w14:textFill>
                        <w14:solidFill>
                          <w14:schemeClr w14:val="tx1"/>
                        </w14:solidFill>
                      </w14:textFill>
                    </w:rPr>
                    <w:t>2</w:t>
                  </w:r>
                </w:p>
              </w:tc>
              <w:tc>
                <w:tcPr>
                  <w:tcW w:w="1103" w:type="dxa"/>
                  <w:vAlign w:val="center"/>
                </w:tcPr>
                <w:p w14:paraId="3DAFBC67">
                  <w:pPr>
                    <w:snapToGrid w:val="0"/>
                    <w:spacing w:line="240" w:lineRule="exact"/>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臭气浓度</w:t>
                  </w:r>
                </w:p>
              </w:tc>
              <w:tc>
                <w:tcPr>
                  <w:tcW w:w="1282" w:type="dxa"/>
                  <w:vAlign w:val="center"/>
                </w:tcPr>
                <w:p w14:paraId="5495BFBF">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2000</w:t>
                  </w:r>
                </w:p>
                <w:p w14:paraId="3BE35FBE">
                  <w:pPr>
                    <w:snapToGrid w:val="0"/>
                    <w:spacing w:line="240" w:lineRule="exact"/>
                    <w:jc w:val="center"/>
                    <w:rPr>
                      <w:rFonts w:hint="eastAsia"/>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（无量纲）</w:t>
                  </w:r>
                </w:p>
              </w:tc>
              <w:tc>
                <w:tcPr>
                  <w:tcW w:w="1257" w:type="dxa"/>
                  <w:vAlign w:val="center"/>
                </w:tcPr>
                <w:p w14:paraId="534B5DC4">
                  <w:pPr>
                    <w:snapToGrid w:val="0"/>
                    <w:spacing w:line="240" w:lineRule="exact"/>
                    <w:jc w:val="center"/>
                    <w:rPr>
                      <w:rFonts w:hint="eastAsia" w:cs="Times New Roman"/>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w:t>
                  </w:r>
                </w:p>
              </w:tc>
              <w:tc>
                <w:tcPr>
                  <w:tcW w:w="1352" w:type="dxa"/>
                  <w:vMerge w:val="continue"/>
                  <w:vAlign w:val="center"/>
                </w:tcPr>
                <w:p w14:paraId="0B300CCA">
                  <w:pPr>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2394" w:type="dxa"/>
                  <w:vAlign w:val="center"/>
                </w:tcPr>
                <w:p w14:paraId="1E26002D">
                  <w:pPr>
                    <w:snapToGrid w:val="0"/>
                    <w:spacing w:line="240" w:lineRule="exact"/>
                    <w:jc w:val="center"/>
                    <w:rPr>
                      <w:rFonts w:hint="eastAsia" w:cs="Times New Roman"/>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《恶臭污染物排放标准》（GB14554-1993）表2标准</w:t>
                  </w:r>
                </w:p>
              </w:tc>
            </w:tr>
            <w:tr w14:paraId="559CEC7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9" w:hRule="atLeast"/>
                <w:jc w:val="center"/>
              </w:trPr>
              <w:tc>
                <w:tcPr>
                  <w:tcW w:w="1000" w:type="dxa"/>
                  <w:vMerge w:val="restart"/>
                  <w:vAlign w:val="center"/>
                </w:tcPr>
                <w:p w14:paraId="27F030CF">
                  <w:pPr>
                    <w:snapToGrid w:val="0"/>
                    <w:spacing w:line="24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DA00</w:t>
                  </w:r>
                  <w:r>
                    <w:rPr>
                      <w:rFonts w:hint="eastAsia"/>
                      <w:color w:val="000000" w:themeColor="text1"/>
                      <w:highlight w:val="none"/>
                      <w:lang w:val="en-US" w:eastAsia="zh-CN"/>
                      <w14:textFill>
                        <w14:solidFill>
                          <w14:schemeClr w14:val="tx1"/>
                        </w14:solidFill>
                      </w14:textFill>
                    </w:rPr>
                    <w:t>2</w:t>
                  </w:r>
                </w:p>
              </w:tc>
              <w:tc>
                <w:tcPr>
                  <w:tcW w:w="1103" w:type="dxa"/>
                  <w:vAlign w:val="center"/>
                </w:tcPr>
                <w:p w14:paraId="4D3A0B2A">
                  <w:pPr>
                    <w:snapToGrid w:val="0"/>
                    <w:spacing w:line="240" w:lineRule="exact"/>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非甲烷总烃</w:t>
                  </w:r>
                </w:p>
              </w:tc>
              <w:tc>
                <w:tcPr>
                  <w:tcW w:w="1282" w:type="dxa"/>
                  <w:vAlign w:val="center"/>
                </w:tcPr>
                <w:p w14:paraId="3F72EE15">
                  <w:pPr>
                    <w:snapToGrid w:val="0"/>
                    <w:spacing w:line="24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60</w:t>
                  </w:r>
                </w:p>
              </w:tc>
              <w:tc>
                <w:tcPr>
                  <w:tcW w:w="1257" w:type="dxa"/>
                  <w:vAlign w:val="center"/>
                </w:tcPr>
                <w:p w14:paraId="69374E03">
                  <w:pPr>
                    <w:snapToGrid w:val="0"/>
                    <w:spacing w:line="24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w:t>
                  </w:r>
                </w:p>
              </w:tc>
              <w:tc>
                <w:tcPr>
                  <w:tcW w:w="1352" w:type="dxa"/>
                  <w:vMerge w:val="continue"/>
                  <w:vAlign w:val="center"/>
                </w:tcPr>
                <w:p w14:paraId="2EBEA5C4">
                  <w:pPr>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2394" w:type="dxa"/>
                  <w:vMerge w:val="restart"/>
                  <w:vAlign w:val="center"/>
                </w:tcPr>
                <w:p w14:paraId="3CEC3161">
                  <w:pPr>
                    <w:snapToGrid w:val="0"/>
                    <w:spacing w:line="24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《合成树脂工业污染物排放标准》（GB31572-2015）（含2024年修改单）</w:t>
                  </w:r>
                  <w:r>
                    <w:rPr>
                      <w:color w:val="000000" w:themeColor="text1"/>
                      <w:szCs w:val="21"/>
                      <w:highlight w:val="none"/>
                      <w14:textFill>
                        <w14:solidFill>
                          <w14:schemeClr w14:val="tx1"/>
                        </w14:solidFill>
                      </w14:textFill>
                    </w:rPr>
                    <w:t>表5</w:t>
                  </w:r>
                </w:p>
              </w:tc>
            </w:tr>
            <w:tr w14:paraId="163B1EC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9" w:hRule="atLeast"/>
                <w:jc w:val="center"/>
              </w:trPr>
              <w:tc>
                <w:tcPr>
                  <w:tcW w:w="1000" w:type="dxa"/>
                  <w:vMerge w:val="continue"/>
                  <w:vAlign w:val="center"/>
                </w:tcPr>
                <w:p w14:paraId="547433F8">
                  <w:pPr>
                    <w:snapToGrid w:val="0"/>
                    <w:spacing w:line="240" w:lineRule="exact"/>
                    <w:jc w:val="center"/>
                    <w:rPr>
                      <w:rFonts w:hint="eastAsia"/>
                      <w:color w:val="000000" w:themeColor="text1"/>
                      <w:highlight w:val="none"/>
                      <w14:textFill>
                        <w14:solidFill>
                          <w14:schemeClr w14:val="tx1"/>
                        </w14:solidFill>
                      </w14:textFill>
                    </w:rPr>
                  </w:pPr>
                </w:p>
              </w:tc>
              <w:tc>
                <w:tcPr>
                  <w:tcW w:w="1103" w:type="dxa"/>
                  <w:vAlign w:val="center"/>
                </w:tcPr>
                <w:p w14:paraId="53D4A64C">
                  <w:pPr>
                    <w:snapToGrid w:val="0"/>
                    <w:spacing w:line="24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乙醛</w:t>
                  </w:r>
                </w:p>
              </w:tc>
              <w:tc>
                <w:tcPr>
                  <w:tcW w:w="1282" w:type="dxa"/>
                  <w:vAlign w:val="center"/>
                </w:tcPr>
                <w:p w14:paraId="2AA1A501">
                  <w:pPr>
                    <w:snapToGrid w:val="0"/>
                    <w:spacing w:line="24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20</w:t>
                  </w:r>
                </w:p>
              </w:tc>
              <w:tc>
                <w:tcPr>
                  <w:tcW w:w="1257" w:type="dxa"/>
                  <w:vAlign w:val="center"/>
                </w:tcPr>
                <w:p w14:paraId="14DC8511">
                  <w:pPr>
                    <w:snapToGrid w:val="0"/>
                    <w:spacing w:line="24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w:t>
                  </w:r>
                </w:p>
              </w:tc>
              <w:tc>
                <w:tcPr>
                  <w:tcW w:w="1352" w:type="dxa"/>
                  <w:vMerge w:val="continue"/>
                  <w:vAlign w:val="center"/>
                </w:tcPr>
                <w:p w14:paraId="45DC4BEF">
                  <w:pPr>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2394" w:type="dxa"/>
                  <w:vMerge w:val="continue"/>
                  <w:vAlign w:val="center"/>
                </w:tcPr>
                <w:p w14:paraId="756A3C7C">
                  <w:pPr>
                    <w:snapToGrid w:val="0"/>
                    <w:spacing w:line="240" w:lineRule="exact"/>
                    <w:jc w:val="center"/>
                    <w:rPr>
                      <w:rFonts w:hint="eastAsia" w:cs="Times New Roman"/>
                      <w:color w:val="000000" w:themeColor="text1"/>
                      <w:szCs w:val="21"/>
                      <w:highlight w:val="none"/>
                      <w:lang w:val="en-US" w:eastAsia="zh-CN"/>
                      <w14:textFill>
                        <w14:solidFill>
                          <w14:schemeClr w14:val="tx1"/>
                        </w14:solidFill>
                      </w14:textFill>
                    </w:rPr>
                  </w:pPr>
                </w:p>
              </w:tc>
            </w:tr>
            <w:tr w14:paraId="5CA284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9" w:hRule="atLeast"/>
                <w:jc w:val="center"/>
              </w:trPr>
              <w:tc>
                <w:tcPr>
                  <w:tcW w:w="1000" w:type="dxa"/>
                  <w:vMerge w:val="continue"/>
                  <w:vAlign w:val="center"/>
                </w:tcPr>
                <w:p w14:paraId="58E7648A">
                  <w:pPr>
                    <w:snapToGrid w:val="0"/>
                    <w:spacing w:line="240" w:lineRule="exact"/>
                    <w:jc w:val="center"/>
                    <w:rPr>
                      <w:rFonts w:hint="eastAsia"/>
                      <w:color w:val="000000" w:themeColor="text1"/>
                      <w:highlight w:val="none"/>
                      <w14:textFill>
                        <w14:solidFill>
                          <w14:schemeClr w14:val="tx1"/>
                        </w14:solidFill>
                      </w14:textFill>
                    </w:rPr>
                  </w:pPr>
                </w:p>
              </w:tc>
              <w:tc>
                <w:tcPr>
                  <w:tcW w:w="1103" w:type="dxa"/>
                  <w:vAlign w:val="center"/>
                </w:tcPr>
                <w:p w14:paraId="316E21A5">
                  <w:pPr>
                    <w:snapToGrid w:val="0"/>
                    <w:spacing w:line="240" w:lineRule="exact"/>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四氢呋喃</w:t>
                  </w:r>
                </w:p>
              </w:tc>
              <w:tc>
                <w:tcPr>
                  <w:tcW w:w="1282" w:type="dxa"/>
                  <w:vAlign w:val="center"/>
                </w:tcPr>
                <w:p w14:paraId="6D66C669">
                  <w:pPr>
                    <w:snapToGrid w:val="0"/>
                    <w:spacing w:line="24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50</w:t>
                  </w:r>
                </w:p>
              </w:tc>
              <w:tc>
                <w:tcPr>
                  <w:tcW w:w="1257" w:type="dxa"/>
                  <w:vAlign w:val="center"/>
                </w:tcPr>
                <w:p w14:paraId="585E0212">
                  <w:pPr>
                    <w:snapToGrid w:val="0"/>
                    <w:spacing w:line="24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w:t>
                  </w:r>
                </w:p>
              </w:tc>
              <w:tc>
                <w:tcPr>
                  <w:tcW w:w="1352" w:type="dxa"/>
                  <w:vMerge w:val="continue"/>
                  <w:vAlign w:val="center"/>
                </w:tcPr>
                <w:p w14:paraId="008895A7">
                  <w:pPr>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2394" w:type="dxa"/>
                  <w:vMerge w:val="continue"/>
                  <w:vAlign w:val="center"/>
                </w:tcPr>
                <w:p w14:paraId="06402814">
                  <w:pPr>
                    <w:snapToGrid w:val="0"/>
                    <w:spacing w:line="240" w:lineRule="exact"/>
                    <w:jc w:val="center"/>
                    <w:rPr>
                      <w:rFonts w:hint="eastAsia" w:cs="Times New Roman"/>
                      <w:color w:val="000000" w:themeColor="text1"/>
                      <w:szCs w:val="21"/>
                      <w:highlight w:val="none"/>
                      <w:lang w:val="en-US" w:eastAsia="zh-CN"/>
                      <w14:textFill>
                        <w14:solidFill>
                          <w14:schemeClr w14:val="tx1"/>
                        </w14:solidFill>
                      </w14:textFill>
                    </w:rPr>
                  </w:pPr>
                </w:p>
              </w:tc>
            </w:tr>
          </w:tbl>
          <w:p w14:paraId="3E35E0B7">
            <w:pPr>
              <w:adjustRightInd w:val="0"/>
              <w:snapToGrid w:val="0"/>
              <w:spacing w:line="440" w:lineRule="exact"/>
              <w:jc w:val="center"/>
              <w:rPr>
                <w:rFonts w:ascii="Times New Roman" w:hAnsi="Times New Roman" w:eastAsia="宋体" w:cs="Times New Roman"/>
                <w:b/>
                <w:color w:val="000000" w:themeColor="text1"/>
                <w:sz w:val="24"/>
                <w:highlight w:val="none"/>
                <w14:textFill>
                  <w14:solidFill>
                    <w14:schemeClr w14:val="tx1"/>
                  </w14:solidFill>
                </w14:textFill>
              </w:rPr>
            </w:pPr>
            <w:r>
              <w:rPr>
                <w:rFonts w:ascii="Times New Roman" w:hAnsi="Times New Roman" w:eastAsia="宋体" w:cs="Times New Roman"/>
                <w:b/>
                <w:color w:val="000000" w:themeColor="text1"/>
                <w:sz w:val="24"/>
                <w:highlight w:val="none"/>
                <w:lang w:val="zh-CN"/>
                <w14:textFill>
                  <w14:solidFill>
                    <w14:schemeClr w14:val="tx1"/>
                  </w14:solidFill>
                </w14:textFill>
              </w:rPr>
              <w:t>表3-</w:t>
            </w:r>
            <w:r>
              <w:rPr>
                <w:rFonts w:hint="eastAsia" w:cs="Times New Roman"/>
                <w:b/>
                <w:color w:val="000000" w:themeColor="text1"/>
                <w:sz w:val="24"/>
                <w:highlight w:val="none"/>
                <w:lang w:val="en-US" w:eastAsia="zh-CN"/>
                <w14:textFill>
                  <w14:solidFill>
                    <w14:schemeClr w14:val="tx1"/>
                  </w14:solidFill>
                </w14:textFill>
              </w:rPr>
              <w:t>6</w:t>
            </w:r>
            <w:r>
              <w:rPr>
                <w:rFonts w:hint="eastAsia" w:ascii="Times New Roman" w:hAnsi="Times New Roman" w:eastAsia="宋体" w:cs="Times New Roman"/>
                <w:b/>
                <w:color w:val="000000" w:themeColor="text1"/>
                <w:sz w:val="24"/>
                <w:highlight w:val="none"/>
                <w:lang w:val="en-US" w:eastAsia="zh-CN"/>
                <w14:textFill>
                  <w14:solidFill>
                    <w14:schemeClr w14:val="tx1"/>
                  </w14:solidFill>
                </w14:textFill>
              </w:rPr>
              <w:t xml:space="preserve"> </w:t>
            </w:r>
            <w:r>
              <w:rPr>
                <w:rFonts w:hint="eastAsia" w:cs="Times New Roman"/>
                <w:b/>
                <w:color w:val="000000" w:themeColor="text1"/>
                <w:sz w:val="24"/>
                <w:highlight w:val="none"/>
                <w:lang w:val="en-US" w:eastAsia="zh-CN"/>
                <w14:textFill>
                  <w14:solidFill>
                    <w14:schemeClr w14:val="tx1"/>
                  </w14:solidFill>
                </w14:textFill>
              </w:rPr>
              <w:t xml:space="preserve"> </w:t>
            </w:r>
            <w:r>
              <w:rPr>
                <w:rFonts w:ascii="Times New Roman" w:hAnsi="Times New Roman" w:eastAsia="宋体" w:cs="Times New Roman"/>
                <w:b/>
                <w:color w:val="000000" w:themeColor="text1"/>
                <w:sz w:val="24"/>
                <w:highlight w:val="none"/>
                <w14:textFill>
                  <w14:solidFill>
                    <w14:schemeClr w14:val="tx1"/>
                  </w14:solidFill>
                </w14:textFill>
              </w:rPr>
              <w:t>厂区内VOCs无组织排放限值</w:t>
            </w:r>
          </w:p>
          <w:tbl>
            <w:tblPr>
              <w:tblStyle w:val="3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37"/>
              <w:gridCol w:w="1361"/>
              <w:gridCol w:w="2591"/>
              <w:gridCol w:w="1391"/>
              <w:gridCol w:w="2108"/>
            </w:tblGrid>
            <w:tr w14:paraId="53295A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59" w:type="pct"/>
                  <w:tcBorders>
                    <w:tl2br w:val="nil"/>
                    <w:tr2bl w:val="nil"/>
                  </w:tcBorders>
                  <w:vAlign w:val="center"/>
                </w:tcPr>
                <w:p w14:paraId="2298ECEE">
                  <w:pPr>
                    <w:snapToGrid w:val="0"/>
                    <w:spacing w:line="240" w:lineRule="exact"/>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污染物项目</w:t>
                  </w:r>
                </w:p>
              </w:tc>
              <w:tc>
                <w:tcPr>
                  <w:tcW w:w="811" w:type="pct"/>
                  <w:tcBorders>
                    <w:tl2br w:val="nil"/>
                    <w:tr2bl w:val="nil"/>
                  </w:tcBorders>
                  <w:vAlign w:val="center"/>
                </w:tcPr>
                <w:p w14:paraId="68F9CAD9">
                  <w:pPr>
                    <w:snapToGrid w:val="0"/>
                    <w:spacing w:line="240" w:lineRule="exact"/>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监控点限值（mg/m</w:t>
                  </w:r>
                  <w:r>
                    <w:rPr>
                      <w:b/>
                      <w:bCs/>
                      <w:color w:val="000000" w:themeColor="text1"/>
                      <w:szCs w:val="21"/>
                      <w:highlight w:val="none"/>
                      <w:vertAlign w:val="superscript"/>
                      <w:lang w:val="zh-CN"/>
                      <w14:textFill>
                        <w14:solidFill>
                          <w14:schemeClr w14:val="tx1"/>
                        </w14:solidFill>
                      </w14:textFill>
                    </w:rPr>
                    <w:t>3</w:t>
                  </w:r>
                  <w:r>
                    <w:rPr>
                      <w:b/>
                      <w:bCs/>
                      <w:color w:val="000000" w:themeColor="text1"/>
                      <w:szCs w:val="21"/>
                      <w:highlight w:val="none"/>
                      <w:lang w:val="zh-CN"/>
                      <w14:textFill>
                        <w14:solidFill>
                          <w14:schemeClr w14:val="tx1"/>
                        </w14:solidFill>
                      </w14:textFill>
                    </w:rPr>
                    <w:t>）</w:t>
                  </w:r>
                </w:p>
              </w:tc>
              <w:tc>
                <w:tcPr>
                  <w:tcW w:w="1544" w:type="pct"/>
                  <w:tcBorders>
                    <w:tl2br w:val="nil"/>
                    <w:tr2bl w:val="nil"/>
                  </w:tcBorders>
                  <w:vAlign w:val="center"/>
                </w:tcPr>
                <w:p w14:paraId="4CDED5F7">
                  <w:pPr>
                    <w:snapToGrid w:val="0"/>
                    <w:spacing w:line="240" w:lineRule="exact"/>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限值含义</w:t>
                  </w:r>
                </w:p>
              </w:tc>
              <w:tc>
                <w:tcPr>
                  <w:tcW w:w="829" w:type="pct"/>
                  <w:tcBorders>
                    <w:tl2br w:val="nil"/>
                    <w:tr2bl w:val="nil"/>
                  </w:tcBorders>
                  <w:vAlign w:val="center"/>
                </w:tcPr>
                <w:p w14:paraId="12B6522D">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lang w:val="zh-CN"/>
                      <w14:textFill>
                        <w14:solidFill>
                          <w14:schemeClr w14:val="tx1"/>
                        </w14:solidFill>
                      </w14:textFill>
                    </w:rPr>
                    <w:t>无组织排放监控</w:t>
                  </w:r>
                  <w:r>
                    <w:rPr>
                      <w:b/>
                      <w:bCs/>
                      <w:color w:val="000000" w:themeColor="text1"/>
                      <w:szCs w:val="21"/>
                      <w:highlight w:val="none"/>
                      <w14:textFill>
                        <w14:solidFill>
                          <w14:schemeClr w14:val="tx1"/>
                        </w14:solidFill>
                      </w14:textFill>
                    </w:rPr>
                    <w:t>位置</w:t>
                  </w:r>
                </w:p>
              </w:tc>
              <w:tc>
                <w:tcPr>
                  <w:tcW w:w="1256" w:type="pct"/>
                  <w:tcBorders>
                    <w:tl2br w:val="nil"/>
                    <w:tr2bl w:val="nil"/>
                  </w:tcBorders>
                  <w:vAlign w:val="center"/>
                </w:tcPr>
                <w:p w14:paraId="1C3C5828">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标准来源</w:t>
                  </w:r>
                </w:p>
              </w:tc>
            </w:tr>
            <w:tr w14:paraId="01436B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59" w:type="pct"/>
                  <w:vMerge w:val="restart"/>
                  <w:tcBorders>
                    <w:tl2br w:val="nil"/>
                    <w:tr2bl w:val="nil"/>
                  </w:tcBorders>
                  <w:vAlign w:val="center"/>
                </w:tcPr>
                <w:p w14:paraId="3A26A909">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非甲烷总烃</w:t>
                  </w:r>
                </w:p>
              </w:tc>
              <w:tc>
                <w:tcPr>
                  <w:tcW w:w="811" w:type="pct"/>
                  <w:tcBorders>
                    <w:tl2br w:val="nil"/>
                    <w:tr2bl w:val="nil"/>
                  </w:tcBorders>
                  <w:vAlign w:val="center"/>
                </w:tcPr>
                <w:p w14:paraId="7F5FD7FD">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w:t>
                  </w:r>
                </w:p>
              </w:tc>
              <w:tc>
                <w:tcPr>
                  <w:tcW w:w="1544" w:type="pct"/>
                  <w:tcBorders>
                    <w:tl2br w:val="nil"/>
                    <w:tr2bl w:val="nil"/>
                  </w:tcBorders>
                  <w:vAlign w:val="center"/>
                </w:tcPr>
                <w:p w14:paraId="793B51E0">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监控点处1h平均浓度值</w:t>
                  </w:r>
                </w:p>
              </w:tc>
              <w:tc>
                <w:tcPr>
                  <w:tcW w:w="829" w:type="pct"/>
                  <w:vMerge w:val="restart"/>
                  <w:tcBorders>
                    <w:tl2br w:val="nil"/>
                    <w:tr2bl w:val="nil"/>
                  </w:tcBorders>
                  <w:vAlign w:val="center"/>
                </w:tcPr>
                <w:p w14:paraId="497ABB34">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在厂房外设置监控点</w:t>
                  </w:r>
                </w:p>
              </w:tc>
              <w:tc>
                <w:tcPr>
                  <w:tcW w:w="1256" w:type="pct"/>
                  <w:vMerge w:val="restart"/>
                  <w:tcBorders>
                    <w:tl2br w:val="nil"/>
                    <w:tr2bl w:val="nil"/>
                  </w:tcBorders>
                  <w:vAlign w:val="center"/>
                </w:tcPr>
                <w:p w14:paraId="0C59B948">
                  <w:pPr>
                    <w:snapToGrid w:val="0"/>
                    <w:spacing w:line="240" w:lineRule="exact"/>
                    <w:jc w:val="center"/>
                    <w:rPr>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《大气污染物综合排放标准》（DB32/4041-2021）表2</w:t>
                  </w:r>
                </w:p>
              </w:tc>
            </w:tr>
            <w:tr w14:paraId="36C9C1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59" w:type="pct"/>
                  <w:vMerge w:val="continue"/>
                  <w:tcBorders>
                    <w:tl2br w:val="nil"/>
                    <w:tr2bl w:val="nil"/>
                  </w:tcBorders>
                  <w:vAlign w:val="center"/>
                </w:tcPr>
                <w:p w14:paraId="24ED1BE2">
                  <w:pPr>
                    <w:snapToGrid w:val="0"/>
                    <w:spacing w:line="240" w:lineRule="exact"/>
                    <w:jc w:val="center"/>
                    <w:rPr>
                      <w:color w:val="000000" w:themeColor="text1"/>
                      <w:szCs w:val="21"/>
                      <w:highlight w:val="none"/>
                      <w:lang w:val="zh-CN"/>
                      <w14:textFill>
                        <w14:solidFill>
                          <w14:schemeClr w14:val="tx1"/>
                        </w14:solidFill>
                      </w14:textFill>
                    </w:rPr>
                  </w:pPr>
                </w:p>
              </w:tc>
              <w:tc>
                <w:tcPr>
                  <w:tcW w:w="811" w:type="pct"/>
                  <w:tcBorders>
                    <w:tl2br w:val="nil"/>
                    <w:tr2bl w:val="nil"/>
                  </w:tcBorders>
                  <w:vAlign w:val="center"/>
                </w:tcPr>
                <w:p w14:paraId="5306FC3B">
                  <w:pPr>
                    <w:snapToGrid w:val="0"/>
                    <w:spacing w:line="240" w:lineRule="exact"/>
                    <w:jc w:val="center"/>
                    <w:rPr>
                      <w:color w:val="000000" w:themeColor="text1"/>
                      <w:szCs w:val="21"/>
                      <w:highlight w:val="none"/>
                      <w:lang w:val="zh-CN"/>
                      <w14:textFill>
                        <w14:solidFill>
                          <w14:schemeClr w14:val="tx1"/>
                        </w14:solidFill>
                      </w14:textFill>
                    </w:rPr>
                  </w:pPr>
                  <w:r>
                    <w:rPr>
                      <w:rFonts w:hint="eastAsia"/>
                      <w:color w:val="000000" w:themeColor="text1"/>
                      <w:szCs w:val="21"/>
                      <w:highlight w:val="none"/>
                      <w14:textFill>
                        <w14:solidFill>
                          <w14:schemeClr w14:val="tx1"/>
                        </w14:solidFill>
                      </w14:textFill>
                    </w:rPr>
                    <w:t>2</w:t>
                  </w:r>
                  <w:r>
                    <w:rPr>
                      <w:color w:val="000000" w:themeColor="text1"/>
                      <w:szCs w:val="21"/>
                      <w:highlight w:val="none"/>
                      <w:lang w:val="zh-CN"/>
                      <w14:textFill>
                        <w14:solidFill>
                          <w14:schemeClr w14:val="tx1"/>
                        </w14:solidFill>
                      </w14:textFill>
                    </w:rPr>
                    <w:t>0</w:t>
                  </w:r>
                </w:p>
              </w:tc>
              <w:tc>
                <w:tcPr>
                  <w:tcW w:w="1544" w:type="pct"/>
                  <w:tcBorders>
                    <w:tl2br w:val="nil"/>
                    <w:tr2bl w:val="nil"/>
                  </w:tcBorders>
                  <w:vAlign w:val="center"/>
                </w:tcPr>
                <w:p w14:paraId="6B02B1EC">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监控点处任意一次浓度值</w:t>
                  </w:r>
                </w:p>
              </w:tc>
              <w:tc>
                <w:tcPr>
                  <w:tcW w:w="829" w:type="pct"/>
                  <w:vMerge w:val="continue"/>
                  <w:tcBorders>
                    <w:tl2br w:val="nil"/>
                    <w:tr2bl w:val="nil"/>
                  </w:tcBorders>
                  <w:vAlign w:val="center"/>
                </w:tcPr>
                <w:p w14:paraId="6B752852">
                  <w:pPr>
                    <w:snapToGrid w:val="0"/>
                    <w:spacing w:line="240" w:lineRule="exact"/>
                    <w:jc w:val="center"/>
                    <w:rPr>
                      <w:color w:val="000000" w:themeColor="text1"/>
                      <w:szCs w:val="21"/>
                      <w:highlight w:val="none"/>
                      <w:lang w:val="zh-CN"/>
                      <w14:textFill>
                        <w14:solidFill>
                          <w14:schemeClr w14:val="tx1"/>
                        </w14:solidFill>
                      </w14:textFill>
                    </w:rPr>
                  </w:pPr>
                </w:p>
              </w:tc>
              <w:tc>
                <w:tcPr>
                  <w:tcW w:w="1256" w:type="pct"/>
                  <w:vMerge w:val="continue"/>
                  <w:tcBorders>
                    <w:tl2br w:val="nil"/>
                    <w:tr2bl w:val="nil"/>
                  </w:tcBorders>
                  <w:vAlign w:val="center"/>
                </w:tcPr>
                <w:p w14:paraId="62B285DC">
                  <w:pPr>
                    <w:snapToGrid w:val="0"/>
                    <w:spacing w:line="240" w:lineRule="exact"/>
                    <w:jc w:val="center"/>
                    <w:rPr>
                      <w:color w:val="000000" w:themeColor="text1"/>
                      <w:szCs w:val="21"/>
                      <w:highlight w:val="none"/>
                      <w:lang w:val="zh-CN"/>
                      <w14:textFill>
                        <w14:solidFill>
                          <w14:schemeClr w14:val="tx1"/>
                        </w14:solidFill>
                      </w14:textFill>
                    </w:rPr>
                  </w:pPr>
                </w:p>
              </w:tc>
            </w:tr>
          </w:tbl>
          <w:p w14:paraId="3F2861F8">
            <w:pPr>
              <w:adjustRightInd w:val="0"/>
              <w:snapToGrid w:val="0"/>
              <w:spacing w:line="440" w:lineRule="exact"/>
              <w:jc w:val="center"/>
              <w:rPr>
                <w:b/>
                <w:color w:val="000000" w:themeColor="text1"/>
                <w:sz w:val="24"/>
                <w:highlight w:val="none"/>
                <w14:textFill>
                  <w14:solidFill>
                    <w14:schemeClr w14:val="tx1"/>
                  </w14:solidFill>
                </w14:textFill>
              </w:rPr>
            </w:pPr>
            <w:r>
              <w:rPr>
                <w:b/>
                <w:color w:val="000000" w:themeColor="text1"/>
                <w:sz w:val="24"/>
                <w:highlight w:val="none"/>
                <w:lang w:val="zh-CN"/>
                <w14:textFill>
                  <w14:solidFill>
                    <w14:schemeClr w14:val="tx1"/>
                  </w14:solidFill>
                </w14:textFill>
              </w:rPr>
              <w:t>表3-</w:t>
            </w:r>
            <w:r>
              <w:rPr>
                <w:rFonts w:hint="eastAsia"/>
                <w:b/>
                <w:color w:val="000000" w:themeColor="text1"/>
                <w:sz w:val="24"/>
                <w:highlight w:val="none"/>
                <w:lang w:val="en-US" w:eastAsia="zh-CN"/>
                <w14:textFill>
                  <w14:solidFill>
                    <w14:schemeClr w14:val="tx1"/>
                  </w14:solidFill>
                </w14:textFill>
              </w:rPr>
              <w:t xml:space="preserve">7  </w:t>
            </w:r>
            <w:r>
              <w:rPr>
                <w:b/>
                <w:color w:val="000000" w:themeColor="text1"/>
                <w:sz w:val="24"/>
                <w:highlight w:val="none"/>
                <w14:textFill>
                  <w14:solidFill>
                    <w14:schemeClr w14:val="tx1"/>
                  </w14:solidFill>
                </w14:textFill>
              </w:rPr>
              <w:t>单位边界大气污染物排放监控浓度限值</w:t>
            </w:r>
          </w:p>
          <w:tbl>
            <w:tblPr>
              <w:tblStyle w:val="3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33"/>
              <w:gridCol w:w="2364"/>
              <w:gridCol w:w="4291"/>
            </w:tblGrid>
            <w:tr w14:paraId="75E674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3" w:type="pct"/>
                  <w:vAlign w:val="center"/>
                </w:tcPr>
                <w:p w14:paraId="1BE6C1B2">
                  <w:pPr>
                    <w:snapToGrid w:val="0"/>
                    <w:spacing w:line="240" w:lineRule="exact"/>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污染物项目</w:t>
                  </w:r>
                </w:p>
              </w:tc>
              <w:tc>
                <w:tcPr>
                  <w:tcW w:w="1409" w:type="pct"/>
                  <w:vAlign w:val="center"/>
                </w:tcPr>
                <w:p w14:paraId="1DF4D49E">
                  <w:pPr>
                    <w:snapToGrid w:val="0"/>
                    <w:spacing w:line="240" w:lineRule="exact"/>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监控点限值（mg/m</w:t>
                  </w:r>
                  <w:r>
                    <w:rPr>
                      <w:b/>
                      <w:bCs/>
                      <w:color w:val="000000" w:themeColor="text1"/>
                      <w:szCs w:val="21"/>
                      <w:highlight w:val="none"/>
                      <w:vertAlign w:val="superscript"/>
                      <w:lang w:val="zh-CN"/>
                      <w14:textFill>
                        <w14:solidFill>
                          <w14:schemeClr w14:val="tx1"/>
                        </w14:solidFill>
                      </w14:textFill>
                    </w:rPr>
                    <w:t>3</w:t>
                  </w:r>
                  <w:r>
                    <w:rPr>
                      <w:b/>
                      <w:bCs/>
                      <w:color w:val="000000" w:themeColor="text1"/>
                      <w:szCs w:val="21"/>
                      <w:highlight w:val="none"/>
                      <w:lang w:val="zh-CN"/>
                      <w14:textFill>
                        <w14:solidFill>
                          <w14:schemeClr w14:val="tx1"/>
                        </w14:solidFill>
                      </w14:textFill>
                    </w:rPr>
                    <w:t>）</w:t>
                  </w:r>
                </w:p>
              </w:tc>
              <w:tc>
                <w:tcPr>
                  <w:tcW w:w="2557" w:type="pct"/>
                  <w:vAlign w:val="center"/>
                </w:tcPr>
                <w:p w14:paraId="20E09AD5">
                  <w:pPr>
                    <w:snapToGrid w:val="0"/>
                    <w:spacing w:line="240" w:lineRule="exact"/>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标准来源</w:t>
                  </w:r>
                </w:p>
              </w:tc>
            </w:tr>
            <w:tr w14:paraId="3EB2AB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33" w:type="pct"/>
                  <w:vAlign w:val="center"/>
                </w:tcPr>
                <w:p w14:paraId="2CD68041">
                  <w:pPr>
                    <w:snapToGrid w:val="0"/>
                    <w:spacing w:line="240" w:lineRule="exact"/>
                    <w:jc w:val="center"/>
                    <w:rPr>
                      <w:rFonts w:hint="eastAsia" w:ascii="Times New Roman" w:hAnsi="Times New Roman" w:eastAsia="宋体" w:cs="Times New Roman"/>
                      <w:color w:val="000000" w:themeColor="text1"/>
                      <w:highlight w:val="none"/>
                      <w:lang w:val="zh-CN"/>
                      <w14:textFill>
                        <w14:solidFill>
                          <w14:schemeClr w14:val="tx1"/>
                        </w14:solidFill>
                      </w14:textFill>
                    </w:rPr>
                  </w:pPr>
                  <w:r>
                    <w:rPr>
                      <w:rFonts w:hint="eastAsia" w:ascii="Times New Roman" w:hAnsi="Times New Roman" w:eastAsia="宋体" w:cs="Times New Roman"/>
                      <w:color w:val="000000" w:themeColor="text1"/>
                      <w:highlight w:val="none"/>
                      <w:lang w:val="zh-CN"/>
                      <w14:textFill>
                        <w14:solidFill>
                          <w14:schemeClr w14:val="tx1"/>
                        </w14:solidFill>
                      </w14:textFill>
                    </w:rPr>
                    <w:t>非甲烷总烃</w:t>
                  </w:r>
                </w:p>
              </w:tc>
              <w:tc>
                <w:tcPr>
                  <w:tcW w:w="1409" w:type="pct"/>
                  <w:vAlign w:val="center"/>
                </w:tcPr>
                <w:p w14:paraId="6FD910C1">
                  <w:pPr>
                    <w:snapToGrid w:val="0"/>
                    <w:spacing w:line="240" w:lineRule="exact"/>
                    <w:jc w:val="center"/>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4.0</w:t>
                  </w:r>
                </w:p>
              </w:tc>
              <w:tc>
                <w:tcPr>
                  <w:tcW w:w="2557" w:type="pct"/>
                  <w:vAlign w:val="center"/>
                </w:tcPr>
                <w:p w14:paraId="2CE7FE2E">
                  <w:pPr>
                    <w:snapToGrid w:val="0"/>
                    <w:spacing w:line="240" w:lineRule="exact"/>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《橡胶制品工业污染物排放标准》（GB27632-2011）表6</w:t>
                  </w:r>
                </w:p>
              </w:tc>
            </w:tr>
            <w:tr w14:paraId="20EEB7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3" w:type="pct"/>
                  <w:vAlign w:val="center"/>
                </w:tcPr>
                <w:p w14:paraId="6710484E">
                  <w:pPr>
                    <w:snapToGrid w:val="0"/>
                    <w:spacing w:line="240" w:lineRule="exact"/>
                    <w:jc w:val="center"/>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颗粒物</w:t>
                  </w:r>
                </w:p>
              </w:tc>
              <w:tc>
                <w:tcPr>
                  <w:tcW w:w="1409" w:type="pct"/>
                  <w:vAlign w:val="center"/>
                </w:tcPr>
                <w:p w14:paraId="6A197406">
                  <w:pPr>
                    <w:snapToGrid w:val="0"/>
                    <w:spacing w:line="240" w:lineRule="exact"/>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1.0</w:t>
                  </w:r>
                </w:p>
              </w:tc>
              <w:tc>
                <w:tcPr>
                  <w:tcW w:w="2557" w:type="pct"/>
                  <w:vAlign w:val="center"/>
                </w:tcPr>
                <w:p w14:paraId="2F7E460D">
                  <w:pPr>
                    <w:snapToGrid w:val="0"/>
                    <w:spacing w:line="240" w:lineRule="exact"/>
                    <w:jc w:val="center"/>
                    <w:rPr>
                      <w:rFonts w:hint="default"/>
                      <w:color w:val="000000" w:themeColor="text1"/>
                      <w:szCs w:val="21"/>
                      <w:highlight w:val="none"/>
                      <w:lang w:val="en-US"/>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《合成树脂工业污染物排放标准》（GB31572-2015）（含2024年修改单）</w:t>
                  </w:r>
                  <w:r>
                    <w:rPr>
                      <w:rFonts w:hint="eastAsia"/>
                      <w:color w:val="000000" w:themeColor="text1"/>
                      <w:szCs w:val="21"/>
                      <w:highlight w:val="none"/>
                      <w:lang w:val="en-US" w:eastAsia="zh-CN"/>
                      <w14:textFill>
                        <w14:solidFill>
                          <w14:schemeClr w14:val="tx1"/>
                        </w14:solidFill>
                      </w14:textFill>
                    </w:rPr>
                    <w:t>表9</w:t>
                  </w:r>
                </w:p>
              </w:tc>
            </w:tr>
            <w:tr w14:paraId="695557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3" w:type="pct"/>
                  <w:vAlign w:val="center"/>
                </w:tcPr>
                <w:p w14:paraId="16ABD5F2">
                  <w:pPr>
                    <w:snapToGrid w:val="0"/>
                    <w:spacing w:line="240" w:lineRule="exact"/>
                    <w:jc w:val="center"/>
                    <w:rPr>
                      <w:rFonts w:hint="eastAsia" w:ascii="Times New Roman" w:hAnsi="Times New Roman" w:eastAsia="宋体" w:cs="Times New Roman"/>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臭气浓度</w:t>
                  </w:r>
                </w:p>
              </w:tc>
              <w:tc>
                <w:tcPr>
                  <w:tcW w:w="1409" w:type="pct"/>
                  <w:vAlign w:val="center"/>
                </w:tcPr>
                <w:p w14:paraId="32EFD5BE">
                  <w:pPr>
                    <w:snapToGrid w:val="0"/>
                    <w:spacing w:line="240" w:lineRule="exact"/>
                    <w:jc w:val="center"/>
                    <w:rPr>
                      <w:rFonts w:hint="eastAsia" w:cs="Times New Roman"/>
                      <w:color w:val="000000" w:themeColor="text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20（无量纲）</w:t>
                  </w:r>
                </w:p>
              </w:tc>
              <w:tc>
                <w:tcPr>
                  <w:tcW w:w="2557" w:type="pct"/>
                  <w:vAlign w:val="center"/>
                </w:tcPr>
                <w:p w14:paraId="508CBAFC">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《恶臭污染物排放标准》（GB14554-1993）表1</w:t>
                  </w:r>
                </w:p>
              </w:tc>
            </w:tr>
          </w:tbl>
          <w:p w14:paraId="5E0CC3F2">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2、废水排放标准</w:t>
            </w:r>
          </w:p>
          <w:p w14:paraId="27FE60A0">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本项目营运期产生的废水主要为</w:t>
            </w:r>
            <w:r>
              <w:rPr>
                <w:rFonts w:ascii="Times New Roman" w:hAnsi="Times New Roman" w:eastAsia="宋体" w:cs="Times New Roman"/>
                <w:color w:val="000000" w:themeColor="text1"/>
                <w:sz w:val="24"/>
                <w:highlight w:val="none"/>
                <w14:textFill>
                  <w14:solidFill>
                    <w14:schemeClr w14:val="tx1"/>
                  </w14:solidFill>
                </w14:textFill>
              </w:rPr>
              <w:t>生活用水</w:t>
            </w:r>
            <w:r>
              <w:rPr>
                <w:color w:val="000000" w:themeColor="text1"/>
                <w:sz w:val="24"/>
                <w:highlight w:val="none"/>
                <w:lang w:val="zh-CN"/>
                <w14:textFill>
                  <w14:solidFill>
                    <w14:schemeClr w14:val="tx1"/>
                  </w14:solidFill>
                </w14:textFill>
              </w:rPr>
              <w:t>。</w:t>
            </w:r>
            <w:r>
              <w:rPr>
                <w:rFonts w:hint="eastAsia" w:cs="Times New Roman"/>
                <w:color w:val="000000" w:themeColor="text1"/>
                <w:sz w:val="24"/>
                <w:highlight w:val="none"/>
                <w:lang w:eastAsia="zh-CN"/>
                <w14:textFill>
                  <w14:solidFill>
                    <w14:schemeClr w14:val="tx1"/>
                  </w14:solidFill>
                </w14:textFill>
              </w:rPr>
              <w:t>生活污水经化粪池预处理后接管</w:t>
            </w:r>
            <w:r>
              <w:rPr>
                <w:rFonts w:hint="eastAsia" w:ascii="Times New Roman" w:hAnsi="Times New Roman" w:cs="Times New Roman"/>
                <w:color w:val="000000" w:themeColor="text1"/>
                <w:sz w:val="24"/>
                <w:highlight w:val="none"/>
                <w:lang w:eastAsia="zh-CN"/>
                <w14:textFill>
                  <w14:solidFill>
                    <w14:schemeClr w14:val="tx1"/>
                  </w14:solidFill>
                </w14:textFill>
              </w:rPr>
              <w:t>至</w:t>
            </w:r>
            <w:r>
              <w:rPr>
                <w:rFonts w:hint="eastAsia" w:cs="Times New Roman"/>
                <w:color w:val="000000" w:themeColor="text1"/>
                <w:sz w:val="24"/>
                <w:highlight w:val="none"/>
                <w:lang w:eastAsia="zh-CN"/>
                <w14:textFill>
                  <w14:solidFill>
                    <w14:schemeClr w14:val="tx1"/>
                  </w14:solidFill>
                </w14:textFill>
              </w:rPr>
              <w:t>禄口污水处理厂</w:t>
            </w:r>
            <w:r>
              <w:rPr>
                <w:color w:val="000000" w:themeColor="text1"/>
                <w:sz w:val="24"/>
                <w:highlight w:val="none"/>
                <w14:textFill>
                  <w14:solidFill>
                    <w14:schemeClr w14:val="tx1"/>
                  </w14:solidFill>
                </w14:textFill>
              </w:rPr>
              <w:t>，</w:t>
            </w:r>
            <w:r>
              <w:rPr>
                <w:color w:val="000000" w:themeColor="text1"/>
                <w:sz w:val="24"/>
                <w:highlight w:val="none"/>
                <w:lang w:val="zh-CN"/>
                <w14:textFill>
                  <w14:solidFill>
                    <w14:schemeClr w14:val="tx1"/>
                  </w14:solidFill>
                </w14:textFill>
              </w:rPr>
              <w:t>接管标准满足《污水综合排放标准》（GB8978-1996）表4三级标准及《污水排入城镇下水道水质标准》（GB/T31962-2015）表1中B等级标准</w:t>
            </w:r>
            <w:r>
              <w:rPr>
                <w:rFonts w:ascii="Times New Roman" w:hAnsi="Times New Roman" w:eastAsia="宋体" w:cs="Times New Roman"/>
                <w:color w:val="000000" w:themeColor="text1"/>
                <w:sz w:val="24"/>
                <w:highlight w:val="none"/>
                <w:lang w:val="zh-CN"/>
                <w14:textFill>
                  <w14:solidFill>
                    <w14:schemeClr w14:val="tx1"/>
                  </w14:solidFill>
                </w14:textFill>
              </w:rPr>
              <w:t>。污水处理厂尾水达到《地表水环境质量标准》（GB3838-2002）</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准Ⅳ类</w:t>
            </w:r>
            <w:r>
              <w:rPr>
                <w:rFonts w:hint="eastAsia" w:ascii="Times New Roman" w:hAnsi="Times New Roman" w:eastAsia="宋体" w:cs="Times New Roman"/>
                <w:color w:val="000000" w:themeColor="text1"/>
                <w:sz w:val="24"/>
                <w:highlight w:val="none"/>
                <w:lang w:val="zh-CN"/>
                <w14:textFill>
                  <w14:solidFill>
                    <w14:schemeClr w14:val="tx1"/>
                  </w14:solidFill>
                </w14:textFill>
              </w:rPr>
              <w:t>标准</w:t>
            </w:r>
            <w:r>
              <w:rPr>
                <w:rFonts w:hint="eastAsia" w:ascii="Times New Roman" w:hAnsi="Times New Roman" w:eastAsia="宋体" w:cs="Times New Roman"/>
                <w:color w:val="000000" w:themeColor="text1"/>
                <w:sz w:val="24"/>
                <w:highlight w:val="none"/>
                <w:lang w:val="zh-CN"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TN达到</w:t>
            </w:r>
            <w:r>
              <w:rPr>
                <w:rFonts w:hint="eastAsia" w:ascii="Times New Roman" w:hAnsi="Times New Roman" w:eastAsia="宋体" w:cs="Times New Roman"/>
                <w:color w:val="000000" w:themeColor="text1"/>
                <w:sz w:val="24"/>
                <w:highlight w:val="none"/>
                <w:lang w:val="zh-CN"/>
                <w14:textFill>
                  <w14:solidFill>
                    <w14:schemeClr w14:val="tx1"/>
                  </w14:solidFill>
                </w14:textFill>
              </w:rPr>
              <w:t>《城镇污水处理厂污染物排放标准》（DB32/4440-2022）表1中C标准后排入横溪河</w:t>
            </w:r>
            <w:r>
              <w:rPr>
                <w:color w:val="000000" w:themeColor="text1"/>
                <w:sz w:val="24"/>
                <w:highlight w:val="none"/>
                <w:lang w:val="zh-CN"/>
                <w14:textFill>
                  <w14:solidFill>
                    <w14:schemeClr w14:val="tx1"/>
                  </w14:solidFill>
                </w14:textFill>
              </w:rPr>
              <w:t>，具体见下表</w:t>
            </w:r>
            <w:r>
              <w:rPr>
                <w:color w:val="000000" w:themeColor="text1"/>
                <w:sz w:val="24"/>
                <w:highlight w:val="none"/>
                <w14:textFill>
                  <w14:solidFill>
                    <w14:schemeClr w14:val="tx1"/>
                  </w14:solidFill>
                </w14:textFill>
              </w:rPr>
              <w:t>。</w:t>
            </w:r>
          </w:p>
          <w:p w14:paraId="7819133F">
            <w:pPr>
              <w:adjustRightInd w:val="0"/>
              <w:snapToGrid w:val="0"/>
              <w:spacing w:line="440" w:lineRule="exact"/>
              <w:jc w:val="center"/>
              <w:rPr>
                <w:b/>
                <w:color w:val="000000" w:themeColor="text1"/>
                <w:sz w:val="24"/>
                <w:highlight w:val="none"/>
                <w:lang w:val="zh-CN"/>
                <w14:textFill>
                  <w14:solidFill>
                    <w14:schemeClr w14:val="tx1"/>
                  </w14:solidFill>
                </w14:textFill>
              </w:rPr>
            </w:pPr>
            <w:r>
              <w:rPr>
                <w:b/>
                <w:color w:val="000000" w:themeColor="text1"/>
                <w:sz w:val="24"/>
                <w:highlight w:val="none"/>
                <w:lang w:val="zh-CN"/>
                <w14:textFill>
                  <w14:solidFill>
                    <w14:schemeClr w14:val="tx1"/>
                  </w14:solidFill>
                </w14:textFill>
              </w:rPr>
              <w:t>表3-</w:t>
            </w:r>
            <w:r>
              <w:rPr>
                <w:rFonts w:hint="eastAsia"/>
                <w:b/>
                <w:color w:val="000000" w:themeColor="text1"/>
                <w:sz w:val="24"/>
                <w:highlight w:val="none"/>
                <w:lang w:val="en-US" w:eastAsia="zh-CN"/>
                <w14:textFill>
                  <w14:solidFill>
                    <w14:schemeClr w14:val="tx1"/>
                  </w14:solidFill>
                </w14:textFill>
              </w:rPr>
              <w:t>8  本项目</w:t>
            </w:r>
            <w:r>
              <w:rPr>
                <w:b/>
                <w:color w:val="000000" w:themeColor="text1"/>
                <w:sz w:val="24"/>
                <w:highlight w:val="none"/>
                <w:lang w:val="zh-CN"/>
                <w14:textFill>
                  <w14:solidFill>
                    <w14:schemeClr w14:val="tx1"/>
                  </w14:solidFill>
                </w14:textFill>
              </w:rPr>
              <w:t>接管标准</w:t>
            </w:r>
            <w:r>
              <w:rPr>
                <w:rFonts w:hint="eastAsia"/>
                <w:b/>
                <w:color w:val="000000" w:themeColor="text1"/>
                <w:sz w:val="24"/>
                <w:highlight w:val="none"/>
                <w:lang w:val="en-US" w:eastAsia="zh-CN"/>
                <w14:textFill>
                  <w14:solidFill>
                    <w14:schemeClr w14:val="tx1"/>
                  </w14:solidFill>
                </w14:textFill>
              </w:rPr>
              <w:t xml:space="preserve"> </w:t>
            </w:r>
            <w:r>
              <w:rPr>
                <w:b/>
                <w:color w:val="000000" w:themeColor="text1"/>
                <w:sz w:val="24"/>
                <w:highlight w:val="none"/>
                <w:lang w:val="zh-CN"/>
                <w14:textFill>
                  <w14:solidFill>
                    <w14:schemeClr w14:val="tx1"/>
                  </w14:solidFill>
                </w14:textFill>
              </w:rPr>
              <w:t>单位：mg/L</w:t>
            </w:r>
            <w:r>
              <w:rPr>
                <w:b/>
                <w:color w:val="000000" w:themeColor="text1"/>
                <w:sz w:val="24"/>
                <w:highlight w:val="none"/>
                <w14:textFill>
                  <w14:solidFill>
                    <w14:schemeClr w14:val="tx1"/>
                  </w14:solidFill>
                </w14:textFill>
              </w:rPr>
              <w:t>（</w:t>
            </w:r>
            <w:r>
              <w:rPr>
                <w:b/>
                <w:color w:val="000000" w:themeColor="text1"/>
                <w:sz w:val="24"/>
                <w:highlight w:val="none"/>
                <w:lang w:val="zh-CN"/>
                <w14:textFill>
                  <w14:solidFill>
                    <w14:schemeClr w14:val="tx1"/>
                  </w14:solidFill>
                </w14:textFill>
              </w:rPr>
              <w:t>pH无量纲</w:t>
            </w:r>
            <w:r>
              <w:rPr>
                <w:b/>
                <w:color w:val="000000" w:themeColor="text1"/>
                <w:sz w:val="24"/>
                <w:highlight w:val="none"/>
                <w14:textFill>
                  <w14:solidFill>
                    <w14:schemeClr w14:val="tx1"/>
                  </w14:solidFill>
                </w14:textFill>
              </w:rPr>
              <w:t>）</w:t>
            </w:r>
          </w:p>
          <w:tbl>
            <w:tblPr>
              <w:tblStyle w:val="3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93"/>
              <w:gridCol w:w="794"/>
              <w:gridCol w:w="1195"/>
              <w:gridCol w:w="1195"/>
              <w:gridCol w:w="1195"/>
              <w:gridCol w:w="1198"/>
              <w:gridCol w:w="1218"/>
            </w:tblGrid>
            <w:tr w14:paraId="0B0775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949" w:type="pct"/>
                  <w:vAlign w:val="center"/>
                </w:tcPr>
                <w:p w14:paraId="5D245E7C">
                  <w:pPr>
                    <w:spacing w:line="24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指标</w:t>
                  </w:r>
                </w:p>
              </w:tc>
              <w:tc>
                <w:tcPr>
                  <w:tcW w:w="473" w:type="pct"/>
                  <w:vAlign w:val="center"/>
                </w:tcPr>
                <w:p w14:paraId="124AE78D">
                  <w:pPr>
                    <w:spacing w:line="24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pH</w:t>
                  </w:r>
                </w:p>
              </w:tc>
              <w:tc>
                <w:tcPr>
                  <w:tcW w:w="712" w:type="pct"/>
                  <w:vAlign w:val="center"/>
                </w:tcPr>
                <w:p w14:paraId="5C876A58">
                  <w:pPr>
                    <w:spacing w:line="24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COD</w:t>
                  </w:r>
                </w:p>
              </w:tc>
              <w:tc>
                <w:tcPr>
                  <w:tcW w:w="712" w:type="pct"/>
                  <w:vAlign w:val="center"/>
                </w:tcPr>
                <w:p w14:paraId="76F94AAA">
                  <w:pPr>
                    <w:spacing w:line="24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SS</w:t>
                  </w:r>
                </w:p>
              </w:tc>
              <w:tc>
                <w:tcPr>
                  <w:tcW w:w="712" w:type="pct"/>
                  <w:vAlign w:val="center"/>
                </w:tcPr>
                <w:p w14:paraId="7CD2929A">
                  <w:pPr>
                    <w:spacing w:line="24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NH</w:t>
                  </w:r>
                  <w:r>
                    <w:rPr>
                      <w:b/>
                      <w:color w:val="000000" w:themeColor="text1"/>
                      <w:szCs w:val="21"/>
                      <w:highlight w:val="none"/>
                      <w:vertAlign w:val="subscript"/>
                      <w14:textFill>
                        <w14:solidFill>
                          <w14:schemeClr w14:val="tx1"/>
                        </w14:solidFill>
                      </w14:textFill>
                    </w:rPr>
                    <w:t>3</w:t>
                  </w:r>
                  <w:r>
                    <w:rPr>
                      <w:b/>
                      <w:color w:val="000000" w:themeColor="text1"/>
                      <w:szCs w:val="21"/>
                      <w:highlight w:val="none"/>
                      <w14:textFill>
                        <w14:solidFill>
                          <w14:schemeClr w14:val="tx1"/>
                        </w14:solidFill>
                      </w14:textFill>
                    </w:rPr>
                    <w:t>-N</w:t>
                  </w:r>
                </w:p>
              </w:tc>
              <w:tc>
                <w:tcPr>
                  <w:tcW w:w="714" w:type="pct"/>
                  <w:vAlign w:val="center"/>
                </w:tcPr>
                <w:p w14:paraId="1CE2D2DF">
                  <w:pPr>
                    <w:spacing w:line="240" w:lineRule="exact"/>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TP</w:t>
                  </w:r>
                </w:p>
              </w:tc>
              <w:tc>
                <w:tcPr>
                  <w:tcW w:w="726" w:type="pct"/>
                  <w:vAlign w:val="center"/>
                </w:tcPr>
                <w:p w14:paraId="5312DCEB">
                  <w:pPr>
                    <w:spacing w:line="240" w:lineRule="exact"/>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TN</w:t>
                  </w:r>
                </w:p>
              </w:tc>
            </w:tr>
            <w:tr w14:paraId="0A380B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949" w:type="pct"/>
                  <w:vAlign w:val="center"/>
                </w:tcPr>
                <w:p w14:paraId="49567C70">
                  <w:pPr>
                    <w:spacing w:line="240" w:lineRule="exact"/>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数值</w:t>
                  </w:r>
                </w:p>
              </w:tc>
              <w:tc>
                <w:tcPr>
                  <w:tcW w:w="473" w:type="pct"/>
                  <w:vAlign w:val="center"/>
                </w:tcPr>
                <w:p w14:paraId="078F5F45">
                  <w:pPr>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6-9</w:t>
                  </w:r>
                </w:p>
              </w:tc>
              <w:tc>
                <w:tcPr>
                  <w:tcW w:w="1195" w:type="dxa"/>
                  <w:vAlign w:val="center"/>
                </w:tcPr>
                <w:p w14:paraId="3783F333">
                  <w:pPr>
                    <w:adjustRightInd w:val="0"/>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500</w:t>
                  </w:r>
                </w:p>
              </w:tc>
              <w:tc>
                <w:tcPr>
                  <w:tcW w:w="1195" w:type="dxa"/>
                  <w:vAlign w:val="center"/>
                </w:tcPr>
                <w:p w14:paraId="3EC8CE65">
                  <w:pPr>
                    <w:adjustRightInd w:val="0"/>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400</w:t>
                  </w:r>
                </w:p>
              </w:tc>
              <w:tc>
                <w:tcPr>
                  <w:tcW w:w="1195" w:type="dxa"/>
                  <w:vAlign w:val="center"/>
                </w:tcPr>
                <w:p w14:paraId="0B34EFD5">
                  <w:pPr>
                    <w:adjustRightInd w:val="0"/>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45</w:t>
                  </w:r>
                </w:p>
              </w:tc>
              <w:tc>
                <w:tcPr>
                  <w:tcW w:w="1198" w:type="dxa"/>
                  <w:vAlign w:val="center"/>
                </w:tcPr>
                <w:p w14:paraId="288EC349">
                  <w:pPr>
                    <w:adjustRightInd w:val="0"/>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8</w:t>
                  </w:r>
                </w:p>
              </w:tc>
              <w:tc>
                <w:tcPr>
                  <w:tcW w:w="1218" w:type="dxa"/>
                  <w:vAlign w:val="center"/>
                </w:tcPr>
                <w:p w14:paraId="35AF3CFB">
                  <w:pPr>
                    <w:adjustRightInd w:val="0"/>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70</w:t>
                  </w:r>
                </w:p>
              </w:tc>
            </w:tr>
          </w:tbl>
          <w:p w14:paraId="23F416BC">
            <w:pPr>
              <w:adjustRightInd w:val="0"/>
              <w:snapToGrid w:val="0"/>
              <w:spacing w:line="440" w:lineRule="exact"/>
              <w:jc w:val="center"/>
              <w:rPr>
                <w:b/>
                <w:color w:val="000000" w:themeColor="text1"/>
                <w:sz w:val="24"/>
                <w:highlight w:val="none"/>
                <w:lang w:val="zh-CN"/>
                <w14:textFill>
                  <w14:solidFill>
                    <w14:schemeClr w14:val="tx1"/>
                  </w14:solidFill>
                </w14:textFill>
              </w:rPr>
            </w:pPr>
            <w:r>
              <w:rPr>
                <w:b/>
                <w:color w:val="000000" w:themeColor="text1"/>
                <w:sz w:val="24"/>
                <w:highlight w:val="none"/>
                <w:lang w:val="zh-CN"/>
                <w14:textFill>
                  <w14:solidFill>
                    <w14:schemeClr w14:val="tx1"/>
                  </w14:solidFill>
                </w14:textFill>
              </w:rPr>
              <w:t>表3-</w:t>
            </w:r>
            <w:r>
              <w:rPr>
                <w:rFonts w:hint="eastAsia"/>
                <w:b/>
                <w:color w:val="000000" w:themeColor="text1"/>
                <w:sz w:val="24"/>
                <w:highlight w:val="none"/>
                <w:lang w:val="en-US" w:eastAsia="zh-CN"/>
                <w14:textFill>
                  <w14:solidFill>
                    <w14:schemeClr w14:val="tx1"/>
                  </w14:solidFill>
                </w14:textFill>
              </w:rPr>
              <w:t xml:space="preserve">9  </w:t>
            </w:r>
            <w:r>
              <w:rPr>
                <w:rFonts w:hint="eastAsia"/>
                <w:b/>
                <w:color w:val="000000" w:themeColor="text1"/>
                <w:sz w:val="24"/>
                <w:highlight w:val="none"/>
                <w:lang w:eastAsia="zh-CN"/>
                <w14:textFill>
                  <w14:solidFill>
                    <w14:schemeClr w14:val="tx1"/>
                  </w14:solidFill>
                </w14:textFill>
              </w:rPr>
              <w:t>禄口污水处理厂</w:t>
            </w:r>
            <w:r>
              <w:rPr>
                <w:rFonts w:hint="eastAsia"/>
                <w:b/>
                <w:color w:val="000000" w:themeColor="text1"/>
                <w:sz w:val="24"/>
                <w:highlight w:val="none"/>
                <w14:textFill>
                  <w14:solidFill>
                    <w14:schemeClr w14:val="tx1"/>
                  </w14:solidFill>
                </w14:textFill>
              </w:rPr>
              <w:t>排放</w:t>
            </w:r>
            <w:r>
              <w:rPr>
                <w:b/>
                <w:color w:val="000000" w:themeColor="text1"/>
                <w:sz w:val="24"/>
                <w:highlight w:val="none"/>
                <w:lang w:val="zh-CN"/>
                <w14:textFill>
                  <w14:solidFill>
                    <w14:schemeClr w14:val="tx1"/>
                  </w14:solidFill>
                </w14:textFill>
              </w:rPr>
              <w:t>标准</w:t>
            </w:r>
            <w:r>
              <w:rPr>
                <w:rFonts w:hint="eastAsia"/>
                <w:b/>
                <w:color w:val="000000" w:themeColor="text1"/>
                <w:sz w:val="24"/>
                <w:highlight w:val="none"/>
                <w:lang w:val="en-US" w:eastAsia="zh-CN"/>
                <w14:textFill>
                  <w14:solidFill>
                    <w14:schemeClr w14:val="tx1"/>
                  </w14:solidFill>
                </w14:textFill>
              </w:rPr>
              <w:t xml:space="preserve"> </w:t>
            </w:r>
            <w:r>
              <w:rPr>
                <w:b/>
                <w:color w:val="000000" w:themeColor="text1"/>
                <w:sz w:val="24"/>
                <w:highlight w:val="none"/>
                <w:lang w:val="zh-CN"/>
                <w14:textFill>
                  <w14:solidFill>
                    <w14:schemeClr w14:val="tx1"/>
                  </w14:solidFill>
                </w14:textFill>
              </w:rPr>
              <w:t>单位：mg/L</w:t>
            </w:r>
            <w:r>
              <w:rPr>
                <w:b/>
                <w:color w:val="000000" w:themeColor="text1"/>
                <w:sz w:val="24"/>
                <w:highlight w:val="none"/>
                <w14:textFill>
                  <w14:solidFill>
                    <w14:schemeClr w14:val="tx1"/>
                  </w14:solidFill>
                </w14:textFill>
              </w:rPr>
              <w:t>（</w:t>
            </w:r>
            <w:r>
              <w:rPr>
                <w:b/>
                <w:color w:val="000000" w:themeColor="text1"/>
                <w:sz w:val="24"/>
                <w:highlight w:val="none"/>
                <w:lang w:val="zh-CN"/>
                <w14:textFill>
                  <w14:solidFill>
                    <w14:schemeClr w14:val="tx1"/>
                  </w14:solidFill>
                </w14:textFill>
              </w:rPr>
              <w:t>pH无量纲</w:t>
            </w:r>
            <w:r>
              <w:rPr>
                <w:b/>
                <w:color w:val="000000" w:themeColor="text1"/>
                <w:sz w:val="24"/>
                <w:highlight w:val="none"/>
                <w14:textFill>
                  <w14:solidFill>
                    <w14:schemeClr w14:val="tx1"/>
                  </w14:solidFill>
                </w14:textFill>
              </w:rPr>
              <w:t>）</w:t>
            </w:r>
          </w:p>
          <w:tbl>
            <w:tblPr>
              <w:tblStyle w:val="38"/>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84"/>
              <w:gridCol w:w="846"/>
              <w:gridCol w:w="1163"/>
              <w:gridCol w:w="767"/>
              <w:gridCol w:w="1895"/>
              <w:gridCol w:w="828"/>
              <w:gridCol w:w="1803"/>
            </w:tblGrid>
            <w:tr w14:paraId="6AAF7E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6" w:type="pct"/>
                  <w:vAlign w:val="center"/>
                </w:tcPr>
                <w:p w14:paraId="1FE2B481">
                  <w:pPr>
                    <w:spacing w:line="24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指标</w:t>
                  </w:r>
                </w:p>
              </w:tc>
              <w:tc>
                <w:tcPr>
                  <w:tcW w:w="504" w:type="pct"/>
                  <w:vAlign w:val="center"/>
                </w:tcPr>
                <w:p w14:paraId="19699E27">
                  <w:pPr>
                    <w:spacing w:line="24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pH</w:t>
                  </w:r>
                </w:p>
              </w:tc>
              <w:tc>
                <w:tcPr>
                  <w:tcW w:w="693" w:type="pct"/>
                  <w:vAlign w:val="center"/>
                </w:tcPr>
                <w:p w14:paraId="634F12EA">
                  <w:pPr>
                    <w:spacing w:line="24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COD</w:t>
                  </w:r>
                </w:p>
              </w:tc>
              <w:tc>
                <w:tcPr>
                  <w:tcW w:w="457" w:type="pct"/>
                  <w:vAlign w:val="center"/>
                </w:tcPr>
                <w:p w14:paraId="6C44C964">
                  <w:pPr>
                    <w:spacing w:line="24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SS</w:t>
                  </w:r>
                </w:p>
              </w:tc>
              <w:tc>
                <w:tcPr>
                  <w:tcW w:w="1129" w:type="pct"/>
                  <w:vAlign w:val="center"/>
                </w:tcPr>
                <w:p w14:paraId="1415E23F">
                  <w:pPr>
                    <w:spacing w:line="24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NH</w:t>
                  </w:r>
                  <w:r>
                    <w:rPr>
                      <w:b/>
                      <w:color w:val="000000" w:themeColor="text1"/>
                      <w:szCs w:val="21"/>
                      <w:highlight w:val="none"/>
                      <w:vertAlign w:val="subscript"/>
                      <w14:textFill>
                        <w14:solidFill>
                          <w14:schemeClr w14:val="tx1"/>
                        </w14:solidFill>
                      </w14:textFill>
                    </w:rPr>
                    <w:t>3</w:t>
                  </w:r>
                  <w:r>
                    <w:rPr>
                      <w:b/>
                      <w:color w:val="000000" w:themeColor="text1"/>
                      <w:szCs w:val="21"/>
                      <w:highlight w:val="none"/>
                      <w14:textFill>
                        <w14:solidFill>
                          <w14:schemeClr w14:val="tx1"/>
                        </w14:solidFill>
                      </w14:textFill>
                    </w:rPr>
                    <w:t>-N</w:t>
                  </w:r>
                </w:p>
              </w:tc>
              <w:tc>
                <w:tcPr>
                  <w:tcW w:w="493" w:type="pct"/>
                  <w:vAlign w:val="center"/>
                </w:tcPr>
                <w:p w14:paraId="34D21E8C">
                  <w:pPr>
                    <w:spacing w:line="240" w:lineRule="exact"/>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TP</w:t>
                  </w:r>
                </w:p>
              </w:tc>
              <w:tc>
                <w:tcPr>
                  <w:tcW w:w="1074" w:type="pct"/>
                  <w:vAlign w:val="center"/>
                </w:tcPr>
                <w:p w14:paraId="31EE3881">
                  <w:pPr>
                    <w:spacing w:line="240" w:lineRule="exact"/>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TN</w:t>
                  </w:r>
                </w:p>
              </w:tc>
            </w:tr>
            <w:tr w14:paraId="4F085A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6" w:type="pct"/>
                  <w:vAlign w:val="center"/>
                </w:tcPr>
                <w:p w14:paraId="69BD6CEB">
                  <w:pPr>
                    <w:spacing w:line="240" w:lineRule="exact"/>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数值</w:t>
                  </w:r>
                </w:p>
              </w:tc>
              <w:tc>
                <w:tcPr>
                  <w:tcW w:w="504" w:type="pct"/>
                  <w:vAlign w:val="center"/>
                </w:tcPr>
                <w:p w14:paraId="655EF0B7">
                  <w:pPr>
                    <w:spacing w:line="240" w:lineRule="exact"/>
                    <w:jc w:val="center"/>
                    <w:rPr>
                      <w:bCs/>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6-9</w:t>
                  </w:r>
                </w:p>
              </w:tc>
              <w:tc>
                <w:tcPr>
                  <w:tcW w:w="693" w:type="pct"/>
                  <w:vAlign w:val="center"/>
                </w:tcPr>
                <w:p w14:paraId="78F4688A">
                  <w:pPr>
                    <w:adjustRightInd w:val="0"/>
                    <w:snapToGrid w:val="0"/>
                    <w:spacing w:line="24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30</w:t>
                  </w:r>
                </w:p>
              </w:tc>
              <w:tc>
                <w:tcPr>
                  <w:tcW w:w="457" w:type="pct"/>
                  <w:vAlign w:val="center"/>
                </w:tcPr>
                <w:p w14:paraId="04E44D0B">
                  <w:pPr>
                    <w:adjustRightInd w:val="0"/>
                    <w:snapToGrid w:val="0"/>
                    <w:spacing w:line="240" w:lineRule="exact"/>
                    <w:jc w:val="center"/>
                    <w:rPr>
                      <w:rFonts w:hint="eastAsia"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5</w:t>
                  </w:r>
                </w:p>
              </w:tc>
              <w:tc>
                <w:tcPr>
                  <w:tcW w:w="1129" w:type="pct"/>
                  <w:vAlign w:val="center"/>
                </w:tcPr>
                <w:p w14:paraId="25C94617">
                  <w:pPr>
                    <w:adjustRightInd w:val="0"/>
                    <w:snapToGrid w:val="0"/>
                    <w:spacing w:line="240" w:lineRule="exact"/>
                    <w:jc w:val="center"/>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1.5（3）</w:t>
                  </w:r>
                </w:p>
              </w:tc>
              <w:tc>
                <w:tcPr>
                  <w:tcW w:w="493" w:type="pct"/>
                  <w:vAlign w:val="center"/>
                </w:tcPr>
                <w:p w14:paraId="21A913FC">
                  <w:pPr>
                    <w:adjustRightInd w:val="0"/>
                    <w:snapToGrid w:val="0"/>
                    <w:spacing w:line="24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0.3</w:t>
                  </w:r>
                </w:p>
              </w:tc>
              <w:tc>
                <w:tcPr>
                  <w:tcW w:w="1074" w:type="pct"/>
                  <w:vAlign w:val="center"/>
                </w:tcPr>
                <w:p w14:paraId="2D8229A7">
                  <w:pPr>
                    <w:adjustRightInd w:val="0"/>
                    <w:snapToGrid w:val="0"/>
                    <w:spacing w:line="24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12（15）</w:t>
                  </w:r>
                </w:p>
              </w:tc>
            </w:tr>
          </w:tbl>
          <w:p w14:paraId="45AA0E18">
            <w:pPr>
              <w:adjustRightInd w:val="0"/>
              <w:snapToGrid w:val="0"/>
              <w:spacing w:line="240" w:lineRule="exact"/>
              <w:rPr>
                <w:color w:val="000000" w:themeColor="text1"/>
                <w:sz w:val="18"/>
                <w:szCs w:val="18"/>
                <w:highlight w:val="none"/>
                <w14:textFill>
                  <w14:solidFill>
                    <w14:schemeClr w14:val="tx1"/>
                  </w14:solidFill>
                </w14:textFill>
              </w:rPr>
            </w:pPr>
            <w:r>
              <w:rPr>
                <w:b/>
                <w:bCs/>
                <w:color w:val="000000" w:themeColor="text1"/>
                <w:sz w:val="18"/>
                <w:szCs w:val="18"/>
                <w:highlight w:val="none"/>
                <w14:textFill>
                  <w14:solidFill>
                    <w14:schemeClr w14:val="tx1"/>
                  </w14:solidFill>
                </w14:textFill>
              </w:rPr>
              <w:t>注*：</w:t>
            </w:r>
            <w:r>
              <w:rPr>
                <w:rFonts w:hint="eastAsia"/>
                <w:b/>
                <w:bCs/>
                <w:color w:val="000000" w:themeColor="text1"/>
                <w:sz w:val="18"/>
                <w:szCs w:val="18"/>
                <w:highlight w:val="none"/>
                <w14:textFill>
                  <w14:solidFill>
                    <w14:schemeClr w14:val="tx1"/>
                  </w14:solidFill>
                </w14:textFill>
              </w:rPr>
              <w:t>每年11月1日至次年3月31日执行括号内排放限值</w:t>
            </w:r>
            <w:r>
              <w:rPr>
                <w:b/>
                <w:bCs/>
                <w:color w:val="000000" w:themeColor="text1"/>
                <w:sz w:val="18"/>
                <w:szCs w:val="18"/>
                <w:highlight w:val="none"/>
                <w14:textFill>
                  <w14:solidFill>
                    <w14:schemeClr w14:val="tx1"/>
                  </w14:solidFill>
                </w14:textFill>
              </w:rPr>
              <w:t>。</w:t>
            </w:r>
          </w:p>
          <w:p w14:paraId="186B0AE6">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3、噪声排放标准</w:t>
            </w:r>
          </w:p>
          <w:p w14:paraId="293C9852">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根据《南京市声环境功能区划（2026年修订版）》，</w:t>
            </w:r>
            <w:r>
              <w:rPr>
                <w:rFonts w:ascii="Times New Roman" w:hAnsi="Times New Roman" w:eastAsia="宋体" w:cs="Times New Roman"/>
                <w:color w:val="000000" w:themeColor="text1"/>
                <w:sz w:val="24"/>
                <w:highlight w:val="none"/>
                <w14:textFill>
                  <w14:solidFill>
                    <w14:schemeClr w14:val="tx1"/>
                  </w14:solidFill>
                </w14:textFill>
              </w:rPr>
              <w:t>建设项目厂界噪声执行《工业企业厂界环境噪声排放标准》（GB12348-2008）中的</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类</w:t>
            </w:r>
            <w:r>
              <w:rPr>
                <w:rFonts w:ascii="Times New Roman" w:hAnsi="Times New Roman" w:eastAsia="宋体" w:cs="Times New Roman"/>
                <w:color w:val="000000" w:themeColor="text1"/>
                <w:sz w:val="24"/>
                <w:highlight w:val="none"/>
                <w14:textFill>
                  <w14:solidFill>
                    <w14:schemeClr w14:val="tx1"/>
                  </w14:solidFill>
                </w14:textFill>
              </w:rPr>
              <w:t>标</w:t>
            </w:r>
            <w:r>
              <w:rPr>
                <w:color w:val="000000" w:themeColor="text1"/>
                <w:sz w:val="24"/>
                <w:highlight w:val="none"/>
                <w14:textFill>
                  <w14:solidFill>
                    <w14:schemeClr w14:val="tx1"/>
                  </w14:solidFill>
                </w14:textFill>
              </w:rPr>
              <w:t>准。具体标准见</w:t>
            </w:r>
            <w:r>
              <w:rPr>
                <w:rFonts w:hint="eastAsia"/>
                <w:color w:val="000000" w:themeColor="text1"/>
                <w:sz w:val="24"/>
                <w:highlight w:val="none"/>
                <w:lang w:val="en-US" w:eastAsia="zh-CN"/>
                <w14:textFill>
                  <w14:solidFill>
                    <w14:schemeClr w14:val="tx1"/>
                  </w14:solidFill>
                </w14:textFill>
              </w:rPr>
              <w:t>下表</w:t>
            </w:r>
            <w:r>
              <w:rPr>
                <w:color w:val="000000" w:themeColor="text1"/>
                <w:sz w:val="24"/>
                <w:highlight w:val="none"/>
                <w14:textFill>
                  <w14:solidFill>
                    <w14:schemeClr w14:val="tx1"/>
                  </w14:solidFill>
                </w14:textFill>
              </w:rPr>
              <w:t>。</w:t>
            </w:r>
          </w:p>
          <w:p w14:paraId="70675E78">
            <w:pPr>
              <w:adjustRightInd w:val="0"/>
              <w:snapToGrid w:val="0"/>
              <w:spacing w:line="440" w:lineRule="exact"/>
              <w:ind w:firstLine="480"/>
              <w:jc w:val="center"/>
              <w:rPr>
                <w:b/>
                <w:bCs/>
                <w:color w:val="000000" w:themeColor="text1"/>
                <w:sz w:val="24"/>
                <w:highlight w:val="none"/>
                <w:lang w:val="zh-CN"/>
                <w14:textFill>
                  <w14:solidFill>
                    <w14:schemeClr w14:val="tx1"/>
                  </w14:solidFill>
                </w14:textFill>
              </w:rPr>
            </w:pPr>
            <w:r>
              <w:rPr>
                <w:b/>
                <w:bCs/>
                <w:color w:val="000000" w:themeColor="text1"/>
                <w:sz w:val="24"/>
                <w:highlight w:val="none"/>
                <w:lang w:val="zh-CN"/>
                <w14:textFill>
                  <w14:solidFill>
                    <w14:schemeClr w14:val="tx1"/>
                  </w14:solidFill>
                </w14:textFill>
              </w:rPr>
              <w:t>表3-</w:t>
            </w:r>
            <w:r>
              <w:rPr>
                <w:rFonts w:hint="eastAsia"/>
                <w:b/>
                <w:bCs/>
                <w:color w:val="000000" w:themeColor="text1"/>
                <w:sz w:val="24"/>
                <w:highlight w:val="none"/>
                <w:lang w:val="en-US" w:eastAsia="zh-CN"/>
                <w14:textFill>
                  <w14:solidFill>
                    <w14:schemeClr w14:val="tx1"/>
                  </w14:solidFill>
                </w14:textFill>
              </w:rPr>
              <w:t xml:space="preserve">10  </w:t>
            </w:r>
            <w:r>
              <w:rPr>
                <w:b/>
                <w:bCs/>
                <w:color w:val="000000" w:themeColor="text1"/>
                <w:sz w:val="24"/>
                <w:highlight w:val="none"/>
                <w:lang w:val="zh-CN"/>
                <w14:textFill>
                  <w14:solidFill>
                    <w14:schemeClr w14:val="tx1"/>
                  </w14:solidFill>
                </w14:textFill>
              </w:rPr>
              <w:t>《工业企业厂界环境噪声排放标准》（GB12348-2008）</w:t>
            </w:r>
          </w:p>
          <w:tbl>
            <w:tblPr>
              <w:tblStyle w:val="38"/>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58"/>
              <w:gridCol w:w="3452"/>
              <w:gridCol w:w="3278"/>
            </w:tblGrid>
            <w:tr w14:paraId="14259C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88" w:type="pct"/>
                  <w:vAlign w:val="center"/>
                </w:tcPr>
                <w:p w14:paraId="313C9113">
                  <w:pPr>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类别</w:t>
                  </w:r>
                </w:p>
              </w:tc>
              <w:tc>
                <w:tcPr>
                  <w:tcW w:w="2057" w:type="pct"/>
                  <w:vAlign w:val="center"/>
                </w:tcPr>
                <w:p w14:paraId="10EA7D6A">
                  <w:pPr>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昼间（dB（A））</w:t>
                  </w:r>
                </w:p>
              </w:tc>
              <w:tc>
                <w:tcPr>
                  <w:tcW w:w="1953" w:type="pct"/>
                  <w:vAlign w:val="center"/>
                </w:tcPr>
                <w:p w14:paraId="4D001135">
                  <w:pPr>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夜间（dB（A））</w:t>
                  </w:r>
                </w:p>
              </w:tc>
            </w:tr>
            <w:tr w14:paraId="52DA1D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88" w:type="pct"/>
                  <w:vAlign w:val="center"/>
                </w:tcPr>
                <w:p w14:paraId="12F5B17E">
                  <w:pPr>
                    <w:spacing w:line="240" w:lineRule="exact"/>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w:t>
                  </w:r>
                </w:p>
              </w:tc>
              <w:tc>
                <w:tcPr>
                  <w:tcW w:w="2057" w:type="pct"/>
                  <w:vAlign w:val="center"/>
                </w:tcPr>
                <w:p w14:paraId="6E4A8045">
                  <w:pPr>
                    <w:spacing w:line="240" w:lineRule="exact"/>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6</w:t>
                  </w:r>
                  <w:r>
                    <w:rPr>
                      <w:rFonts w:hint="eastAsia"/>
                      <w:color w:val="000000" w:themeColor="text1"/>
                      <w:szCs w:val="21"/>
                      <w:highlight w:val="none"/>
                      <w:lang w:val="en-US" w:eastAsia="zh-CN"/>
                      <w14:textFill>
                        <w14:solidFill>
                          <w14:schemeClr w14:val="tx1"/>
                        </w14:solidFill>
                      </w14:textFill>
                    </w:rPr>
                    <w:t>5</w:t>
                  </w:r>
                </w:p>
              </w:tc>
              <w:tc>
                <w:tcPr>
                  <w:tcW w:w="1953" w:type="pct"/>
                  <w:vAlign w:val="center"/>
                </w:tcPr>
                <w:p w14:paraId="26BC2F89">
                  <w:pPr>
                    <w:spacing w:line="240" w:lineRule="exact"/>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5</w:t>
                  </w:r>
                  <w:r>
                    <w:rPr>
                      <w:rFonts w:hint="eastAsia"/>
                      <w:color w:val="000000" w:themeColor="text1"/>
                      <w:szCs w:val="21"/>
                      <w:highlight w:val="none"/>
                      <w:lang w:val="en-US" w:eastAsia="zh-CN"/>
                      <w14:textFill>
                        <w14:solidFill>
                          <w14:schemeClr w14:val="tx1"/>
                        </w14:solidFill>
                      </w14:textFill>
                    </w:rPr>
                    <w:t>5</w:t>
                  </w:r>
                </w:p>
              </w:tc>
            </w:tr>
          </w:tbl>
          <w:p w14:paraId="4F155445">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w:t>
            </w:r>
            <w:r>
              <w:rPr>
                <w:rFonts w:hint="eastAsia"/>
                <w:color w:val="000000" w:themeColor="text1"/>
                <w:sz w:val="24"/>
                <w:highlight w:val="none"/>
                <w14:textFill>
                  <w14:solidFill>
                    <w14:schemeClr w14:val="tx1"/>
                  </w14:solidFill>
                </w14:textFill>
              </w:rPr>
              <w:t>固体废物</w:t>
            </w:r>
          </w:p>
          <w:p w14:paraId="1045B892">
            <w:pPr>
              <w:adjustRightInd w:val="0"/>
              <w:snapToGrid w:val="0"/>
              <w:spacing w:line="440" w:lineRule="exact"/>
              <w:ind w:firstLine="480" w:firstLineChars="200"/>
              <w:rPr>
                <w:rFonts w:hint="eastAsia" w:eastAsia="宋体"/>
                <w:color w:val="000000" w:themeColor="text1"/>
                <w:kern w:val="0"/>
                <w:szCs w:val="21"/>
                <w:highlight w:val="none"/>
                <w:lang w:eastAsia="zh-CN"/>
                <w14:textFill>
                  <w14:solidFill>
                    <w14:schemeClr w14:val="tx1"/>
                  </w14:solidFill>
                </w14:textFill>
              </w:rPr>
            </w:pPr>
            <w:r>
              <w:rPr>
                <w:color w:val="000000" w:themeColor="text1"/>
                <w:sz w:val="24"/>
                <w:highlight w:val="none"/>
                <w14:textFill>
                  <w14:solidFill>
                    <w14:schemeClr w14:val="tx1"/>
                  </w14:solidFill>
                </w14:textFill>
              </w:rPr>
              <w:t>企业一般工业固体废物属于采用库房贮存，其贮存过程应满足相应防渗漏、防雨淋、防扬尘等环境保护要求。危险固废的暂时贮存执行</w:t>
            </w:r>
            <w:r>
              <w:rPr>
                <w:color w:val="000000" w:themeColor="text1"/>
                <w:sz w:val="24"/>
                <w:highlight w:val="none"/>
                <w:lang w:val="zh-CN"/>
                <w14:textFill>
                  <w14:solidFill>
                    <w14:schemeClr w14:val="tx1"/>
                  </w14:solidFill>
                </w14:textFill>
              </w:rPr>
              <w:t>《危险废物贮存污染控制标准》（GB18597-2023）</w:t>
            </w:r>
            <w:r>
              <w:rPr>
                <w:color w:val="000000" w:themeColor="text1"/>
                <w:sz w:val="24"/>
                <w:highlight w:val="none"/>
                <w14:textFill>
                  <w14:solidFill>
                    <w14:schemeClr w14:val="tx1"/>
                  </w14:solidFill>
                </w14:textFill>
              </w:rPr>
              <w:t>。</w:t>
            </w:r>
          </w:p>
        </w:tc>
      </w:tr>
      <w:tr w14:paraId="0156E0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26" w:hRule="atLeast"/>
          <w:jc w:val="center"/>
        </w:trPr>
        <w:tc>
          <w:tcPr>
            <w:tcW w:w="453" w:type="dxa"/>
            <w:tcMar>
              <w:left w:w="28" w:type="dxa"/>
              <w:right w:w="28" w:type="dxa"/>
            </w:tcMar>
            <w:vAlign w:val="center"/>
          </w:tcPr>
          <w:p w14:paraId="74D41025">
            <w:pPr>
              <w:adjustRightInd w:val="0"/>
              <w:snapToGrid w:val="0"/>
              <w:spacing w:line="440" w:lineRule="exact"/>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总量</w:t>
            </w:r>
          </w:p>
          <w:p w14:paraId="5A9CC38A">
            <w:pPr>
              <w:adjustRightInd w:val="0"/>
              <w:snapToGrid w:val="0"/>
              <w:spacing w:line="440" w:lineRule="exact"/>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控制</w:t>
            </w:r>
          </w:p>
          <w:p w14:paraId="62B980DD">
            <w:pPr>
              <w:adjustRightInd w:val="0"/>
              <w:snapToGrid w:val="0"/>
              <w:spacing w:line="440" w:lineRule="exact"/>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指标</w:t>
            </w:r>
          </w:p>
        </w:tc>
        <w:tc>
          <w:tcPr>
            <w:tcW w:w="8608" w:type="dxa"/>
            <w:vAlign w:val="center"/>
          </w:tcPr>
          <w:p w14:paraId="65848B49">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根据本项目排污特征，确定总量控制及考核因子为：</w:t>
            </w:r>
          </w:p>
          <w:p w14:paraId="4ACB3DC8">
            <w:pPr>
              <w:adjustRightInd w:val="0"/>
              <w:snapToGrid w:val="0"/>
              <w:spacing w:line="440" w:lineRule="exact"/>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（1）废气：</w:t>
            </w:r>
          </w:p>
          <w:p w14:paraId="21ACDFB7">
            <w:pPr>
              <w:adjustRightInd w:val="0"/>
              <w:snapToGrid w:val="0"/>
              <w:spacing w:line="440" w:lineRule="exact"/>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本项目有组织排放量（年新增）：</w:t>
            </w:r>
            <w:r>
              <w:rPr>
                <w:rFonts w:hint="eastAsia"/>
                <w:color w:val="000000" w:themeColor="text1"/>
                <w:sz w:val="24"/>
                <w:highlight w:val="none"/>
                <w:lang w:eastAsia="zh-CN"/>
                <w14:textFill>
                  <w14:solidFill>
                    <w14:schemeClr w14:val="tx1"/>
                  </w14:solidFill>
                </w14:textFill>
              </w:rPr>
              <w:t>VOCs≤0.0253吨</w:t>
            </w:r>
            <w:r>
              <w:rPr>
                <w:rFonts w:hint="eastAsia"/>
                <w:color w:val="000000" w:themeColor="text1"/>
                <w:sz w:val="24"/>
                <w:highlight w:val="none"/>
                <w14:textFill>
                  <w14:solidFill>
                    <w14:schemeClr w14:val="tx1"/>
                  </w14:solidFill>
                </w14:textFill>
              </w:rPr>
              <w:t>；</w:t>
            </w:r>
          </w:p>
          <w:p w14:paraId="659B8464">
            <w:pPr>
              <w:adjustRightInd w:val="0"/>
              <w:snapToGrid w:val="0"/>
              <w:spacing w:line="440" w:lineRule="exact"/>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无组织排放量（年新增）：</w:t>
            </w:r>
            <w:r>
              <w:rPr>
                <w:rFonts w:hint="eastAsia"/>
                <w:color w:val="000000" w:themeColor="text1"/>
                <w:sz w:val="24"/>
                <w:highlight w:val="none"/>
                <w:lang w:eastAsia="zh-CN"/>
                <w14:textFill>
                  <w14:solidFill>
                    <w14:schemeClr w14:val="tx1"/>
                  </w14:solidFill>
                </w14:textFill>
              </w:rPr>
              <w:t>VOCs≤0.0281吨</w:t>
            </w:r>
            <w:r>
              <w:rPr>
                <w:rFonts w:hint="eastAsia"/>
                <w:color w:val="000000" w:themeColor="text1"/>
                <w:sz w:val="24"/>
                <w:highlight w:val="none"/>
                <w14:textFill>
                  <w14:solidFill>
                    <w14:schemeClr w14:val="tx1"/>
                  </w14:solidFill>
                </w14:textFill>
              </w:rPr>
              <w:t>；污染物由江宁区大气减排项目平衡。</w:t>
            </w:r>
          </w:p>
          <w:p w14:paraId="696FD7AB">
            <w:pPr>
              <w:adjustRightInd w:val="0"/>
              <w:snapToGrid w:val="0"/>
              <w:spacing w:line="440" w:lineRule="exact"/>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（2）废水：</w:t>
            </w:r>
          </w:p>
          <w:p w14:paraId="57735E13">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废水外排量（年新增192t/a）：COD≤0.0058吨、氨氮≤0.0003吨</w:t>
            </w:r>
            <w:r>
              <w:rPr>
                <w:rFonts w:hint="eastAsia"/>
                <w:color w:val="000000" w:themeColor="text1"/>
                <w:sz w:val="24"/>
                <w:highlight w:val="none"/>
                <w14:textFill>
                  <w14:solidFill>
                    <w14:schemeClr w14:val="tx1"/>
                  </w14:solidFill>
                </w14:textFill>
              </w:rPr>
              <w:t>；废水污染物总量指标由江宁区水减排项目平衡</w:t>
            </w:r>
            <w:r>
              <w:rPr>
                <w:color w:val="000000" w:themeColor="text1"/>
                <w:sz w:val="24"/>
                <w:highlight w:val="none"/>
                <w14:textFill>
                  <w14:solidFill>
                    <w14:schemeClr w14:val="tx1"/>
                  </w14:solidFill>
                </w14:textFill>
              </w:rPr>
              <w:t>。</w:t>
            </w:r>
          </w:p>
          <w:p w14:paraId="718B3DB3">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）固废：</w:t>
            </w:r>
          </w:p>
          <w:p w14:paraId="6DBB0E5E">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固废均得到妥善处置，无需申请总量。</w:t>
            </w:r>
          </w:p>
          <w:p w14:paraId="1F6D7837">
            <w:pPr>
              <w:adjustRightInd w:val="0"/>
              <w:snapToGrid w:val="0"/>
              <w:spacing w:line="440" w:lineRule="exact"/>
              <w:ind w:firstLine="482" w:firstLineChars="200"/>
              <w:jc w:val="center"/>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表3-</w:t>
            </w:r>
            <w:r>
              <w:rPr>
                <w:rFonts w:hint="eastAsia"/>
                <w:b/>
                <w:bCs/>
                <w:color w:val="000000" w:themeColor="text1"/>
                <w:sz w:val="24"/>
                <w:highlight w:val="none"/>
                <w:lang w:val="en-US" w:eastAsia="zh-CN"/>
                <w14:textFill>
                  <w14:solidFill>
                    <w14:schemeClr w14:val="tx1"/>
                  </w14:solidFill>
                </w14:textFill>
              </w:rPr>
              <w:t xml:space="preserve">11  </w:t>
            </w:r>
            <w:r>
              <w:rPr>
                <w:b/>
                <w:bCs/>
                <w:color w:val="000000" w:themeColor="text1"/>
                <w:sz w:val="24"/>
                <w:highlight w:val="none"/>
                <w14:textFill>
                  <w14:solidFill>
                    <w14:schemeClr w14:val="tx1"/>
                  </w14:solidFill>
                </w14:textFill>
              </w:rPr>
              <w:t>本项目污染物排放产生及排放三本账（t/a）</w:t>
            </w:r>
          </w:p>
          <w:tbl>
            <w:tblPr>
              <w:tblStyle w:val="38"/>
              <w:tblW w:w="4995"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456"/>
              <w:gridCol w:w="1563"/>
              <w:gridCol w:w="1090"/>
              <w:gridCol w:w="1090"/>
              <w:gridCol w:w="1090"/>
              <w:gridCol w:w="2094"/>
            </w:tblGrid>
            <w:tr w14:paraId="79D9784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83" w:hRule="atLeast"/>
                <w:jc w:val="center"/>
              </w:trPr>
              <w:tc>
                <w:tcPr>
                  <w:tcW w:w="868" w:type="pct"/>
                  <w:vAlign w:val="center"/>
                </w:tcPr>
                <w:p w14:paraId="77221C45">
                  <w:pPr>
                    <w:spacing w:line="24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类别</w:t>
                  </w:r>
                </w:p>
              </w:tc>
              <w:tc>
                <w:tcPr>
                  <w:tcW w:w="932" w:type="pct"/>
                  <w:vAlign w:val="center"/>
                </w:tcPr>
                <w:p w14:paraId="424A6EB5">
                  <w:pPr>
                    <w:spacing w:line="24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污染物名称</w:t>
                  </w:r>
                </w:p>
              </w:tc>
              <w:tc>
                <w:tcPr>
                  <w:tcW w:w="650" w:type="pct"/>
                  <w:vAlign w:val="center"/>
                </w:tcPr>
                <w:p w14:paraId="1A45D540">
                  <w:pPr>
                    <w:spacing w:line="24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产生量</w:t>
                  </w:r>
                </w:p>
              </w:tc>
              <w:tc>
                <w:tcPr>
                  <w:tcW w:w="650" w:type="pct"/>
                  <w:vAlign w:val="center"/>
                </w:tcPr>
                <w:p w14:paraId="4525E321">
                  <w:pPr>
                    <w:spacing w:line="24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削减量</w:t>
                  </w:r>
                </w:p>
              </w:tc>
              <w:tc>
                <w:tcPr>
                  <w:tcW w:w="650" w:type="pct"/>
                  <w:vAlign w:val="center"/>
                </w:tcPr>
                <w:p w14:paraId="1B146327">
                  <w:pPr>
                    <w:spacing w:line="24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接管量</w:t>
                  </w:r>
                </w:p>
              </w:tc>
              <w:tc>
                <w:tcPr>
                  <w:tcW w:w="1248" w:type="pct"/>
                  <w:vAlign w:val="center"/>
                </w:tcPr>
                <w:p w14:paraId="673634F4">
                  <w:pPr>
                    <w:spacing w:line="24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排放量</w:t>
                  </w:r>
                </w:p>
              </w:tc>
            </w:tr>
            <w:tr w14:paraId="5E1E7C4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13" w:hRule="atLeast"/>
                <w:jc w:val="center"/>
              </w:trPr>
              <w:tc>
                <w:tcPr>
                  <w:tcW w:w="868" w:type="pct"/>
                  <w:vMerge w:val="restart"/>
                  <w:vAlign w:val="center"/>
                </w:tcPr>
                <w:p w14:paraId="7BBD2127">
                  <w:pPr>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废气（有组织）</w:t>
                  </w:r>
                </w:p>
              </w:tc>
              <w:tc>
                <w:tcPr>
                  <w:tcW w:w="932" w:type="pct"/>
                  <w:vAlign w:val="center"/>
                </w:tcPr>
                <w:p w14:paraId="25FFE299">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VOCs</w:t>
                  </w:r>
                </w:p>
              </w:tc>
              <w:tc>
                <w:tcPr>
                  <w:tcW w:w="650" w:type="pct"/>
                  <w:vAlign w:val="center"/>
                </w:tcPr>
                <w:p w14:paraId="3B2DDA8A">
                  <w:pPr>
                    <w:adjustRightInd w:val="0"/>
                    <w:snapToGrid w:val="0"/>
                    <w:spacing w:line="24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0.2525</w:t>
                  </w:r>
                </w:p>
              </w:tc>
              <w:tc>
                <w:tcPr>
                  <w:tcW w:w="650" w:type="pct"/>
                  <w:vAlign w:val="center"/>
                </w:tcPr>
                <w:p w14:paraId="7105848B">
                  <w:pPr>
                    <w:adjustRightInd w:val="0"/>
                    <w:snapToGrid w:val="0"/>
                    <w:spacing w:line="24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0.2272</w:t>
                  </w:r>
                </w:p>
              </w:tc>
              <w:tc>
                <w:tcPr>
                  <w:tcW w:w="650" w:type="pct"/>
                  <w:vAlign w:val="center"/>
                </w:tcPr>
                <w:p w14:paraId="183FACB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1248" w:type="pct"/>
                  <w:vAlign w:val="center"/>
                </w:tcPr>
                <w:p w14:paraId="6783256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53</w:t>
                  </w:r>
                </w:p>
              </w:tc>
            </w:tr>
            <w:tr w14:paraId="2297255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868" w:type="pct"/>
                  <w:vMerge w:val="continue"/>
                  <w:vAlign w:val="center"/>
                </w:tcPr>
                <w:p w14:paraId="0D8CB84E">
                  <w:pPr>
                    <w:spacing w:line="240" w:lineRule="exact"/>
                    <w:jc w:val="center"/>
                    <w:rPr>
                      <w:color w:val="000000" w:themeColor="text1"/>
                      <w:szCs w:val="21"/>
                      <w:highlight w:val="none"/>
                      <w14:textFill>
                        <w14:solidFill>
                          <w14:schemeClr w14:val="tx1"/>
                        </w14:solidFill>
                      </w14:textFill>
                    </w:rPr>
                  </w:pPr>
                </w:p>
              </w:tc>
              <w:tc>
                <w:tcPr>
                  <w:tcW w:w="932" w:type="pct"/>
                  <w:vAlign w:val="center"/>
                </w:tcPr>
                <w:p w14:paraId="0F254DBA">
                  <w:pPr>
                    <w:snapToGrid w:val="0"/>
                    <w:spacing w:line="240" w:lineRule="exact"/>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乙醛</w:t>
                  </w:r>
                </w:p>
              </w:tc>
              <w:tc>
                <w:tcPr>
                  <w:tcW w:w="650" w:type="pct"/>
                  <w:vAlign w:val="center"/>
                </w:tcPr>
                <w:p w14:paraId="5ACB39E0">
                  <w:pPr>
                    <w:keepNext w:val="0"/>
                    <w:keepLines w:val="0"/>
                    <w:widowControl/>
                    <w:suppressLineNumbers w:val="0"/>
                    <w:jc w:val="center"/>
                    <w:textAlignment w:val="center"/>
                    <w:rPr>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0.0027</w:t>
                  </w:r>
                </w:p>
              </w:tc>
              <w:tc>
                <w:tcPr>
                  <w:tcW w:w="650" w:type="pct"/>
                  <w:vAlign w:val="center"/>
                </w:tcPr>
                <w:p w14:paraId="1D73266F">
                  <w:pPr>
                    <w:keepNext w:val="0"/>
                    <w:keepLines w:val="0"/>
                    <w:widowControl/>
                    <w:suppressLineNumbers w:val="0"/>
                    <w:jc w:val="center"/>
                    <w:textAlignment w:val="center"/>
                    <w:rPr>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0.0024</w:t>
                  </w:r>
                </w:p>
              </w:tc>
              <w:tc>
                <w:tcPr>
                  <w:tcW w:w="650" w:type="pct"/>
                  <w:vAlign w:val="center"/>
                </w:tcPr>
                <w:p w14:paraId="1D894DC5">
                  <w:pPr>
                    <w:adjustRightInd w:val="0"/>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1248" w:type="pct"/>
                  <w:vAlign w:val="center"/>
                </w:tcPr>
                <w:p w14:paraId="79DB2FD8">
                  <w:pPr>
                    <w:keepNext w:val="0"/>
                    <w:keepLines w:val="0"/>
                    <w:widowControl/>
                    <w:suppressLineNumbers w:val="0"/>
                    <w:jc w:val="center"/>
                    <w:textAlignment w:val="center"/>
                    <w:rPr>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0.0003</w:t>
                  </w:r>
                </w:p>
              </w:tc>
            </w:tr>
            <w:tr w14:paraId="3762E43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868" w:type="pct"/>
                  <w:vMerge w:val="continue"/>
                  <w:vAlign w:val="center"/>
                </w:tcPr>
                <w:p w14:paraId="16D84C3B">
                  <w:pPr>
                    <w:spacing w:line="240" w:lineRule="exact"/>
                    <w:jc w:val="center"/>
                    <w:rPr>
                      <w:color w:val="000000" w:themeColor="text1"/>
                      <w:szCs w:val="21"/>
                      <w:highlight w:val="none"/>
                      <w14:textFill>
                        <w14:solidFill>
                          <w14:schemeClr w14:val="tx1"/>
                        </w14:solidFill>
                      </w14:textFill>
                    </w:rPr>
                  </w:pPr>
                </w:p>
              </w:tc>
              <w:tc>
                <w:tcPr>
                  <w:tcW w:w="932" w:type="pct"/>
                  <w:vAlign w:val="center"/>
                </w:tcPr>
                <w:p w14:paraId="3E004CBE">
                  <w:pPr>
                    <w:snapToGrid w:val="0"/>
                    <w:spacing w:line="240" w:lineRule="exact"/>
                    <w:jc w:val="center"/>
                    <w:rPr>
                      <w:rFonts w:hint="eastAsia"/>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四氢呋喃</w:t>
                  </w:r>
                </w:p>
              </w:tc>
              <w:tc>
                <w:tcPr>
                  <w:tcW w:w="650" w:type="pct"/>
                  <w:vAlign w:val="center"/>
                </w:tcPr>
                <w:p w14:paraId="6F76D74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0.0303</w:t>
                  </w:r>
                </w:p>
              </w:tc>
              <w:tc>
                <w:tcPr>
                  <w:tcW w:w="650" w:type="pct"/>
                  <w:vAlign w:val="center"/>
                </w:tcPr>
                <w:p w14:paraId="7A927DA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0.0273</w:t>
                  </w:r>
                </w:p>
              </w:tc>
              <w:tc>
                <w:tcPr>
                  <w:tcW w:w="650" w:type="pct"/>
                  <w:vAlign w:val="center"/>
                </w:tcPr>
                <w:p w14:paraId="50DDE8DB">
                  <w:pPr>
                    <w:adjustRightInd w:val="0"/>
                    <w:snapToGrid w:val="0"/>
                    <w:spacing w:line="240" w:lineRule="exact"/>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1248" w:type="pct"/>
                  <w:vAlign w:val="center"/>
                </w:tcPr>
                <w:p w14:paraId="3151920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0.003</w:t>
                  </w:r>
                </w:p>
              </w:tc>
            </w:tr>
            <w:tr w14:paraId="7BC7120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868" w:type="pct"/>
                  <w:vMerge w:val="restart"/>
                  <w:vAlign w:val="center"/>
                </w:tcPr>
                <w:p w14:paraId="75F81E9B">
                  <w:pPr>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废气（无组织）</w:t>
                  </w:r>
                </w:p>
              </w:tc>
              <w:tc>
                <w:tcPr>
                  <w:tcW w:w="932" w:type="pct"/>
                  <w:vAlign w:val="center"/>
                </w:tcPr>
                <w:p w14:paraId="37C7371E">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VOCs</w:t>
                  </w:r>
                </w:p>
              </w:tc>
              <w:tc>
                <w:tcPr>
                  <w:tcW w:w="650" w:type="pct"/>
                  <w:vAlign w:val="center"/>
                </w:tcPr>
                <w:p w14:paraId="0F295B17">
                  <w:pPr>
                    <w:keepNext w:val="0"/>
                    <w:keepLines w:val="0"/>
                    <w:widowControl/>
                    <w:suppressLineNumbers w:val="0"/>
                    <w:jc w:val="center"/>
                    <w:textAlignment w:val="center"/>
                    <w:rPr>
                      <w:rFonts w:hint="default"/>
                      <w:color w:val="000000" w:themeColor="text1"/>
                      <w:szCs w:val="21"/>
                      <w:highlight w:val="none"/>
                      <w:lang w:val="en-US"/>
                      <w14:textFill>
                        <w14:solidFill>
                          <w14:schemeClr w14:val="tx1"/>
                        </w14:solidFill>
                      </w14:textFill>
                    </w:rPr>
                  </w:pPr>
                  <w:r>
                    <w:rPr>
                      <w:rFonts w:hint="eastAsia"/>
                      <w:color w:val="000000" w:themeColor="text1"/>
                      <w:kern w:val="0"/>
                      <w:szCs w:val="21"/>
                      <w:highlight w:val="none"/>
                      <w:lang w:val="en-US" w:eastAsia="zh-CN" w:bidi="ar"/>
                      <w14:textFill>
                        <w14:solidFill>
                          <w14:schemeClr w14:val="tx1"/>
                        </w14:solidFill>
                      </w14:textFill>
                    </w:rPr>
                    <w:t>0.0281</w:t>
                  </w:r>
                </w:p>
              </w:tc>
              <w:tc>
                <w:tcPr>
                  <w:tcW w:w="650" w:type="pct"/>
                  <w:vAlign w:val="center"/>
                </w:tcPr>
                <w:p w14:paraId="382E9BE4">
                  <w:pPr>
                    <w:adjustRightInd w:val="0"/>
                    <w:snapToGrid w:val="0"/>
                    <w:spacing w:line="240" w:lineRule="exact"/>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w:t>
                  </w:r>
                </w:p>
              </w:tc>
              <w:tc>
                <w:tcPr>
                  <w:tcW w:w="650" w:type="pct"/>
                  <w:vAlign w:val="center"/>
                </w:tcPr>
                <w:p w14:paraId="6C9B9C06">
                  <w:pPr>
                    <w:adjustRightInd w:val="0"/>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1248" w:type="pct"/>
                  <w:vAlign w:val="center"/>
                </w:tcPr>
                <w:p w14:paraId="2522D238">
                  <w:pPr>
                    <w:keepNext w:val="0"/>
                    <w:keepLines w:val="0"/>
                    <w:widowControl/>
                    <w:suppressLineNumbers w:val="0"/>
                    <w:jc w:val="center"/>
                    <w:textAlignment w:val="center"/>
                    <w:rPr>
                      <w:rFonts w:hint="default"/>
                      <w:color w:val="000000" w:themeColor="text1"/>
                      <w:szCs w:val="21"/>
                      <w:highlight w:val="none"/>
                      <w:lang w:val="en-US"/>
                      <w14:textFill>
                        <w14:solidFill>
                          <w14:schemeClr w14:val="tx1"/>
                        </w14:solidFill>
                      </w14:textFill>
                    </w:rPr>
                  </w:pPr>
                  <w:r>
                    <w:rPr>
                      <w:rFonts w:hint="eastAsia"/>
                      <w:color w:val="000000" w:themeColor="text1"/>
                      <w:kern w:val="0"/>
                      <w:szCs w:val="21"/>
                      <w:highlight w:val="none"/>
                      <w:lang w:val="en-US" w:eastAsia="zh-CN" w:bidi="ar"/>
                      <w14:textFill>
                        <w14:solidFill>
                          <w14:schemeClr w14:val="tx1"/>
                        </w14:solidFill>
                      </w14:textFill>
                    </w:rPr>
                    <w:t>0.0281</w:t>
                  </w:r>
                </w:p>
              </w:tc>
            </w:tr>
            <w:tr w14:paraId="48AD004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868" w:type="pct"/>
                  <w:vMerge w:val="continue"/>
                  <w:vAlign w:val="center"/>
                </w:tcPr>
                <w:p w14:paraId="45C51AC8">
                  <w:pPr>
                    <w:spacing w:line="240" w:lineRule="exact"/>
                    <w:jc w:val="center"/>
                    <w:rPr>
                      <w:color w:val="000000" w:themeColor="text1"/>
                      <w:szCs w:val="21"/>
                      <w:highlight w:val="none"/>
                      <w14:textFill>
                        <w14:solidFill>
                          <w14:schemeClr w14:val="tx1"/>
                        </w14:solidFill>
                      </w14:textFill>
                    </w:rPr>
                  </w:pPr>
                </w:p>
              </w:tc>
              <w:tc>
                <w:tcPr>
                  <w:tcW w:w="1563" w:type="dxa"/>
                  <w:vAlign w:val="center"/>
                </w:tcPr>
                <w:p w14:paraId="1335B5F1">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乙醛</w:t>
                  </w:r>
                </w:p>
              </w:tc>
              <w:tc>
                <w:tcPr>
                  <w:tcW w:w="1090" w:type="dxa"/>
                  <w:vAlign w:val="center"/>
                </w:tcPr>
                <w:p w14:paraId="4EEB75E3">
                  <w:pPr>
                    <w:keepNext w:val="0"/>
                    <w:keepLines w:val="0"/>
                    <w:widowControl/>
                    <w:suppressLineNumbers w:val="0"/>
                    <w:jc w:val="center"/>
                    <w:textAlignment w:val="center"/>
                    <w:rPr>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0.0003</w:t>
                  </w:r>
                </w:p>
              </w:tc>
              <w:tc>
                <w:tcPr>
                  <w:tcW w:w="1090" w:type="dxa"/>
                  <w:vAlign w:val="center"/>
                </w:tcPr>
                <w:p w14:paraId="521208F6">
                  <w:pPr>
                    <w:adjustRightInd w:val="0"/>
                    <w:snapToGrid w:val="0"/>
                    <w:spacing w:line="240" w:lineRule="exact"/>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w:t>
                  </w:r>
                </w:p>
              </w:tc>
              <w:tc>
                <w:tcPr>
                  <w:tcW w:w="1090" w:type="dxa"/>
                  <w:vAlign w:val="center"/>
                </w:tcPr>
                <w:p w14:paraId="3372F0E9">
                  <w:pPr>
                    <w:adjustRightInd w:val="0"/>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2094" w:type="dxa"/>
                  <w:vAlign w:val="center"/>
                </w:tcPr>
                <w:p w14:paraId="46A35621">
                  <w:pPr>
                    <w:keepNext w:val="0"/>
                    <w:keepLines w:val="0"/>
                    <w:widowControl/>
                    <w:suppressLineNumbers w:val="0"/>
                    <w:jc w:val="center"/>
                    <w:textAlignment w:val="center"/>
                    <w:rPr>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0.0003</w:t>
                  </w:r>
                </w:p>
              </w:tc>
            </w:tr>
            <w:tr w14:paraId="256A510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868" w:type="pct"/>
                  <w:vMerge w:val="continue"/>
                  <w:vAlign w:val="center"/>
                </w:tcPr>
                <w:p w14:paraId="3D4E6F80">
                  <w:pPr>
                    <w:spacing w:line="240" w:lineRule="exact"/>
                    <w:jc w:val="center"/>
                    <w:rPr>
                      <w:color w:val="000000" w:themeColor="text1"/>
                      <w:szCs w:val="21"/>
                      <w:highlight w:val="none"/>
                      <w14:textFill>
                        <w14:solidFill>
                          <w14:schemeClr w14:val="tx1"/>
                        </w14:solidFill>
                      </w14:textFill>
                    </w:rPr>
                  </w:pPr>
                </w:p>
              </w:tc>
              <w:tc>
                <w:tcPr>
                  <w:tcW w:w="932" w:type="pct"/>
                  <w:vAlign w:val="center"/>
                </w:tcPr>
                <w:p w14:paraId="2BD63EB4">
                  <w:pPr>
                    <w:snapToGrid w:val="0"/>
                    <w:spacing w:line="240" w:lineRule="exact"/>
                    <w:jc w:val="center"/>
                    <w:rPr>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四氢呋喃</w:t>
                  </w:r>
                </w:p>
              </w:tc>
              <w:tc>
                <w:tcPr>
                  <w:tcW w:w="650" w:type="pct"/>
                  <w:vAlign w:val="center"/>
                </w:tcPr>
                <w:p w14:paraId="6639286B">
                  <w:pPr>
                    <w:keepNext w:val="0"/>
                    <w:keepLines w:val="0"/>
                    <w:widowControl/>
                    <w:suppressLineNumbers w:val="0"/>
                    <w:jc w:val="center"/>
                    <w:textAlignment w:val="center"/>
                    <w:rPr>
                      <w:rFonts w:hint="default"/>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0.00</w:t>
                  </w:r>
                  <w:r>
                    <w:rPr>
                      <w:rFonts w:hint="eastAsia" w:cs="Times New Roman"/>
                      <w:color w:val="000000" w:themeColor="text1"/>
                      <w:kern w:val="0"/>
                      <w:szCs w:val="21"/>
                      <w:highlight w:val="none"/>
                      <w:lang w:val="en-US" w:eastAsia="zh-CN" w:bidi="ar"/>
                      <w14:textFill>
                        <w14:solidFill>
                          <w14:schemeClr w14:val="tx1"/>
                        </w14:solidFill>
                      </w14:textFill>
                    </w:rPr>
                    <w:t>34</w:t>
                  </w:r>
                </w:p>
              </w:tc>
              <w:tc>
                <w:tcPr>
                  <w:tcW w:w="650" w:type="pct"/>
                  <w:vAlign w:val="center"/>
                </w:tcPr>
                <w:p w14:paraId="50AD4E2B">
                  <w:pPr>
                    <w:adjustRightInd w:val="0"/>
                    <w:snapToGrid w:val="0"/>
                    <w:spacing w:line="240" w:lineRule="exact"/>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w:t>
                  </w:r>
                </w:p>
              </w:tc>
              <w:tc>
                <w:tcPr>
                  <w:tcW w:w="650" w:type="pct"/>
                  <w:vAlign w:val="center"/>
                </w:tcPr>
                <w:p w14:paraId="58859067">
                  <w:pPr>
                    <w:adjustRightInd w:val="0"/>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1248" w:type="pct"/>
                  <w:vAlign w:val="center"/>
                </w:tcPr>
                <w:p w14:paraId="2D106E1B">
                  <w:pPr>
                    <w:keepNext w:val="0"/>
                    <w:keepLines w:val="0"/>
                    <w:widowControl/>
                    <w:suppressLineNumbers w:val="0"/>
                    <w:jc w:val="center"/>
                    <w:textAlignment w:val="center"/>
                    <w:rPr>
                      <w:rFonts w:hint="default"/>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0.00</w:t>
                  </w:r>
                  <w:r>
                    <w:rPr>
                      <w:rFonts w:hint="eastAsia" w:cs="Times New Roman"/>
                      <w:color w:val="000000" w:themeColor="text1"/>
                      <w:kern w:val="0"/>
                      <w:szCs w:val="21"/>
                      <w:highlight w:val="none"/>
                      <w:lang w:val="en-US" w:eastAsia="zh-CN" w:bidi="ar"/>
                      <w14:textFill>
                        <w14:solidFill>
                          <w14:schemeClr w14:val="tx1"/>
                        </w14:solidFill>
                      </w14:textFill>
                    </w:rPr>
                    <w:t>34</w:t>
                  </w:r>
                </w:p>
              </w:tc>
            </w:tr>
            <w:tr w14:paraId="148FD57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868" w:type="pct"/>
                  <w:vMerge w:val="restart"/>
                  <w:vAlign w:val="center"/>
                </w:tcPr>
                <w:p w14:paraId="4AE25319">
                  <w:pPr>
                    <w:spacing w:line="240" w:lineRule="exact"/>
                    <w:jc w:val="center"/>
                    <w:rPr>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废水</w:t>
                  </w:r>
                </w:p>
              </w:tc>
              <w:tc>
                <w:tcPr>
                  <w:tcW w:w="932" w:type="pct"/>
                  <w:vAlign w:val="center"/>
                </w:tcPr>
                <w:p w14:paraId="41CED3AB">
                  <w:pPr>
                    <w:pStyle w:val="101"/>
                    <w:adjustRightInd w:val="0"/>
                    <w:snapToGrid w:val="0"/>
                    <w:spacing w:line="240" w:lineRule="exact"/>
                    <w:jc w:val="center"/>
                    <w:outlineLvl w:val="9"/>
                    <w:rPr>
                      <w:rFonts w:hint="eastAsia"/>
                      <w:color w:val="000000" w:themeColor="text1"/>
                      <w:szCs w:val="21"/>
                      <w:highlight w:val="none"/>
                      <w:lang w:val="en-US" w:eastAsia="zh-CN"/>
                      <w14:textFill>
                        <w14:solidFill>
                          <w14:schemeClr w14:val="tx1"/>
                        </w14:solidFill>
                      </w14:textFill>
                    </w:rPr>
                  </w:pPr>
                  <w:r>
                    <w:rPr>
                      <w:rFonts w:cs="Times New Roman"/>
                      <w:bCs w:val="0"/>
                      <w:color w:val="000000" w:themeColor="text1"/>
                      <w:sz w:val="21"/>
                      <w:szCs w:val="21"/>
                      <w:highlight w:val="none"/>
                      <w14:textFill>
                        <w14:solidFill>
                          <w14:schemeClr w14:val="tx1"/>
                        </w14:solidFill>
                      </w14:textFill>
                    </w:rPr>
                    <w:t>废水量</w:t>
                  </w:r>
                </w:p>
              </w:tc>
              <w:tc>
                <w:tcPr>
                  <w:tcW w:w="650" w:type="pct"/>
                  <w:vAlign w:val="center"/>
                </w:tcPr>
                <w:p w14:paraId="6E25836A">
                  <w:pPr>
                    <w:adjustRightInd w:val="0"/>
                    <w:snapToGrid w:val="0"/>
                    <w:spacing w:line="240" w:lineRule="exact"/>
                    <w:jc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192</w:t>
                  </w:r>
                </w:p>
              </w:tc>
              <w:tc>
                <w:tcPr>
                  <w:tcW w:w="650" w:type="pct"/>
                  <w:vAlign w:val="center"/>
                </w:tcPr>
                <w:p w14:paraId="0F05DB44">
                  <w:pPr>
                    <w:widowControl/>
                    <w:spacing w:line="240" w:lineRule="exact"/>
                    <w:jc w:val="center"/>
                    <w:textAlignment w:val="center"/>
                    <w:rPr>
                      <w:rFonts w:hint="eastAsia"/>
                      <w:color w:val="000000" w:themeColor="text1"/>
                      <w:szCs w:val="21"/>
                      <w:highlight w:val="none"/>
                      <w:lang w:val="en-US" w:eastAsia="zh-CN"/>
                      <w14:textFill>
                        <w14:solidFill>
                          <w14:schemeClr w14:val="tx1"/>
                        </w14:solidFill>
                      </w14:textFill>
                    </w:rPr>
                  </w:pPr>
                  <w:r>
                    <w:rPr>
                      <w:color w:val="000000" w:themeColor="text1"/>
                      <w:kern w:val="0"/>
                      <w:szCs w:val="21"/>
                      <w:highlight w:val="none"/>
                      <w:lang w:bidi="ar"/>
                      <w14:textFill>
                        <w14:solidFill>
                          <w14:schemeClr w14:val="tx1"/>
                        </w14:solidFill>
                      </w14:textFill>
                    </w:rPr>
                    <w:t>0</w:t>
                  </w:r>
                </w:p>
              </w:tc>
              <w:tc>
                <w:tcPr>
                  <w:tcW w:w="650" w:type="pct"/>
                  <w:vAlign w:val="center"/>
                </w:tcPr>
                <w:p w14:paraId="425AC892">
                  <w:pPr>
                    <w:widowControl/>
                    <w:spacing w:line="240" w:lineRule="exact"/>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192</w:t>
                  </w:r>
                </w:p>
              </w:tc>
              <w:tc>
                <w:tcPr>
                  <w:tcW w:w="1248" w:type="pct"/>
                  <w:vAlign w:val="center"/>
                </w:tcPr>
                <w:p w14:paraId="12890231">
                  <w:pPr>
                    <w:widowControl/>
                    <w:spacing w:line="240" w:lineRule="exact"/>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192</w:t>
                  </w:r>
                </w:p>
              </w:tc>
            </w:tr>
            <w:tr w14:paraId="5CDCADB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868" w:type="pct"/>
                  <w:vMerge w:val="continue"/>
                  <w:vAlign w:val="center"/>
                </w:tcPr>
                <w:p w14:paraId="625C21C0">
                  <w:pPr>
                    <w:spacing w:line="240" w:lineRule="exact"/>
                    <w:jc w:val="center"/>
                    <w:rPr>
                      <w:color w:val="000000" w:themeColor="text1"/>
                      <w:szCs w:val="21"/>
                      <w:highlight w:val="none"/>
                      <w14:textFill>
                        <w14:solidFill>
                          <w14:schemeClr w14:val="tx1"/>
                        </w14:solidFill>
                      </w14:textFill>
                    </w:rPr>
                  </w:pPr>
                </w:p>
              </w:tc>
              <w:tc>
                <w:tcPr>
                  <w:tcW w:w="932" w:type="pct"/>
                  <w:vAlign w:val="center"/>
                </w:tcPr>
                <w:p w14:paraId="6F8A10E4">
                  <w:pPr>
                    <w:spacing w:line="240" w:lineRule="exact"/>
                    <w:jc w:val="center"/>
                    <w:rPr>
                      <w:rFonts w:hint="eastAsia"/>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COD</w:t>
                  </w:r>
                </w:p>
              </w:tc>
              <w:tc>
                <w:tcPr>
                  <w:tcW w:w="1090" w:type="dxa"/>
                  <w:vAlign w:val="center"/>
                </w:tcPr>
                <w:p w14:paraId="34A55B28">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0.0768</w:t>
                  </w:r>
                </w:p>
              </w:tc>
              <w:tc>
                <w:tcPr>
                  <w:tcW w:w="650" w:type="pct"/>
                  <w:vAlign w:val="center"/>
                </w:tcPr>
                <w:p w14:paraId="39D11388">
                  <w:pPr>
                    <w:keepNext w:val="0"/>
                    <w:keepLines w:val="0"/>
                    <w:widowControl/>
                    <w:suppressLineNumbers w:val="0"/>
                    <w:jc w:val="center"/>
                    <w:textAlignment w:val="center"/>
                    <w:rPr>
                      <w:rFonts w:hint="default"/>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0.01</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92</w:t>
                  </w:r>
                </w:p>
              </w:tc>
              <w:tc>
                <w:tcPr>
                  <w:tcW w:w="1090" w:type="dxa"/>
                  <w:vAlign w:val="center"/>
                </w:tcPr>
                <w:p w14:paraId="24B10E63">
                  <w:pPr>
                    <w:keepNext w:val="0"/>
                    <w:keepLines w:val="0"/>
                    <w:widowControl/>
                    <w:suppressLineNumbers w:val="0"/>
                    <w:jc w:val="center"/>
                    <w:textAlignment w:val="center"/>
                    <w:rPr>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0.0576</w:t>
                  </w:r>
                </w:p>
              </w:tc>
              <w:tc>
                <w:tcPr>
                  <w:tcW w:w="2094" w:type="dxa"/>
                  <w:vAlign w:val="center"/>
                </w:tcPr>
                <w:p w14:paraId="64B70F54">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0.0058</w:t>
                  </w:r>
                </w:p>
              </w:tc>
            </w:tr>
            <w:tr w14:paraId="2A6455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868" w:type="pct"/>
                  <w:vMerge w:val="continue"/>
                  <w:vAlign w:val="center"/>
                </w:tcPr>
                <w:p w14:paraId="48BF2B77">
                  <w:pPr>
                    <w:spacing w:line="240" w:lineRule="exact"/>
                    <w:jc w:val="center"/>
                    <w:rPr>
                      <w:color w:val="000000" w:themeColor="text1"/>
                      <w:szCs w:val="21"/>
                      <w:highlight w:val="none"/>
                      <w14:textFill>
                        <w14:solidFill>
                          <w14:schemeClr w14:val="tx1"/>
                        </w14:solidFill>
                      </w14:textFill>
                    </w:rPr>
                  </w:pPr>
                </w:p>
              </w:tc>
              <w:tc>
                <w:tcPr>
                  <w:tcW w:w="932" w:type="pct"/>
                  <w:vAlign w:val="center"/>
                </w:tcPr>
                <w:p w14:paraId="0917A4E1">
                  <w:pPr>
                    <w:adjustRightInd w:val="0"/>
                    <w:snapToGrid w:val="0"/>
                    <w:spacing w:line="240" w:lineRule="exact"/>
                    <w:jc w:val="center"/>
                    <w:rPr>
                      <w:rFonts w:hint="eastAsia"/>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SS</w:t>
                  </w:r>
                </w:p>
              </w:tc>
              <w:tc>
                <w:tcPr>
                  <w:tcW w:w="1090" w:type="dxa"/>
                  <w:vAlign w:val="center"/>
                </w:tcPr>
                <w:p w14:paraId="5C28454C">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0.0384</w:t>
                  </w:r>
                </w:p>
              </w:tc>
              <w:tc>
                <w:tcPr>
                  <w:tcW w:w="650" w:type="pct"/>
                  <w:vAlign w:val="center"/>
                </w:tcPr>
                <w:p w14:paraId="26118A55">
                  <w:pPr>
                    <w:keepNext w:val="0"/>
                    <w:keepLines w:val="0"/>
                    <w:widowControl/>
                    <w:suppressLineNumbers w:val="0"/>
                    <w:jc w:val="center"/>
                    <w:textAlignment w:val="center"/>
                    <w:rPr>
                      <w:rFonts w:hint="default"/>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96</w:t>
                  </w:r>
                </w:p>
              </w:tc>
              <w:tc>
                <w:tcPr>
                  <w:tcW w:w="1090" w:type="dxa"/>
                  <w:vAlign w:val="center"/>
                </w:tcPr>
                <w:p w14:paraId="5B248087">
                  <w:pPr>
                    <w:keepNext w:val="0"/>
                    <w:keepLines w:val="0"/>
                    <w:widowControl/>
                    <w:suppressLineNumbers w:val="0"/>
                    <w:jc w:val="center"/>
                    <w:textAlignment w:val="center"/>
                    <w:rPr>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0.0288</w:t>
                  </w:r>
                </w:p>
              </w:tc>
              <w:tc>
                <w:tcPr>
                  <w:tcW w:w="2094" w:type="dxa"/>
                  <w:vAlign w:val="center"/>
                </w:tcPr>
                <w:p w14:paraId="7233DE98">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0.0010</w:t>
                  </w:r>
                </w:p>
              </w:tc>
            </w:tr>
            <w:tr w14:paraId="3F0D81C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868" w:type="pct"/>
                  <w:vMerge w:val="continue"/>
                  <w:vAlign w:val="center"/>
                </w:tcPr>
                <w:p w14:paraId="19583AF8">
                  <w:pPr>
                    <w:spacing w:line="240" w:lineRule="exact"/>
                    <w:jc w:val="center"/>
                    <w:rPr>
                      <w:color w:val="000000" w:themeColor="text1"/>
                      <w:szCs w:val="21"/>
                      <w:highlight w:val="none"/>
                      <w14:textFill>
                        <w14:solidFill>
                          <w14:schemeClr w14:val="tx1"/>
                        </w14:solidFill>
                      </w14:textFill>
                    </w:rPr>
                  </w:pPr>
                </w:p>
              </w:tc>
              <w:tc>
                <w:tcPr>
                  <w:tcW w:w="932" w:type="pct"/>
                  <w:vAlign w:val="center"/>
                </w:tcPr>
                <w:p w14:paraId="7E35EC51">
                  <w:pPr>
                    <w:adjustRightInd w:val="0"/>
                    <w:snapToGrid w:val="0"/>
                    <w:spacing w:line="240" w:lineRule="exact"/>
                    <w:jc w:val="center"/>
                    <w:rPr>
                      <w:rFonts w:hint="eastAsia"/>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氨氮</w:t>
                  </w:r>
                </w:p>
              </w:tc>
              <w:tc>
                <w:tcPr>
                  <w:tcW w:w="1090" w:type="dxa"/>
                  <w:vAlign w:val="center"/>
                </w:tcPr>
                <w:p w14:paraId="7E849B06">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0.0048</w:t>
                  </w:r>
                </w:p>
              </w:tc>
              <w:tc>
                <w:tcPr>
                  <w:tcW w:w="650" w:type="pct"/>
                  <w:vAlign w:val="center"/>
                </w:tcPr>
                <w:p w14:paraId="5F86A0C6">
                  <w:pPr>
                    <w:keepNext w:val="0"/>
                    <w:keepLines w:val="0"/>
                    <w:widowControl/>
                    <w:suppressLineNumbers w:val="0"/>
                    <w:jc w:val="center"/>
                    <w:textAlignment w:val="center"/>
                    <w:rPr>
                      <w:rFonts w:hint="eastAsia"/>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w:t>
                  </w:r>
                </w:p>
              </w:tc>
              <w:tc>
                <w:tcPr>
                  <w:tcW w:w="1090" w:type="dxa"/>
                  <w:vAlign w:val="center"/>
                </w:tcPr>
                <w:p w14:paraId="6B1F2D10">
                  <w:pPr>
                    <w:keepNext w:val="0"/>
                    <w:keepLines w:val="0"/>
                    <w:widowControl/>
                    <w:suppressLineNumbers w:val="0"/>
                    <w:jc w:val="center"/>
                    <w:textAlignment w:val="center"/>
                    <w:rPr>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0.0048</w:t>
                  </w:r>
                </w:p>
              </w:tc>
              <w:tc>
                <w:tcPr>
                  <w:tcW w:w="2094" w:type="dxa"/>
                  <w:vAlign w:val="center"/>
                </w:tcPr>
                <w:p w14:paraId="7F79B251">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0.0003</w:t>
                  </w:r>
                </w:p>
              </w:tc>
            </w:tr>
            <w:tr w14:paraId="14BF846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868" w:type="pct"/>
                  <w:vMerge w:val="continue"/>
                  <w:vAlign w:val="center"/>
                </w:tcPr>
                <w:p w14:paraId="33D66FB9">
                  <w:pPr>
                    <w:spacing w:line="240" w:lineRule="exact"/>
                    <w:jc w:val="center"/>
                    <w:rPr>
                      <w:color w:val="000000" w:themeColor="text1"/>
                      <w:szCs w:val="21"/>
                      <w:highlight w:val="none"/>
                      <w14:textFill>
                        <w14:solidFill>
                          <w14:schemeClr w14:val="tx1"/>
                        </w14:solidFill>
                      </w14:textFill>
                    </w:rPr>
                  </w:pPr>
                </w:p>
              </w:tc>
              <w:tc>
                <w:tcPr>
                  <w:tcW w:w="932" w:type="pct"/>
                  <w:vAlign w:val="center"/>
                </w:tcPr>
                <w:p w14:paraId="30662872">
                  <w:pPr>
                    <w:keepNext w:val="0"/>
                    <w:keepLines w:val="0"/>
                    <w:widowControl/>
                    <w:suppressLineNumbers w:val="0"/>
                    <w:jc w:val="center"/>
                    <w:textAlignment w:val="center"/>
                    <w:rPr>
                      <w:rFonts w:hint="eastAsia"/>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总磷</w:t>
                  </w:r>
                </w:p>
              </w:tc>
              <w:tc>
                <w:tcPr>
                  <w:tcW w:w="1090" w:type="dxa"/>
                  <w:vAlign w:val="center"/>
                </w:tcPr>
                <w:p w14:paraId="5EB00367">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0.000</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8</w:t>
                  </w:r>
                </w:p>
              </w:tc>
              <w:tc>
                <w:tcPr>
                  <w:tcW w:w="650" w:type="pct"/>
                  <w:vAlign w:val="center"/>
                </w:tcPr>
                <w:p w14:paraId="1341C2DD">
                  <w:pPr>
                    <w:keepNext w:val="0"/>
                    <w:keepLines w:val="0"/>
                    <w:widowControl/>
                    <w:suppressLineNumbers w:val="0"/>
                    <w:jc w:val="center"/>
                    <w:textAlignment w:val="center"/>
                    <w:rPr>
                      <w:rFonts w:hint="eastAsia"/>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w:t>
                  </w:r>
                </w:p>
              </w:tc>
              <w:tc>
                <w:tcPr>
                  <w:tcW w:w="1090" w:type="dxa"/>
                  <w:vAlign w:val="center"/>
                </w:tcPr>
                <w:p w14:paraId="040452A8">
                  <w:pPr>
                    <w:keepNext w:val="0"/>
                    <w:keepLines w:val="0"/>
                    <w:widowControl/>
                    <w:suppressLineNumbers w:val="0"/>
                    <w:jc w:val="center"/>
                    <w:textAlignment w:val="center"/>
                    <w:rPr>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0.000</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8</w:t>
                  </w:r>
                </w:p>
              </w:tc>
              <w:tc>
                <w:tcPr>
                  <w:tcW w:w="2094" w:type="dxa"/>
                  <w:vAlign w:val="center"/>
                </w:tcPr>
                <w:p w14:paraId="244FEF21">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0.0001</w:t>
                  </w:r>
                </w:p>
              </w:tc>
            </w:tr>
            <w:tr w14:paraId="0A1834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868" w:type="pct"/>
                  <w:vMerge w:val="continue"/>
                  <w:vAlign w:val="center"/>
                </w:tcPr>
                <w:p w14:paraId="4593237D">
                  <w:pPr>
                    <w:spacing w:line="240" w:lineRule="exact"/>
                    <w:jc w:val="center"/>
                    <w:rPr>
                      <w:color w:val="000000" w:themeColor="text1"/>
                      <w:szCs w:val="21"/>
                      <w:highlight w:val="none"/>
                      <w14:textFill>
                        <w14:solidFill>
                          <w14:schemeClr w14:val="tx1"/>
                        </w14:solidFill>
                      </w14:textFill>
                    </w:rPr>
                  </w:pPr>
                </w:p>
              </w:tc>
              <w:tc>
                <w:tcPr>
                  <w:tcW w:w="932" w:type="pct"/>
                  <w:vAlign w:val="center"/>
                </w:tcPr>
                <w:p w14:paraId="58E5D1DC">
                  <w:pPr>
                    <w:keepNext w:val="0"/>
                    <w:keepLines w:val="0"/>
                    <w:widowControl/>
                    <w:suppressLineNumbers w:val="0"/>
                    <w:jc w:val="center"/>
                    <w:textAlignment w:val="center"/>
                    <w:rPr>
                      <w:rFonts w:hint="eastAsia"/>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总氮</w:t>
                  </w:r>
                </w:p>
              </w:tc>
              <w:tc>
                <w:tcPr>
                  <w:tcW w:w="1090" w:type="dxa"/>
                  <w:vAlign w:val="center"/>
                </w:tcPr>
                <w:p w14:paraId="2135EFEA">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0.0067</w:t>
                  </w:r>
                </w:p>
              </w:tc>
              <w:tc>
                <w:tcPr>
                  <w:tcW w:w="650" w:type="pct"/>
                  <w:vAlign w:val="center"/>
                </w:tcPr>
                <w:p w14:paraId="598D435B">
                  <w:pPr>
                    <w:keepNext w:val="0"/>
                    <w:keepLines w:val="0"/>
                    <w:widowControl/>
                    <w:suppressLineNumbers w:val="0"/>
                    <w:jc w:val="center"/>
                    <w:textAlignment w:val="center"/>
                    <w:rPr>
                      <w:rFonts w:hint="eastAsia"/>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w:t>
                  </w:r>
                </w:p>
              </w:tc>
              <w:tc>
                <w:tcPr>
                  <w:tcW w:w="1090" w:type="dxa"/>
                  <w:vAlign w:val="center"/>
                </w:tcPr>
                <w:p w14:paraId="171B9B8F">
                  <w:pPr>
                    <w:keepNext w:val="0"/>
                    <w:keepLines w:val="0"/>
                    <w:widowControl/>
                    <w:suppressLineNumbers w:val="0"/>
                    <w:jc w:val="center"/>
                    <w:textAlignment w:val="center"/>
                    <w:rPr>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0.0067</w:t>
                  </w:r>
                </w:p>
              </w:tc>
              <w:tc>
                <w:tcPr>
                  <w:tcW w:w="1248" w:type="pct"/>
                  <w:vAlign w:val="center"/>
                </w:tcPr>
                <w:p w14:paraId="3471F202">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0.0023</w:t>
                  </w:r>
                </w:p>
              </w:tc>
            </w:tr>
            <w:tr w14:paraId="4CF0F89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868" w:type="pct"/>
                  <w:vMerge w:val="restart"/>
                  <w:vAlign w:val="center"/>
                </w:tcPr>
                <w:p w14:paraId="7C09D542">
                  <w:pPr>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固废</w:t>
                  </w:r>
                </w:p>
              </w:tc>
              <w:tc>
                <w:tcPr>
                  <w:tcW w:w="932" w:type="pct"/>
                  <w:vAlign w:val="center"/>
                </w:tcPr>
                <w:p w14:paraId="65D4730D">
                  <w:pPr>
                    <w:adjustRightInd w:val="0"/>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生活垃圾及化粪池污泥</w:t>
                  </w:r>
                </w:p>
              </w:tc>
              <w:tc>
                <w:tcPr>
                  <w:tcW w:w="650" w:type="pct"/>
                  <w:vAlign w:val="center"/>
                </w:tcPr>
                <w:p w14:paraId="0C5DBC8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88</w:t>
                  </w:r>
                </w:p>
              </w:tc>
              <w:tc>
                <w:tcPr>
                  <w:tcW w:w="650" w:type="pct"/>
                  <w:vAlign w:val="center"/>
                </w:tcPr>
                <w:p w14:paraId="48D09C1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88</w:t>
                  </w:r>
                </w:p>
              </w:tc>
              <w:tc>
                <w:tcPr>
                  <w:tcW w:w="650" w:type="pct"/>
                  <w:vAlign w:val="center"/>
                </w:tcPr>
                <w:p w14:paraId="41185BAD">
                  <w:pPr>
                    <w:autoSpaceDE w:val="0"/>
                    <w:autoSpaceDN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1248" w:type="pct"/>
                  <w:vAlign w:val="center"/>
                </w:tcPr>
                <w:p w14:paraId="7AEA8FF5">
                  <w:pPr>
                    <w:autoSpaceDE w:val="0"/>
                    <w:autoSpaceDN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w:t>
                  </w:r>
                </w:p>
              </w:tc>
            </w:tr>
            <w:tr w14:paraId="678C2A7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83" w:hRule="atLeast"/>
                <w:jc w:val="center"/>
              </w:trPr>
              <w:tc>
                <w:tcPr>
                  <w:tcW w:w="868" w:type="pct"/>
                  <w:vMerge w:val="continue"/>
                  <w:vAlign w:val="center"/>
                </w:tcPr>
                <w:p w14:paraId="47DE0119">
                  <w:pPr>
                    <w:spacing w:line="240" w:lineRule="exact"/>
                    <w:jc w:val="center"/>
                    <w:rPr>
                      <w:color w:val="000000" w:themeColor="text1"/>
                      <w:szCs w:val="21"/>
                      <w:highlight w:val="none"/>
                      <w14:textFill>
                        <w14:solidFill>
                          <w14:schemeClr w14:val="tx1"/>
                        </w14:solidFill>
                      </w14:textFill>
                    </w:rPr>
                  </w:pPr>
                </w:p>
              </w:tc>
              <w:tc>
                <w:tcPr>
                  <w:tcW w:w="932" w:type="pct"/>
                  <w:vAlign w:val="center"/>
                </w:tcPr>
                <w:p w14:paraId="57EE788A">
                  <w:pPr>
                    <w:adjustRightInd w:val="0"/>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一般</w:t>
                  </w:r>
                  <w:r>
                    <w:rPr>
                      <w:color w:val="000000" w:themeColor="text1"/>
                      <w:szCs w:val="21"/>
                      <w:highlight w:val="none"/>
                      <w14:textFill>
                        <w14:solidFill>
                          <w14:schemeClr w14:val="tx1"/>
                        </w14:solidFill>
                      </w14:textFill>
                    </w:rPr>
                    <w:t>废物</w:t>
                  </w:r>
                </w:p>
              </w:tc>
              <w:tc>
                <w:tcPr>
                  <w:tcW w:w="650" w:type="pct"/>
                  <w:vAlign w:val="center"/>
                </w:tcPr>
                <w:p w14:paraId="31C1440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9.1</w:t>
                  </w:r>
                </w:p>
              </w:tc>
              <w:tc>
                <w:tcPr>
                  <w:tcW w:w="650" w:type="pct"/>
                  <w:vAlign w:val="center"/>
                </w:tcPr>
                <w:p w14:paraId="6FF7B07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9.1</w:t>
                  </w:r>
                </w:p>
              </w:tc>
              <w:tc>
                <w:tcPr>
                  <w:tcW w:w="650" w:type="pct"/>
                  <w:vAlign w:val="center"/>
                </w:tcPr>
                <w:p w14:paraId="716901A2">
                  <w:pPr>
                    <w:autoSpaceDE w:val="0"/>
                    <w:autoSpaceDN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1248" w:type="pct"/>
                  <w:vAlign w:val="center"/>
                </w:tcPr>
                <w:p w14:paraId="3D472E17">
                  <w:pPr>
                    <w:autoSpaceDE w:val="0"/>
                    <w:autoSpaceDN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w:t>
                  </w:r>
                </w:p>
              </w:tc>
            </w:tr>
            <w:tr w14:paraId="19F8E44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83" w:hRule="atLeast"/>
                <w:jc w:val="center"/>
              </w:trPr>
              <w:tc>
                <w:tcPr>
                  <w:tcW w:w="868" w:type="pct"/>
                  <w:vMerge w:val="continue"/>
                  <w:vAlign w:val="center"/>
                </w:tcPr>
                <w:p w14:paraId="19033525">
                  <w:pPr>
                    <w:spacing w:line="240" w:lineRule="exact"/>
                    <w:jc w:val="center"/>
                    <w:rPr>
                      <w:color w:val="000000" w:themeColor="text1"/>
                      <w:szCs w:val="21"/>
                      <w:highlight w:val="none"/>
                      <w14:textFill>
                        <w14:solidFill>
                          <w14:schemeClr w14:val="tx1"/>
                        </w14:solidFill>
                      </w14:textFill>
                    </w:rPr>
                  </w:pPr>
                </w:p>
              </w:tc>
              <w:tc>
                <w:tcPr>
                  <w:tcW w:w="932" w:type="pct"/>
                  <w:vAlign w:val="center"/>
                </w:tcPr>
                <w:p w14:paraId="372C7488">
                  <w:pPr>
                    <w:adjustRightInd w:val="0"/>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危险废物</w:t>
                  </w:r>
                </w:p>
              </w:tc>
              <w:tc>
                <w:tcPr>
                  <w:tcW w:w="650" w:type="pct"/>
                  <w:vAlign w:val="center"/>
                </w:tcPr>
                <w:p w14:paraId="42BFB9C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7.45</w:t>
                  </w:r>
                </w:p>
              </w:tc>
              <w:tc>
                <w:tcPr>
                  <w:tcW w:w="650" w:type="pct"/>
                  <w:vAlign w:val="center"/>
                </w:tcPr>
                <w:p w14:paraId="084D63B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7.45</w:t>
                  </w:r>
                </w:p>
              </w:tc>
              <w:tc>
                <w:tcPr>
                  <w:tcW w:w="650" w:type="pct"/>
                  <w:vAlign w:val="center"/>
                </w:tcPr>
                <w:p w14:paraId="79914EC9">
                  <w:pPr>
                    <w:autoSpaceDE w:val="0"/>
                    <w:autoSpaceDN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1248" w:type="pct"/>
                  <w:vAlign w:val="center"/>
                </w:tcPr>
                <w:p w14:paraId="0FA61194">
                  <w:pPr>
                    <w:autoSpaceDE w:val="0"/>
                    <w:autoSpaceDN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w:t>
                  </w:r>
                </w:p>
              </w:tc>
            </w:tr>
          </w:tbl>
          <w:p w14:paraId="0C415D53">
            <w:pPr>
              <w:adjustRightInd w:val="0"/>
              <w:snapToGrid w:val="0"/>
              <w:spacing w:line="440" w:lineRule="exact"/>
              <w:ind w:firstLine="480" w:firstLineChars="200"/>
              <w:rPr>
                <w:rFonts w:hint="eastAsia"/>
                <w:color w:val="000000" w:themeColor="text1"/>
                <w:sz w:val="24"/>
                <w:highlight w:val="none"/>
                <w:lang w:eastAsia="zh-CN"/>
                <w14:textFill>
                  <w14:solidFill>
                    <w14:schemeClr w14:val="tx1"/>
                  </w14:solidFill>
                </w14:textFill>
              </w:rPr>
            </w:pPr>
          </w:p>
        </w:tc>
      </w:tr>
    </w:tbl>
    <w:p w14:paraId="74A0916B">
      <w:pPr>
        <w:jc w:val="center"/>
        <w:rPr>
          <w:snapToGrid w:val="0"/>
          <w:color w:val="000000" w:themeColor="text1"/>
          <w:sz w:val="36"/>
          <w:szCs w:val="36"/>
          <w:highlight w:val="none"/>
          <w14:textFill>
            <w14:solidFill>
              <w14:schemeClr w14:val="tx1"/>
            </w14:solidFill>
          </w14:textFill>
        </w:rPr>
        <w:sectPr>
          <w:footerReference r:id="rId6" w:type="default"/>
          <w:pgSz w:w="11907" w:h="16840"/>
          <w:pgMar w:top="1701" w:right="1531" w:bottom="2127"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22EF3A26">
      <w:pPr>
        <w:pStyle w:val="34"/>
        <w:keepNext/>
        <w:jc w:val="center"/>
        <w:outlineLvl w:val="0"/>
        <w:rPr>
          <w:rFonts w:ascii="黑体" w:hAnsi="黑体" w:eastAsia="黑体" w:cs="黑体"/>
          <w:snapToGrid w:val="0"/>
          <w:color w:val="000000" w:themeColor="text1"/>
          <w:sz w:val="30"/>
          <w:szCs w:val="30"/>
          <w:highlight w:val="none"/>
          <w14:textFill>
            <w14:solidFill>
              <w14:schemeClr w14:val="tx1"/>
            </w14:solidFill>
          </w14:textFill>
        </w:rPr>
      </w:pPr>
      <w:r>
        <w:rPr>
          <w:rFonts w:ascii="黑体" w:hAnsi="黑体" w:eastAsia="黑体" w:cs="黑体"/>
          <w:snapToGrid w:val="0"/>
          <w:color w:val="000000" w:themeColor="text1"/>
          <w:sz w:val="30"/>
          <w:szCs w:val="30"/>
          <w:highlight w:val="none"/>
          <w14:textFill>
            <w14:solidFill>
              <w14:schemeClr w14:val="tx1"/>
            </w14:solidFill>
          </w14:textFill>
        </w:rPr>
        <w:t>四、主要环境影响和保护措施</w:t>
      </w:r>
    </w:p>
    <w:tbl>
      <w:tblPr>
        <w:tblStyle w:val="38"/>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96"/>
        <w:gridCol w:w="8685"/>
      </w:tblGrid>
      <w:tr w14:paraId="776016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44" w:hRule="atLeast"/>
          <w:jc w:val="center"/>
        </w:trPr>
        <w:tc>
          <w:tcPr>
            <w:tcW w:w="260" w:type="dxa"/>
            <w:tcMar>
              <w:left w:w="28" w:type="dxa"/>
              <w:right w:w="28" w:type="dxa"/>
            </w:tcMar>
            <w:vAlign w:val="center"/>
          </w:tcPr>
          <w:p w14:paraId="7CAA8DBD">
            <w:pPr>
              <w:pStyle w:val="34"/>
              <w:adjustRightInd w:val="0"/>
              <w:snapToGrid w:val="0"/>
              <w:spacing w:before="0" w:beforeAutospacing="0" w:after="0" w:afterAutospacing="0" w:line="440" w:lineRule="exact"/>
              <w:jc w:val="center"/>
              <w:rPr>
                <w:rFonts w:ascii="Times New Roman" w:hAnsi="Times New Roman"/>
                <w:color w:val="000000" w:themeColor="text1"/>
                <w:kern w:val="2"/>
                <w:szCs w:val="24"/>
                <w:highlight w:val="none"/>
                <w14:textFill>
                  <w14:solidFill>
                    <w14:schemeClr w14:val="tx1"/>
                  </w14:solidFill>
                </w14:textFill>
              </w:rPr>
            </w:pPr>
            <w:r>
              <w:rPr>
                <w:rFonts w:ascii="Times New Roman" w:hAnsi="Times New Roman"/>
                <w:color w:val="000000" w:themeColor="text1"/>
                <w:kern w:val="2"/>
                <w:szCs w:val="24"/>
                <w:highlight w:val="none"/>
                <w14:textFill>
                  <w14:solidFill>
                    <w14:schemeClr w14:val="tx1"/>
                  </w14:solidFill>
                </w14:textFill>
              </w:rPr>
              <w:t>施工</w:t>
            </w:r>
          </w:p>
          <w:p w14:paraId="69A86A40">
            <w:pPr>
              <w:pStyle w:val="34"/>
              <w:adjustRightInd w:val="0"/>
              <w:snapToGrid w:val="0"/>
              <w:spacing w:before="0" w:beforeAutospacing="0" w:after="0" w:afterAutospacing="0" w:line="440" w:lineRule="exact"/>
              <w:jc w:val="center"/>
              <w:rPr>
                <w:rFonts w:ascii="Times New Roman" w:hAnsi="Times New Roman"/>
                <w:color w:val="000000" w:themeColor="text1"/>
                <w:kern w:val="2"/>
                <w:szCs w:val="24"/>
                <w:highlight w:val="none"/>
                <w14:textFill>
                  <w14:solidFill>
                    <w14:schemeClr w14:val="tx1"/>
                  </w14:solidFill>
                </w14:textFill>
              </w:rPr>
            </w:pPr>
            <w:r>
              <w:rPr>
                <w:rFonts w:ascii="Times New Roman" w:hAnsi="Times New Roman"/>
                <w:color w:val="000000" w:themeColor="text1"/>
                <w:kern w:val="2"/>
                <w:szCs w:val="24"/>
                <w:highlight w:val="none"/>
                <w14:textFill>
                  <w14:solidFill>
                    <w14:schemeClr w14:val="tx1"/>
                  </w14:solidFill>
                </w14:textFill>
              </w:rPr>
              <w:t>期环</w:t>
            </w:r>
          </w:p>
          <w:p w14:paraId="7F18EB59">
            <w:pPr>
              <w:pStyle w:val="34"/>
              <w:adjustRightInd w:val="0"/>
              <w:snapToGrid w:val="0"/>
              <w:spacing w:before="0" w:beforeAutospacing="0" w:after="0" w:afterAutospacing="0" w:line="440" w:lineRule="exact"/>
              <w:jc w:val="center"/>
              <w:rPr>
                <w:rFonts w:ascii="Times New Roman" w:hAnsi="Times New Roman"/>
                <w:color w:val="000000" w:themeColor="text1"/>
                <w:kern w:val="2"/>
                <w:szCs w:val="24"/>
                <w:highlight w:val="none"/>
                <w14:textFill>
                  <w14:solidFill>
                    <w14:schemeClr w14:val="tx1"/>
                  </w14:solidFill>
                </w14:textFill>
              </w:rPr>
            </w:pPr>
            <w:r>
              <w:rPr>
                <w:rFonts w:ascii="Times New Roman" w:hAnsi="Times New Roman"/>
                <w:color w:val="000000" w:themeColor="text1"/>
                <w:kern w:val="2"/>
                <w:szCs w:val="24"/>
                <w:highlight w:val="none"/>
                <w14:textFill>
                  <w14:solidFill>
                    <w14:schemeClr w14:val="tx1"/>
                  </w14:solidFill>
                </w14:textFill>
              </w:rPr>
              <w:t>境保</w:t>
            </w:r>
          </w:p>
          <w:p w14:paraId="28CEC3C2">
            <w:pPr>
              <w:pStyle w:val="34"/>
              <w:adjustRightInd w:val="0"/>
              <w:snapToGrid w:val="0"/>
              <w:spacing w:before="0" w:beforeAutospacing="0" w:after="0" w:afterAutospacing="0" w:line="440" w:lineRule="exact"/>
              <w:jc w:val="center"/>
              <w:rPr>
                <w:rFonts w:ascii="Times New Roman" w:hAnsi="Times New Roman"/>
                <w:color w:val="000000" w:themeColor="text1"/>
                <w:kern w:val="2"/>
                <w:szCs w:val="24"/>
                <w:highlight w:val="none"/>
                <w14:textFill>
                  <w14:solidFill>
                    <w14:schemeClr w14:val="tx1"/>
                  </w14:solidFill>
                </w14:textFill>
              </w:rPr>
            </w:pPr>
            <w:r>
              <w:rPr>
                <w:rFonts w:ascii="Times New Roman" w:hAnsi="Times New Roman"/>
                <w:color w:val="000000" w:themeColor="text1"/>
                <w:kern w:val="2"/>
                <w:szCs w:val="24"/>
                <w:highlight w:val="none"/>
                <w14:textFill>
                  <w14:solidFill>
                    <w14:schemeClr w14:val="tx1"/>
                  </w14:solidFill>
                </w14:textFill>
              </w:rPr>
              <w:t>护措</w:t>
            </w:r>
          </w:p>
          <w:p w14:paraId="6813FEDE">
            <w:pPr>
              <w:pStyle w:val="34"/>
              <w:adjustRightInd w:val="0"/>
              <w:snapToGrid w:val="0"/>
              <w:spacing w:before="0" w:beforeAutospacing="0" w:after="0" w:afterAutospacing="0" w:line="440" w:lineRule="exact"/>
              <w:jc w:val="center"/>
              <w:rPr>
                <w:rFonts w:ascii="Times New Roman" w:hAnsi="Times New Roman"/>
                <w:bCs/>
                <w:color w:val="000000" w:themeColor="text1"/>
                <w:kern w:val="2"/>
                <w:szCs w:val="24"/>
                <w:highlight w:val="none"/>
                <w14:textFill>
                  <w14:solidFill>
                    <w14:schemeClr w14:val="tx1"/>
                  </w14:solidFill>
                </w14:textFill>
              </w:rPr>
            </w:pPr>
            <w:r>
              <w:rPr>
                <w:rFonts w:ascii="Times New Roman" w:hAnsi="Times New Roman"/>
                <w:color w:val="000000" w:themeColor="text1"/>
                <w:kern w:val="2"/>
                <w:szCs w:val="24"/>
                <w:highlight w:val="none"/>
                <w14:textFill>
                  <w14:solidFill>
                    <w14:schemeClr w14:val="tx1"/>
                  </w14:solidFill>
                </w14:textFill>
              </w:rPr>
              <w:t>施</w:t>
            </w:r>
          </w:p>
        </w:tc>
        <w:tc>
          <w:tcPr>
            <w:tcW w:w="8721" w:type="dxa"/>
            <w:vAlign w:val="center"/>
          </w:tcPr>
          <w:p w14:paraId="25CD6A2F">
            <w:pPr>
              <w:spacing w:line="460" w:lineRule="exact"/>
              <w:ind w:firstLine="480" w:firstLineChars="200"/>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施工期污染物</w:t>
            </w:r>
          </w:p>
          <w:p w14:paraId="0122F965">
            <w:pPr>
              <w:spacing w:line="460" w:lineRule="exact"/>
              <w:ind w:firstLine="480" w:firstLineChars="200"/>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本项目依托现有厂房，没有土建施工，工期对环境的影响主要是设备的安装及调试过</w:t>
            </w:r>
            <w:r>
              <w:rPr>
                <w:rFonts w:hint="eastAsia"/>
                <w:color w:val="000000" w:themeColor="text1"/>
                <w:sz w:val="24"/>
                <w:highlight w:val="none"/>
                <w:lang w:eastAsia="zh-CN"/>
                <w14:textFill>
                  <w14:solidFill>
                    <w14:schemeClr w14:val="tx1"/>
                  </w14:solidFill>
                </w14:textFill>
              </w:rPr>
              <w:t>程中</w:t>
            </w:r>
            <w:r>
              <w:rPr>
                <w:rFonts w:hint="eastAsia"/>
                <w:color w:val="000000" w:themeColor="text1"/>
                <w:sz w:val="24"/>
                <w:highlight w:val="none"/>
                <w14:textFill>
                  <w14:solidFill>
                    <w14:schemeClr w14:val="tx1"/>
                  </w14:solidFill>
                </w14:textFill>
              </w:rPr>
              <w:t>产生噪声。施工期环境影响为短暂性影响，随着安装结束，以上环境影响随之结束。由于施工过程比较简单，对当地环境空气、水环境、声环境影响较小，不会降低当地环境质量现状</w:t>
            </w:r>
            <w:r>
              <w:rPr>
                <w:color w:val="000000" w:themeColor="text1"/>
                <w:sz w:val="24"/>
                <w:highlight w:val="none"/>
                <w14:textFill>
                  <w14:solidFill>
                    <w14:schemeClr w14:val="tx1"/>
                  </w14:solidFill>
                </w14:textFill>
              </w:rPr>
              <w:t>，本次评价不做详细分析</w:t>
            </w:r>
            <w:r>
              <w:rPr>
                <w:rFonts w:hint="eastAsia"/>
                <w:color w:val="000000" w:themeColor="text1"/>
                <w:sz w:val="24"/>
                <w:highlight w:val="none"/>
                <w14:textFill>
                  <w14:solidFill>
                    <w14:schemeClr w14:val="tx1"/>
                  </w14:solidFill>
                </w14:textFill>
              </w:rPr>
              <w:t>。</w:t>
            </w:r>
          </w:p>
          <w:p w14:paraId="6ACB16E5">
            <w:pPr>
              <w:spacing w:line="440" w:lineRule="exact"/>
              <w:ind w:firstLine="440" w:firstLineChars="200"/>
              <w:jc w:val="left"/>
              <w:rPr>
                <w:bCs/>
                <w:color w:val="000000" w:themeColor="text1"/>
                <w:spacing w:val="-10"/>
                <w:sz w:val="24"/>
                <w:highlight w:val="none"/>
                <w14:textFill>
                  <w14:solidFill>
                    <w14:schemeClr w14:val="tx1"/>
                  </w14:solidFill>
                </w14:textFill>
              </w:rPr>
            </w:pPr>
          </w:p>
        </w:tc>
      </w:tr>
      <w:tr w14:paraId="3AC2B8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57" w:hRule="atLeast"/>
          <w:jc w:val="center"/>
        </w:trPr>
        <w:tc>
          <w:tcPr>
            <w:tcW w:w="260" w:type="dxa"/>
            <w:tcMar>
              <w:left w:w="28" w:type="dxa"/>
              <w:right w:w="28" w:type="dxa"/>
            </w:tcMar>
            <w:vAlign w:val="center"/>
          </w:tcPr>
          <w:p w14:paraId="1E5E6444">
            <w:pPr>
              <w:adjustRightInd w:val="0"/>
              <w:snapToGrid w:val="0"/>
              <w:spacing w:line="440" w:lineRule="exact"/>
              <w:jc w:val="center"/>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运营</w:t>
            </w:r>
          </w:p>
          <w:p w14:paraId="0237884E">
            <w:pPr>
              <w:adjustRightInd w:val="0"/>
              <w:snapToGrid w:val="0"/>
              <w:spacing w:line="440" w:lineRule="exact"/>
              <w:jc w:val="center"/>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期环</w:t>
            </w:r>
          </w:p>
          <w:p w14:paraId="31205654">
            <w:pPr>
              <w:adjustRightInd w:val="0"/>
              <w:snapToGrid w:val="0"/>
              <w:spacing w:line="440" w:lineRule="exact"/>
              <w:jc w:val="center"/>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境影</w:t>
            </w:r>
          </w:p>
          <w:p w14:paraId="1E1E20B9">
            <w:pPr>
              <w:adjustRightInd w:val="0"/>
              <w:snapToGrid w:val="0"/>
              <w:spacing w:line="440" w:lineRule="exact"/>
              <w:jc w:val="center"/>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响和</w:t>
            </w:r>
          </w:p>
          <w:p w14:paraId="78EE8B07">
            <w:pPr>
              <w:adjustRightInd w:val="0"/>
              <w:snapToGrid w:val="0"/>
              <w:spacing w:line="440" w:lineRule="exact"/>
              <w:jc w:val="center"/>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保护</w:t>
            </w:r>
          </w:p>
          <w:p w14:paraId="39AA1901">
            <w:pPr>
              <w:adjustRightInd w:val="0"/>
              <w:snapToGrid w:val="0"/>
              <w:spacing w:line="440" w:lineRule="exact"/>
              <w:jc w:val="center"/>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措施</w:t>
            </w:r>
          </w:p>
        </w:tc>
        <w:tc>
          <w:tcPr>
            <w:tcW w:w="8721" w:type="dxa"/>
            <w:vAlign w:val="center"/>
          </w:tcPr>
          <w:p w14:paraId="47BD2092">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运营期污染物</w:t>
            </w:r>
          </w:p>
          <w:p w14:paraId="5094D4AE">
            <w:pPr>
              <w:numPr>
                <w:ilvl w:val="0"/>
                <w:numId w:val="13"/>
              </w:numPr>
              <w:spacing w:line="440" w:lineRule="exact"/>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废气</w:t>
            </w:r>
          </w:p>
          <w:p w14:paraId="40C99160">
            <w:pPr>
              <w:numPr>
                <w:ilvl w:val="0"/>
                <w:numId w:val="0"/>
              </w:numPr>
              <w:spacing w:line="440" w:lineRule="exact"/>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1.1废气产生、排放状况</w:t>
            </w:r>
          </w:p>
          <w:p w14:paraId="46F41D85">
            <w:pPr>
              <w:spacing w:line="440" w:lineRule="exact"/>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本项目营运期产生的废气主要为</w:t>
            </w:r>
            <w:r>
              <w:rPr>
                <w:rFonts w:hint="eastAsia"/>
                <w:color w:val="000000" w:themeColor="text1"/>
                <w:sz w:val="24"/>
                <w:highlight w:val="none"/>
                <w:lang w:val="en-US" w:eastAsia="zh-CN"/>
                <w14:textFill>
                  <w14:solidFill>
                    <w14:schemeClr w14:val="tx1"/>
                  </w14:solidFill>
                </w14:textFill>
              </w:rPr>
              <w:t>投料废气G1</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硫化废气G2</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混合废气G3</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成型废气G4</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eastAsia="zh-CN"/>
                <w14:textFill>
                  <w14:solidFill>
                    <w14:schemeClr w14:val="tx1"/>
                  </w14:solidFill>
                </w14:textFill>
              </w:rPr>
              <w:t>危废仓库废气G</w:t>
            </w:r>
            <w:r>
              <w:rPr>
                <w:rFonts w:hint="eastAsia"/>
                <w:color w:val="000000" w:themeColor="text1"/>
                <w:sz w:val="24"/>
                <w:highlight w:val="none"/>
                <w:lang w:val="en-US" w:eastAsia="zh-CN"/>
                <w14:textFill>
                  <w14:solidFill>
                    <w14:schemeClr w14:val="tx1"/>
                  </w14:solidFill>
                </w14:textFill>
              </w:rPr>
              <w:t>5</w:t>
            </w:r>
            <w:r>
              <w:rPr>
                <w:color w:val="000000" w:themeColor="text1"/>
                <w:sz w:val="24"/>
                <w:highlight w:val="none"/>
                <w14:textFill>
                  <w14:solidFill>
                    <w14:schemeClr w14:val="tx1"/>
                  </w14:solidFill>
                </w14:textFill>
              </w:rPr>
              <w:t>等。</w:t>
            </w:r>
          </w:p>
          <w:p w14:paraId="12EBF627">
            <w:pPr>
              <w:numPr>
                <w:ilvl w:val="0"/>
                <w:numId w:val="0"/>
              </w:numPr>
              <w:spacing w:line="440" w:lineRule="exact"/>
              <w:ind w:firstLine="480" w:firstLineChars="200"/>
              <w:jc w:val="left"/>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1）</w:t>
            </w:r>
            <w:r>
              <w:rPr>
                <w:rFonts w:hint="eastAsia"/>
                <w:color w:val="000000" w:themeColor="text1"/>
                <w:sz w:val="24"/>
                <w:highlight w:val="none"/>
                <w:lang w:val="en-US" w:eastAsia="zh-CN"/>
                <w14:textFill>
                  <w14:solidFill>
                    <w14:schemeClr w14:val="tx1"/>
                  </w14:solidFill>
                </w14:textFill>
              </w:rPr>
              <w:t>投料废气G1</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颗粒物</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p>
          <w:p w14:paraId="06B5AFD1">
            <w:pPr>
              <w:numPr>
                <w:ilvl w:val="0"/>
                <w:numId w:val="0"/>
              </w:numPr>
              <w:spacing w:line="440" w:lineRule="exact"/>
              <w:ind w:firstLine="480" w:firstLineChars="200"/>
              <w:jc w:val="left"/>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本项目使用</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色</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粉进行滚料，滚料会产生颗粒物。本项目</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色</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粉使用量为10kg/a，参考《逸散性工业粉尘控制技术》，产污系数为‌0.125kg/t粉状原料‌，滚料过程</w:t>
            </w:r>
            <w:r>
              <w:rPr>
                <w:rFonts w:hint="eastAsia" w:cs="Times New Roman"/>
                <w:color w:val="000000" w:themeColor="text1"/>
                <w:sz w:val="24"/>
                <w:highlight w:val="none"/>
                <w:lang w:val="en-US" w:eastAsia="zh-CN"/>
                <w14:textFill>
                  <w14:solidFill>
                    <w14:schemeClr w14:val="tx1"/>
                  </w14:solidFill>
                </w14:textFill>
              </w:rPr>
              <w:t>投料</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废气产生量很小，本次不做定量分析。废气在车间无组织排放。</w:t>
            </w:r>
          </w:p>
          <w:p w14:paraId="5D5DBFC6">
            <w:pPr>
              <w:numPr>
                <w:ilvl w:val="0"/>
                <w:numId w:val="14"/>
              </w:numPr>
              <w:spacing w:line="440" w:lineRule="exact"/>
              <w:ind w:firstLine="480" w:firstLineChars="200"/>
              <w:jc w:val="left"/>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硫化废气G2</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（非甲烷总烃、臭气浓度）</w:t>
            </w:r>
          </w:p>
          <w:p w14:paraId="21832517">
            <w:pPr>
              <w:numPr>
                <w:ilvl w:val="0"/>
                <w:numId w:val="0"/>
              </w:numPr>
              <w:spacing w:line="440" w:lineRule="exact"/>
              <w:ind w:firstLine="480" w:firstLineChars="200"/>
              <w:jc w:val="left"/>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①</w:t>
            </w:r>
            <w:r>
              <w:rPr>
                <w:rFonts w:hint="eastAsia"/>
                <w:color w:val="000000" w:themeColor="text1"/>
                <w:sz w:val="24"/>
                <w:highlight w:val="none"/>
                <w:lang w:val="en-US" w:eastAsia="zh-CN"/>
                <w14:textFill>
                  <w14:solidFill>
                    <w14:schemeClr w14:val="tx1"/>
                  </w14:solidFill>
                </w14:textFill>
              </w:rPr>
              <w:t>非甲烷总烃</w:t>
            </w:r>
          </w:p>
          <w:p w14:paraId="6B06E1CA">
            <w:pPr>
              <w:numPr>
                <w:ilvl w:val="0"/>
                <w:numId w:val="0"/>
              </w:numPr>
              <w:spacing w:line="440" w:lineRule="exact"/>
              <w:ind w:firstLine="480" w:firstLineChars="200"/>
              <w:jc w:val="left"/>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本项目</w:t>
            </w:r>
            <w:r>
              <w:rPr>
                <w:rFonts w:hint="eastAsia" w:cs="Times New Roman"/>
                <w:color w:val="000000" w:themeColor="text1"/>
                <w:sz w:val="24"/>
                <w:highlight w:val="none"/>
                <w:lang w:val="en-US" w:eastAsia="zh-CN"/>
                <w14:textFill>
                  <w14:solidFill>
                    <w14:schemeClr w14:val="tx1"/>
                  </w14:solidFill>
                </w14:textFill>
              </w:rPr>
              <w:t>硫化</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成型过程中会产生非甲烷总烃，</w:t>
            </w:r>
            <w:bookmarkStart w:id="4" w:name="sys18950143"/>
            <w:r>
              <w:rPr>
                <w:rFonts w:hint="eastAsia"/>
                <w:color w:val="000000" w:themeColor="text1"/>
                <w:sz w:val="24"/>
                <w:highlight w:val="none"/>
                <w14:textFill>
                  <w14:solidFill>
                    <w14:schemeClr w14:val="tx1"/>
                  </w14:solidFill>
                </w14:textFill>
              </w:rPr>
              <w:t>产污系数根据美国国家环保局EPA编制的AP-42中橡胶制品业排放因子列表给出</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硫化工序的</w:t>
            </w:r>
            <w:r>
              <w:rPr>
                <w:rFonts w:hint="eastAsia"/>
                <w:color w:val="000000" w:themeColor="text1"/>
                <w:sz w:val="24"/>
                <w:highlight w:val="none"/>
                <w14:textFill>
                  <w14:solidFill>
                    <w14:schemeClr w14:val="tx1"/>
                  </w14:solidFill>
                </w14:textFill>
              </w:rPr>
              <w:t>非甲烷总烃产污系数</w:t>
            </w:r>
            <w:r>
              <w:rPr>
                <w:rFonts w:hint="eastAsia"/>
                <w:color w:val="000000" w:themeColor="text1"/>
                <w:sz w:val="24"/>
                <w:highlight w:val="none"/>
                <w:lang w:val="en-US" w:eastAsia="zh-CN"/>
                <w14:textFill>
                  <w14:solidFill>
                    <w14:schemeClr w14:val="tx1"/>
                  </w14:solidFill>
                </w14:textFill>
              </w:rPr>
              <w:t>为2.11×10</w:t>
            </w:r>
            <w:r>
              <w:rPr>
                <w:rFonts w:hint="eastAsia"/>
                <w:color w:val="000000" w:themeColor="text1"/>
                <w:sz w:val="24"/>
                <w:highlight w:val="none"/>
                <w:vertAlign w:val="superscript"/>
                <w:lang w:val="en-US" w:eastAsia="zh-CN"/>
                <w14:textFill>
                  <w14:solidFill>
                    <w14:schemeClr w14:val="tx1"/>
                  </w14:solidFill>
                </w14:textFill>
              </w:rPr>
              <w:t>-4</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，本</w:t>
            </w:r>
            <w:bookmarkEnd w:id="4"/>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项目原料用量为50.06t/a，则非甲烷总烃产生量约为0.0</w:t>
            </w:r>
            <w:r>
              <w:rPr>
                <w:rFonts w:hint="eastAsia" w:cs="Times New Roman"/>
                <w:color w:val="000000" w:themeColor="text1"/>
                <w:sz w:val="24"/>
                <w:highlight w:val="none"/>
                <w:lang w:val="en-US" w:eastAsia="zh-CN"/>
                <w14:textFill>
                  <w14:solidFill>
                    <w14:schemeClr w14:val="tx1"/>
                  </w14:solidFill>
                </w14:textFill>
              </w:rPr>
              <w:t>106</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t/a。</w:t>
            </w:r>
          </w:p>
          <w:p w14:paraId="443738BF">
            <w:pPr>
              <w:adjustRightInd w:val="0"/>
              <w:snapToGrid w:val="0"/>
              <w:spacing w:line="460" w:lineRule="exact"/>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②臭气浓度</w:t>
            </w:r>
          </w:p>
          <w:p w14:paraId="02A74C72">
            <w:pPr>
              <w:numPr>
                <w:ilvl w:val="0"/>
                <w:numId w:val="0"/>
              </w:numPr>
              <w:spacing w:line="440" w:lineRule="exact"/>
              <w:ind w:firstLine="480" w:firstLineChars="200"/>
              <w:jc w:val="left"/>
              <w:rPr>
                <w:rFonts w:hint="eastAsia"/>
                <w:color w:val="000000" w:themeColor="text1"/>
                <w:highlight w:val="none"/>
                <w:lang w:eastAsia="zh-CN"/>
                <w14:textFill>
                  <w14:solidFill>
                    <w14:schemeClr w14:val="tx1"/>
                  </w14:solidFill>
                </w14:textFill>
              </w:rPr>
            </w:pPr>
            <w:r>
              <w:rPr>
                <w:rFonts w:hint="eastAsia"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本项目</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硫化</w:t>
            </w:r>
            <w:r>
              <w:rPr>
                <w:rFonts w:hint="eastAsia"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工序</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使用‌过氧化物硫化体系，</w:t>
            </w:r>
            <w:r>
              <w:rPr>
                <w:rFonts w:hint="eastAsia"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因此无</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硫化物污染物产生</w:t>
            </w:r>
            <w:r>
              <w:rPr>
                <w:rFonts w:hint="eastAsia"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w:t>
            </w:r>
            <w:r>
              <w:rPr>
                <w:color w:val="000000" w:themeColor="text1"/>
                <w:sz w:val="24"/>
                <w:highlight w:val="none"/>
                <w14:textFill>
                  <w14:solidFill>
                    <w14:schemeClr w14:val="tx1"/>
                  </w14:solidFill>
                </w14:textFill>
              </w:rPr>
              <w:t>本项目生产过程异味的气体来源于</w:t>
            </w:r>
            <w:r>
              <w:rPr>
                <w:rFonts w:hint="eastAsia" w:cs="Times New Roman"/>
                <w:color w:val="000000" w:themeColor="text1"/>
                <w:sz w:val="24"/>
                <w:highlight w:val="none"/>
                <w:lang w:val="en-US" w:eastAsia="zh-CN"/>
                <w14:textFill>
                  <w14:solidFill>
                    <w14:schemeClr w14:val="tx1"/>
                  </w14:solidFill>
                </w14:textFill>
              </w:rPr>
              <w:t>硫化</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成型</w:t>
            </w:r>
            <w:r>
              <w:rPr>
                <w:color w:val="000000" w:themeColor="text1"/>
                <w:sz w:val="24"/>
                <w:highlight w:val="none"/>
                <w14:textFill>
                  <w14:solidFill>
                    <w14:schemeClr w14:val="tx1"/>
                  </w14:solidFill>
                </w14:textFill>
              </w:rPr>
              <w:t>过程产生的</w:t>
            </w:r>
            <w:r>
              <w:rPr>
                <w:rFonts w:hint="eastAsia"/>
                <w:color w:val="000000" w:themeColor="text1"/>
                <w:sz w:val="24"/>
                <w:highlight w:val="none"/>
                <w:lang w:val="en-US" w:eastAsia="zh-CN"/>
                <w14:textFill>
                  <w14:solidFill>
                    <w14:schemeClr w14:val="tx1"/>
                  </w14:solidFill>
                </w14:textFill>
              </w:rPr>
              <w:t>叔丁醇、乙烷‌等</w:t>
            </w:r>
            <w:r>
              <w:rPr>
                <w:rFonts w:hint="default" w:ascii="Times New Roman" w:hAnsi="Times New Roman" w:eastAsia="宋体" w:cs="Times New Roman"/>
                <w:color w:val="000000" w:themeColor="text1"/>
                <w:sz w:val="24"/>
                <w:highlight w:val="none"/>
                <w:lang w:val="zh-CN"/>
                <w14:textFill>
                  <w14:solidFill>
                    <w14:schemeClr w14:val="tx1"/>
                  </w14:solidFill>
                </w14:textFill>
              </w:rPr>
              <w:t>污</w:t>
            </w:r>
            <w:r>
              <w:rPr>
                <w:rFonts w:hint="default" w:ascii="Times New Roman" w:hAnsi="Times New Roman" w:eastAsia="宋体" w:cs="Times New Roman"/>
                <w:color w:val="000000" w:themeColor="text1"/>
                <w:sz w:val="24"/>
                <w:highlight w:val="none"/>
                <w14:textFill>
                  <w14:solidFill>
                    <w14:schemeClr w14:val="tx1"/>
                  </w14:solidFill>
                </w14:textFill>
              </w:rPr>
              <w:t>染物</w:t>
            </w:r>
            <w:r>
              <w:rPr>
                <w:color w:val="000000" w:themeColor="text1"/>
                <w:sz w:val="24"/>
                <w:highlight w:val="none"/>
                <w14:textFill>
                  <w14:solidFill>
                    <w14:schemeClr w14:val="tx1"/>
                  </w14:solidFill>
                </w14:textFill>
              </w:rPr>
              <w:t>。恶臭为人们对恶臭物质所感知的</w:t>
            </w:r>
            <w:r>
              <w:rPr>
                <w:rFonts w:hint="eastAsia"/>
                <w:color w:val="000000" w:themeColor="text1"/>
                <w:sz w:val="24"/>
                <w:highlight w:val="none"/>
                <w:lang w:eastAsia="zh-CN"/>
                <w14:textFill>
                  <w14:solidFill>
                    <w14:schemeClr w14:val="tx1"/>
                  </w14:solidFill>
                </w14:textFill>
              </w:rPr>
              <w:t>一种</w:t>
            </w:r>
            <w:r>
              <w:rPr>
                <w:color w:val="000000" w:themeColor="text1"/>
                <w:sz w:val="24"/>
                <w:highlight w:val="none"/>
                <w14:textFill>
                  <w14:solidFill>
                    <w14:schemeClr w14:val="tx1"/>
                  </w14:solidFill>
                </w14:textFill>
              </w:rPr>
              <w:t>污染指标。其主要物质种类达上万种之多。由于其各类物质之间的相互作用（相加、协同、抵消及掩饰作用等），加之人类的嗅觉功能和恶臭物质取样分析等因素，迄今还难以对大多数恶臭物质作出浓度标准，目前我国只规定了八种恶臭污染物的</w:t>
            </w:r>
            <w:r>
              <w:rPr>
                <w:rFonts w:hint="eastAsia"/>
                <w:color w:val="000000" w:themeColor="text1"/>
                <w:sz w:val="24"/>
                <w:highlight w:val="none"/>
                <w:lang w:eastAsia="zh-CN"/>
                <w14:textFill>
                  <w14:solidFill>
                    <w14:schemeClr w14:val="tx1"/>
                  </w14:solidFill>
                </w14:textFill>
              </w:rPr>
              <w:t>一次</w:t>
            </w:r>
            <w:r>
              <w:rPr>
                <w:color w:val="000000" w:themeColor="text1"/>
                <w:sz w:val="24"/>
                <w:highlight w:val="none"/>
                <w14:textFill>
                  <w14:solidFill>
                    <w14:schemeClr w14:val="tx1"/>
                  </w14:solidFill>
                </w14:textFill>
              </w:rPr>
              <w:t>最大排放限值、复合恶臭物质的臭气浓度限值及无组织排放源的厂界浓度限值，即《恶臭污染物排放标准》（GB14554-1993）。本项目</w:t>
            </w:r>
            <w:r>
              <w:rPr>
                <w:rFonts w:hint="eastAsia"/>
                <w:color w:val="000000" w:themeColor="text1"/>
                <w:sz w:val="24"/>
                <w:highlight w:val="none"/>
                <w:lang w:val="en-US" w:eastAsia="zh-CN"/>
                <w14:textFill>
                  <w14:solidFill>
                    <w14:schemeClr w14:val="tx1"/>
                  </w14:solidFill>
                </w14:textFill>
              </w:rPr>
              <w:t>硫化剂</w:t>
            </w:r>
            <w:r>
              <w:rPr>
                <w:color w:val="000000" w:themeColor="text1"/>
                <w:sz w:val="24"/>
                <w:highlight w:val="none"/>
                <w14:textFill>
                  <w14:solidFill>
                    <w14:schemeClr w14:val="tx1"/>
                  </w14:solidFill>
                </w14:textFill>
              </w:rPr>
              <w:t>用量为</w:t>
            </w:r>
            <w:r>
              <w:rPr>
                <w:rFonts w:hint="eastAsia"/>
                <w:color w:val="000000" w:themeColor="text1"/>
                <w:sz w:val="24"/>
                <w:highlight w:val="none"/>
                <w:lang w:val="en-US" w:eastAsia="zh-CN"/>
                <w14:textFill>
                  <w14:solidFill>
                    <w14:schemeClr w14:val="tx1"/>
                  </w14:solidFill>
                </w14:textFill>
              </w:rPr>
              <w:t>0.05</w:t>
            </w:r>
            <w:r>
              <w:rPr>
                <w:color w:val="000000" w:themeColor="text1"/>
                <w:sz w:val="24"/>
                <w:highlight w:val="none"/>
                <w14:textFill>
                  <w14:solidFill>
                    <w14:schemeClr w14:val="tx1"/>
                  </w14:solidFill>
                </w14:textFill>
              </w:rPr>
              <w:t>t/a，臭气浓度</w:t>
            </w:r>
            <w:r>
              <w:rPr>
                <w:rFonts w:hint="eastAsia"/>
                <w:color w:val="000000" w:themeColor="text1"/>
                <w:sz w:val="24"/>
                <w:highlight w:val="none"/>
                <w:lang w:val="en-US" w:eastAsia="zh-CN"/>
                <w14:textFill>
                  <w14:solidFill>
                    <w14:schemeClr w14:val="tx1"/>
                  </w14:solidFill>
                </w14:textFill>
              </w:rPr>
              <w:t>产生量很小</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，本次不做定量分析</w:t>
            </w:r>
            <w:r>
              <w:rPr>
                <w:rFonts w:hint="eastAsia"/>
                <w:color w:val="000000" w:themeColor="text1"/>
                <w:highlight w:val="none"/>
                <w:lang w:eastAsia="zh-CN"/>
                <w14:textFill>
                  <w14:solidFill>
                    <w14:schemeClr w14:val="tx1"/>
                  </w14:solidFill>
                </w14:textFill>
              </w:rPr>
              <w:t>。</w:t>
            </w:r>
          </w:p>
          <w:p w14:paraId="026AB705">
            <w:pPr>
              <w:numPr>
                <w:ilvl w:val="0"/>
                <w:numId w:val="0"/>
              </w:numPr>
              <w:spacing w:line="440" w:lineRule="exact"/>
              <w:ind w:firstLine="480" w:firstLineChars="200"/>
              <w:jc w:val="left"/>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企业</w:t>
            </w:r>
            <w:r>
              <w:rPr>
                <w:rFonts w:hint="eastAsia" w:cs="Times New Roman"/>
                <w:color w:val="000000" w:themeColor="text1"/>
                <w:sz w:val="24"/>
                <w:highlight w:val="none"/>
                <w:lang w:val="en-US" w:eastAsia="zh-CN"/>
                <w14:textFill>
                  <w14:solidFill>
                    <w14:schemeClr w14:val="tx1"/>
                  </w14:solidFill>
                </w14:textFill>
              </w:rPr>
              <w:t>采用集气罩收集通过1套二级活性炭吸附装置</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（TA001）进行收集处理最终经15m高排气筒DA001排放。</w:t>
            </w:r>
          </w:p>
          <w:p w14:paraId="6B21A1FB">
            <w:pPr>
              <w:numPr>
                <w:ilvl w:val="0"/>
                <w:numId w:val="0"/>
              </w:numPr>
              <w:spacing w:line="440" w:lineRule="exact"/>
              <w:ind w:firstLine="480" w:firstLineChars="200"/>
              <w:jc w:val="left"/>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3）</w:t>
            </w:r>
            <w:r>
              <w:rPr>
                <w:rFonts w:hint="eastAsia"/>
                <w:color w:val="000000" w:themeColor="text1"/>
                <w:sz w:val="24"/>
                <w:highlight w:val="none"/>
                <w:lang w:val="en-US" w:eastAsia="zh-CN"/>
                <w14:textFill>
                  <w14:solidFill>
                    <w14:schemeClr w14:val="tx1"/>
                  </w14:solidFill>
                </w14:textFill>
              </w:rPr>
              <w:t>混合废气G3</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颗粒物</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p>
          <w:p w14:paraId="34D35AE7">
            <w:pPr>
              <w:numPr>
                <w:ilvl w:val="0"/>
                <w:numId w:val="0"/>
              </w:numPr>
              <w:spacing w:line="440" w:lineRule="exact"/>
              <w:ind w:firstLine="480" w:firstLineChars="200"/>
              <w:jc w:val="left"/>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本项目</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将</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色母</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投入</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塑料注射成型机进行</w:t>
            </w:r>
            <w:r>
              <w:rPr>
                <w:rFonts w:hint="default"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混合</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，会产生</w:t>
            </w:r>
            <w:r>
              <w:rPr>
                <w:rFonts w:hint="eastAsia"/>
                <w:color w:val="000000" w:themeColor="text1"/>
                <w:sz w:val="24"/>
                <w:highlight w:val="none"/>
                <w:lang w:val="en-US" w:eastAsia="zh-CN"/>
                <w14:textFill>
                  <w14:solidFill>
                    <w14:schemeClr w14:val="tx1"/>
                  </w14:solidFill>
                </w14:textFill>
              </w:rPr>
              <w:t>混合</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废气，以</w:t>
            </w:r>
            <w:r>
              <w:rPr>
                <w:rFonts w:hint="eastAsia" w:cs="Times New Roman"/>
                <w:color w:val="000000" w:themeColor="text1"/>
                <w:sz w:val="24"/>
                <w:highlight w:val="none"/>
                <w:lang w:val="en-US" w:eastAsia="zh-CN"/>
                <w14:textFill>
                  <w14:solidFill>
                    <w14:schemeClr w14:val="tx1"/>
                  </w14:solidFill>
                </w14:textFill>
              </w:rPr>
              <w:t>颗粒物</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计。本项目</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色母</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使用量为10kg/a，参考《逸散性工业粉尘控制技术》，产污系数为‌0.125kg/t粉状原料‌，</w:t>
            </w:r>
            <w:r>
              <w:rPr>
                <w:rFonts w:hint="eastAsia"/>
                <w:color w:val="000000" w:themeColor="text1"/>
                <w:sz w:val="24"/>
                <w:highlight w:val="none"/>
                <w:lang w:val="en-US" w:eastAsia="zh-CN"/>
                <w14:textFill>
                  <w14:solidFill>
                    <w14:schemeClr w14:val="tx1"/>
                  </w14:solidFill>
                </w14:textFill>
              </w:rPr>
              <w:t>混合</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过程废气产生量很小，本次不做定量分析。废气在车间无组织排放。</w:t>
            </w:r>
          </w:p>
          <w:p w14:paraId="43C045CA">
            <w:pPr>
              <w:numPr>
                <w:ilvl w:val="0"/>
                <w:numId w:val="0"/>
              </w:numPr>
              <w:spacing w:line="440" w:lineRule="exact"/>
              <w:ind w:firstLine="480" w:firstLineChars="200"/>
              <w:jc w:val="left"/>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4）</w:t>
            </w:r>
            <w:r>
              <w:rPr>
                <w:rFonts w:hint="eastAsia"/>
                <w:color w:val="000000" w:themeColor="text1"/>
                <w:sz w:val="24"/>
                <w:highlight w:val="none"/>
                <w:lang w:val="en-US" w:eastAsia="zh-CN"/>
                <w14:textFill>
                  <w14:solidFill>
                    <w14:schemeClr w14:val="tx1"/>
                  </w14:solidFill>
                </w14:textFill>
              </w:rPr>
              <w:t>成型废气G4</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非甲烷总烃</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、乙醛、四氢呋喃）</w:t>
            </w:r>
          </w:p>
          <w:p w14:paraId="4239332F">
            <w:pPr>
              <w:numPr>
                <w:ilvl w:val="0"/>
                <w:numId w:val="0"/>
              </w:numPr>
              <w:spacing w:line="440" w:lineRule="exact"/>
              <w:ind w:firstLine="480" w:firstLineChars="200"/>
              <w:jc w:val="left"/>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①废气</w:t>
            </w:r>
          </w:p>
          <w:p w14:paraId="408EAAFD">
            <w:pPr>
              <w:adjustRightInd w:val="0"/>
              <w:snapToGrid w:val="0"/>
              <w:spacing w:line="460" w:lineRule="exact"/>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w:t>
            </w:r>
            <w:r>
              <w:rPr>
                <w:rFonts w:hint="eastAsia"/>
                <w:color w:val="000000" w:themeColor="text1"/>
                <w:sz w:val="24"/>
                <w:highlight w:val="none"/>
                <w:lang w:val="en-US" w:eastAsia="zh-CN"/>
                <w14:textFill>
                  <w14:solidFill>
                    <w14:schemeClr w14:val="tx1"/>
                  </w14:solidFill>
                </w14:textFill>
              </w:rPr>
              <w:t>成型</w:t>
            </w:r>
            <w:r>
              <w:rPr>
                <w:color w:val="000000" w:themeColor="text1"/>
                <w:sz w:val="24"/>
                <w:highlight w:val="none"/>
                <w14:textFill>
                  <w14:solidFill>
                    <w14:schemeClr w14:val="tx1"/>
                  </w14:solidFill>
                </w14:textFill>
              </w:rPr>
              <w:t>废气按照《292塑料制品行业系数手册》2929塑料零件及其他塑料制品制造行业系数表（续表1），塑料零件配料-混合-挤出注塑过程中，非甲烷总烃的产污系数为2.7kg/t产品，</w:t>
            </w:r>
            <w:r>
              <w:rPr>
                <w:rFonts w:hint="eastAsia"/>
                <w:color w:val="000000" w:themeColor="text1"/>
                <w:sz w:val="24"/>
                <w:highlight w:val="none"/>
                <w:lang w:val="en-US" w:eastAsia="zh-CN"/>
                <w14:textFill>
                  <w14:solidFill>
                    <w14:schemeClr w14:val="tx1"/>
                  </w14:solidFill>
                </w14:textFill>
              </w:rPr>
              <w:t>本项目PBT树脂</w:t>
            </w:r>
            <w:r>
              <w:rPr>
                <w:color w:val="000000" w:themeColor="text1"/>
                <w:sz w:val="24"/>
                <w:highlight w:val="none"/>
                <w14:textFill>
                  <w14:solidFill>
                    <w14:schemeClr w14:val="tx1"/>
                  </w14:solidFill>
                </w14:textFill>
              </w:rPr>
              <w:t>用量为</w:t>
            </w:r>
            <w:r>
              <w:rPr>
                <w:rFonts w:hint="eastAsia"/>
                <w:color w:val="000000" w:themeColor="text1"/>
                <w:sz w:val="24"/>
                <w:highlight w:val="none"/>
                <w:lang w:val="en-US" w:eastAsia="zh-CN"/>
                <w14:textFill>
                  <w14:solidFill>
                    <w14:schemeClr w14:val="tx1"/>
                  </w14:solidFill>
                </w14:textFill>
              </w:rPr>
              <w:t>100</w:t>
            </w:r>
            <w:r>
              <w:rPr>
                <w:color w:val="000000" w:themeColor="text1"/>
                <w:sz w:val="24"/>
                <w:highlight w:val="none"/>
                <w14:textFill>
                  <w14:solidFill>
                    <w14:schemeClr w14:val="tx1"/>
                  </w14:solidFill>
                </w14:textFill>
              </w:rPr>
              <w:t>t/a，</w:t>
            </w:r>
            <w:r>
              <w:rPr>
                <w:rFonts w:hint="eastAsia" w:ascii="Times New Roman" w:hAnsi="Times New Roman" w:eastAsia="Arial"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色母</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使用量为0.01t/a，</w:t>
            </w:r>
            <w:r>
              <w:rPr>
                <w:color w:val="000000" w:themeColor="text1"/>
                <w:sz w:val="24"/>
                <w:highlight w:val="none"/>
                <w14:textFill>
                  <w14:solidFill>
                    <w14:schemeClr w14:val="tx1"/>
                  </w14:solidFill>
                </w14:textFill>
              </w:rPr>
              <w:t>产品</w:t>
            </w:r>
            <w:r>
              <w:rPr>
                <w:rFonts w:hint="eastAsia"/>
                <w:color w:val="000000" w:themeColor="text1"/>
                <w:sz w:val="24"/>
                <w:highlight w:val="none"/>
                <w:lang w:val="en-US" w:eastAsia="zh-CN"/>
                <w14:textFill>
                  <w14:solidFill>
                    <w14:schemeClr w14:val="tx1"/>
                  </w14:solidFill>
                </w14:textFill>
              </w:rPr>
              <w:t>产量约100t/a，</w:t>
            </w:r>
            <w:r>
              <w:rPr>
                <w:color w:val="000000" w:themeColor="text1"/>
                <w:sz w:val="24"/>
                <w:highlight w:val="none"/>
                <w14:textFill>
                  <w14:solidFill>
                    <w14:schemeClr w14:val="tx1"/>
                  </w14:solidFill>
                </w14:textFill>
              </w:rPr>
              <w:t>则非甲烷总烃产生量约为</w:t>
            </w:r>
            <w:r>
              <w:rPr>
                <w:rFonts w:hint="eastAsia"/>
                <w:color w:val="000000" w:themeColor="text1"/>
                <w:sz w:val="24"/>
                <w:highlight w:val="none"/>
                <w:lang w:val="en-US" w:eastAsia="zh-CN"/>
                <w14:textFill>
                  <w14:solidFill>
                    <w14:schemeClr w14:val="tx1"/>
                  </w14:solidFill>
                </w14:textFill>
              </w:rPr>
              <w:t>0.27</w:t>
            </w:r>
            <w:r>
              <w:rPr>
                <w:color w:val="000000" w:themeColor="text1"/>
                <w:sz w:val="24"/>
                <w:highlight w:val="none"/>
                <w14:textFill>
                  <w14:solidFill>
                    <w14:schemeClr w14:val="tx1"/>
                  </w14:solidFill>
                </w14:textFill>
              </w:rPr>
              <w:t>t/a。</w:t>
            </w:r>
          </w:p>
          <w:p w14:paraId="05407DBE">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left"/>
              <w:textAlignment w:val="auto"/>
              <w:rPr>
                <w:rFonts w:hint="eastAsia"/>
                <w:color w:val="000000" w:themeColor="text1"/>
                <w:sz w:val="24"/>
                <w:szCs w:val="24"/>
                <w:highlight w:val="none"/>
                <w:lang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PBT树脂</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（热塑性聚酯树脂）</w:t>
            </w:r>
            <w:r>
              <w:rPr>
                <w:color w:val="000000" w:themeColor="text1"/>
                <w:sz w:val="24"/>
                <w:szCs w:val="24"/>
                <w:highlight w:val="none"/>
                <w14:textFill>
                  <w14:solidFill>
                    <w14:schemeClr w14:val="tx1"/>
                  </w14:solidFill>
                </w14:textFill>
              </w:rPr>
              <w:t>会产生</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乙醛</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四氢呋喃</w:t>
            </w:r>
            <w:r>
              <w:rPr>
                <w:color w:val="000000" w:themeColor="text1"/>
                <w:sz w:val="24"/>
                <w:szCs w:val="24"/>
                <w:highlight w:val="none"/>
                <w14:textFill>
                  <w14:solidFill>
                    <w14:schemeClr w14:val="tx1"/>
                  </w14:solidFill>
                </w14:textFill>
              </w:rPr>
              <w:t>特征污染物</w:t>
            </w:r>
            <w:r>
              <w:rPr>
                <w:rFonts w:hint="eastAsia"/>
                <w:color w:val="000000" w:themeColor="text1"/>
                <w:sz w:val="24"/>
                <w:szCs w:val="24"/>
                <w:highlight w:val="none"/>
                <w:lang w:eastAsia="zh-CN"/>
                <w14:textFill>
                  <w14:solidFill>
                    <w14:schemeClr w14:val="tx1"/>
                  </w14:solidFill>
                </w14:textFill>
              </w:rPr>
              <w:t>。</w:t>
            </w:r>
          </w:p>
          <w:p w14:paraId="52DB0CC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left"/>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乙醛</w:t>
            </w:r>
            <w:r>
              <w:rPr>
                <w:rFonts w:hint="eastAsia" w:ascii="Times New Roman" w:hAnsi="Times New Roman" w:eastAsia="宋体" w:cs="Times New Roman"/>
                <w:color w:val="000000" w:themeColor="text1"/>
                <w:sz w:val="24"/>
                <w:szCs w:val="24"/>
                <w:highlight w:val="none"/>
                <w14:textFill>
                  <w14:solidFill>
                    <w14:schemeClr w14:val="tx1"/>
                  </w14:solidFill>
                </w14:textFill>
              </w:rPr>
              <w:t>参考《&lt;包装用塑料制品配方讲座&gt;第19讲工程热塑性聚酯的性能及其在包装上的应用》（周详兴，广东包装[J]，2009（2）：78-78）中介绍了一种工程热塑性塑料中乙醛含量为30mg/kg原料。本项目PBT用量</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为100</w:t>
            </w:r>
            <w:r>
              <w:rPr>
                <w:rFonts w:hint="eastAsia" w:ascii="Times New Roman" w:hAnsi="Times New Roman" w:eastAsia="宋体" w:cs="Times New Roman"/>
                <w:color w:val="000000" w:themeColor="text1"/>
                <w:sz w:val="24"/>
                <w:szCs w:val="24"/>
                <w:highlight w:val="none"/>
                <w14:textFill>
                  <w14:solidFill>
                    <w14:schemeClr w14:val="tx1"/>
                  </w14:solidFill>
                </w14:textFill>
              </w:rPr>
              <w:t>t/a，则乙醛的产生量为0.00</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highlight w:val="none"/>
                <w14:textFill>
                  <w14:solidFill>
                    <w14:schemeClr w14:val="tx1"/>
                  </w14:solidFill>
                </w14:textFill>
              </w:rPr>
              <w:t>t/a。</w:t>
            </w:r>
          </w:p>
          <w:p w14:paraId="3B40B0C4">
            <w:pPr>
              <w:numPr>
                <w:ilvl w:val="0"/>
                <w:numId w:val="0"/>
              </w:numPr>
              <w:spacing w:line="440" w:lineRule="exact"/>
              <w:ind w:firstLine="480" w:firstLineChars="200"/>
              <w:jc w:val="left"/>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四氢呋喃</w:t>
            </w:r>
            <w:r>
              <w:rPr>
                <w:rFonts w:hint="eastAsia" w:cs="Times New Roman"/>
                <w:color w:val="000000" w:themeColor="text1"/>
                <w:sz w:val="24"/>
                <w:highlight w:val="none"/>
                <w:lang w:val="en-US" w:eastAsia="zh-CN"/>
                <w14:textFill>
                  <w14:solidFill>
                    <w14:schemeClr w14:val="tx1"/>
                  </w14:solidFill>
                </w14:textFill>
              </w:rPr>
              <w:t>参考</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《PBT成品中游离THF含量的分析》</w:t>
            </w:r>
            <w:r>
              <w:rPr>
                <w:rFonts w:hint="eastAsia" w:cs="Times New Roman"/>
                <w:color w:val="000000" w:themeColor="text1"/>
                <w:sz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作者为苏凤仙、张建，刊载于《合成技术及应用》2017年9月期刊</w:t>
            </w:r>
            <w:r>
              <w:rPr>
                <w:rFonts w:hint="eastAsia" w:cs="Times New Roman"/>
                <w:color w:val="000000" w:themeColor="text1"/>
                <w:sz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，文献通过实验测定得到PBT树脂中游离四氢呋喃的质量占比约为0.0337%</w:t>
            </w:r>
            <w:r>
              <w:rPr>
                <w:rFonts w:hint="eastAsia" w:cs="Times New Roman"/>
                <w:color w:val="000000" w:themeColor="text1"/>
                <w:sz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若按残余成分全部挥发计算，对应产污系数约为‌0.337kg/tPBT</w:t>
            </w:r>
            <w:r>
              <w:rPr>
                <w:rFonts w:hint="eastAsia" w:cs="Times New Roman"/>
                <w:color w:val="000000" w:themeColor="text1"/>
                <w:sz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14:textFill>
                  <w14:solidFill>
                    <w14:schemeClr w14:val="tx1"/>
                  </w14:solidFill>
                </w14:textFill>
              </w:rPr>
              <w:t>本项目PBT用量</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为100</w:t>
            </w:r>
            <w:r>
              <w:rPr>
                <w:rFonts w:hint="eastAsia" w:ascii="Times New Roman" w:hAnsi="Times New Roman" w:eastAsia="宋体" w:cs="Times New Roman"/>
                <w:color w:val="000000" w:themeColor="text1"/>
                <w:sz w:val="24"/>
                <w:szCs w:val="24"/>
                <w:highlight w:val="none"/>
                <w14:textFill>
                  <w14:solidFill>
                    <w14:schemeClr w14:val="tx1"/>
                  </w14:solidFill>
                </w14:textFill>
              </w:rPr>
              <w:t>t/a，</w:t>
            </w:r>
            <w:r>
              <w:rPr>
                <w:rFonts w:hint="eastAsia" w:cs="Times New Roman"/>
                <w:color w:val="000000" w:themeColor="text1"/>
                <w:sz w:val="24"/>
                <w:highlight w:val="none"/>
                <w:lang w:val="en-US" w:eastAsia="zh-CN"/>
                <w14:textFill>
                  <w14:solidFill>
                    <w14:schemeClr w14:val="tx1"/>
                  </w14:solidFill>
                </w14:textFill>
              </w:rPr>
              <w:t>则</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四氢呋喃</w:t>
            </w:r>
            <w:r>
              <w:rPr>
                <w:color w:val="000000" w:themeColor="text1"/>
                <w:sz w:val="24"/>
                <w:highlight w:val="none"/>
                <w14:textFill>
                  <w14:solidFill>
                    <w14:schemeClr w14:val="tx1"/>
                  </w14:solidFill>
                </w14:textFill>
              </w:rPr>
              <w:t>产生量约为</w:t>
            </w:r>
            <w:r>
              <w:rPr>
                <w:rFonts w:hint="eastAsia"/>
                <w:color w:val="000000" w:themeColor="text1"/>
                <w:sz w:val="24"/>
                <w:highlight w:val="none"/>
                <w:lang w:val="en-US" w:eastAsia="zh-CN"/>
                <w14:textFill>
                  <w14:solidFill>
                    <w14:schemeClr w14:val="tx1"/>
                  </w14:solidFill>
                </w14:textFill>
              </w:rPr>
              <w:t>0.0337</w:t>
            </w:r>
            <w:r>
              <w:rPr>
                <w:color w:val="000000" w:themeColor="text1"/>
                <w:sz w:val="24"/>
                <w:highlight w:val="none"/>
                <w14:textFill>
                  <w14:solidFill>
                    <w14:schemeClr w14:val="tx1"/>
                  </w14:solidFill>
                </w14:textFill>
              </w:rPr>
              <w:t>t/a。</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p>
          <w:p w14:paraId="597BE9E6">
            <w:pPr>
              <w:adjustRightInd w:val="0"/>
              <w:snapToGrid w:val="0"/>
              <w:spacing w:line="460" w:lineRule="exact"/>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②臭气浓度</w:t>
            </w:r>
          </w:p>
          <w:p w14:paraId="696C2687">
            <w:pPr>
              <w:numPr>
                <w:ilvl w:val="0"/>
                <w:numId w:val="0"/>
              </w:numPr>
              <w:spacing w:line="440" w:lineRule="exact"/>
              <w:ind w:firstLine="480" w:firstLineChars="200"/>
              <w:jc w:val="left"/>
              <w:rPr>
                <w:rFonts w:hint="eastAsia"/>
                <w:color w:val="000000" w:themeColor="text1"/>
                <w:highlight w:val="none"/>
                <w:lang w:eastAsia="zh-CN"/>
                <w14:textFill>
                  <w14:solidFill>
                    <w14:schemeClr w14:val="tx1"/>
                  </w14:solidFill>
                </w14:textFill>
              </w:rPr>
            </w:pPr>
            <w:r>
              <w:rPr>
                <w:color w:val="000000" w:themeColor="text1"/>
                <w:sz w:val="24"/>
                <w:highlight w:val="none"/>
                <w14:textFill>
                  <w14:solidFill>
                    <w14:schemeClr w14:val="tx1"/>
                  </w14:solidFill>
                </w14:textFill>
              </w:rPr>
              <w:t>本项目生产过程异味的气体来源于</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成型</w:t>
            </w:r>
            <w:r>
              <w:rPr>
                <w:color w:val="000000" w:themeColor="text1"/>
                <w:sz w:val="24"/>
                <w:highlight w:val="none"/>
                <w14:textFill>
                  <w14:solidFill>
                    <w14:schemeClr w14:val="tx1"/>
                  </w14:solidFill>
                </w14:textFill>
              </w:rPr>
              <w:t>过程产生的</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乙醛</w:t>
            </w:r>
            <w:r>
              <w:rPr>
                <w:rFonts w:hint="default" w:ascii="Times New Roman" w:hAnsi="Times New Roman" w:eastAsia="宋体" w:cs="Times New Roman"/>
                <w:color w:val="000000" w:themeColor="text1"/>
                <w:sz w:val="24"/>
                <w:highlight w:val="none"/>
                <w:lang w:val="zh-CN"/>
                <w14:textFill>
                  <w14:solidFill>
                    <w14:schemeClr w14:val="tx1"/>
                  </w14:solidFill>
                </w14:textFill>
              </w:rPr>
              <w:t>污</w:t>
            </w:r>
            <w:r>
              <w:rPr>
                <w:rFonts w:hint="default" w:ascii="Times New Roman" w:hAnsi="Times New Roman" w:eastAsia="宋体" w:cs="Times New Roman"/>
                <w:color w:val="000000" w:themeColor="text1"/>
                <w:sz w:val="24"/>
                <w:highlight w:val="none"/>
                <w14:textFill>
                  <w14:solidFill>
                    <w14:schemeClr w14:val="tx1"/>
                  </w14:solidFill>
                </w14:textFill>
              </w:rPr>
              <w:t>染物</w:t>
            </w:r>
            <w:r>
              <w:rPr>
                <w:color w:val="000000" w:themeColor="text1"/>
                <w:sz w:val="24"/>
                <w:highlight w:val="none"/>
                <w14:textFill>
                  <w14:solidFill>
                    <w14:schemeClr w14:val="tx1"/>
                  </w14:solidFill>
                </w14:textFill>
              </w:rPr>
              <w:t>。恶臭为人们对恶臭物质所感知的</w:t>
            </w:r>
            <w:r>
              <w:rPr>
                <w:rFonts w:hint="eastAsia"/>
                <w:color w:val="000000" w:themeColor="text1"/>
                <w:sz w:val="24"/>
                <w:highlight w:val="none"/>
                <w:lang w:eastAsia="zh-CN"/>
                <w14:textFill>
                  <w14:solidFill>
                    <w14:schemeClr w14:val="tx1"/>
                  </w14:solidFill>
                </w14:textFill>
              </w:rPr>
              <w:t>一种</w:t>
            </w:r>
            <w:r>
              <w:rPr>
                <w:color w:val="000000" w:themeColor="text1"/>
                <w:sz w:val="24"/>
                <w:highlight w:val="none"/>
                <w14:textFill>
                  <w14:solidFill>
                    <w14:schemeClr w14:val="tx1"/>
                  </w14:solidFill>
                </w14:textFill>
              </w:rPr>
              <w:t>污染指标。其主要物质种类达上万种之多。由于其各类物质之间的相互作用（相加、协同、抵消及掩饰作用等），加之人类的嗅觉功能和恶臭物质取样分析等因素，迄今还难以对大多数恶臭物质作出浓度标准，目前我国只规定了八种恶臭污染物的</w:t>
            </w:r>
            <w:r>
              <w:rPr>
                <w:rFonts w:hint="eastAsia"/>
                <w:color w:val="000000" w:themeColor="text1"/>
                <w:sz w:val="24"/>
                <w:highlight w:val="none"/>
                <w:lang w:eastAsia="zh-CN"/>
                <w14:textFill>
                  <w14:solidFill>
                    <w14:schemeClr w14:val="tx1"/>
                  </w14:solidFill>
                </w14:textFill>
              </w:rPr>
              <w:t>一次</w:t>
            </w:r>
            <w:r>
              <w:rPr>
                <w:color w:val="000000" w:themeColor="text1"/>
                <w:sz w:val="24"/>
                <w:highlight w:val="none"/>
                <w14:textFill>
                  <w14:solidFill>
                    <w14:schemeClr w14:val="tx1"/>
                  </w14:solidFill>
                </w14:textFill>
              </w:rPr>
              <w:t>最大排放限值、复合恶臭物质的臭气浓度限值及无组织排放源的厂界浓度限值，即《恶臭污染物排放标准》（GB14554-1993）。本项目臭气浓度</w:t>
            </w:r>
            <w:r>
              <w:rPr>
                <w:rFonts w:hint="eastAsia"/>
                <w:color w:val="000000" w:themeColor="text1"/>
                <w:sz w:val="24"/>
                <w:highlight w:val="none"/>
                <w:lang w:val="en-US" w:eastAsia="zh-CN"/>
                <w14:textFill>
                  <w14:solidFill>
                    <w14:schemeClr w14:val="tx1"/>
                  </w14:solidFill>
                </w14:textFill>
              </w:rPr>
              <w:t>产生量很小</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，本次不做定量分析</w:t>
            </w:r>
            <w:r>
              <w:rPr>
                <w:rFonts w:hint="eastAsia"/>
                <w:color w:val="000000" w:themeColor="text1"/>
                <w:highlight w:val="none"/>
                <w:lang w:eastAsia="zh-CN"/>
                <w14:textFill>
                  <w14:solidFill>
                    <w14:schemeClr w14:val="tx1"/>
                  </w14:solidFill>
                </w14:textFill>
              </w:rPr>
              <w:t>。</w:t>
            </w:r>
          </w:p>
          <w:p w14:paraId="05D7E5E9">
            <w:pPr>
              <w:numPr>
                <w:ilvl w:val="0"/>
                <w:numId w:val="0"/>
              </w:numPr>
              <w:spacing w:line="440" w:lineRule="exact"/>
              <w:ind w:firstLine="480" w:firstLineChars="200"/>
              <w:jc w:val="left"/>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企业采用集气罩收集通过二级活性炭吸附装置（TA00</w:t>
            </w:r>
            <w:r>
              <w:rPr>
                <w:rFonts w:hint="eastAsia" w:cs="Times New Roman"/>
                <w:color w:val="000000" w:themeColor="text1"/>
                <w:sz w:val="24"/>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）进行收集处理最终经15m高排气筒DA00</w:t>
            </w:r>
            <w:r>
              <w:rPr>
                <w:rFonts w:hint="eastAsia" w:cs="Times New Roman"/>
                <w:color w:val="000000" w:themeColor="text1"/>
                <w:sz w:val="24"/>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排放。</w:t>
            </w:r>
          </w:p>
          <w:p w14:paraId="0CDFEDD6">
            <w:pPr>
              <w:spacing w:line="440" w:lineRule="exact"/>
              <w:ind w:firstLine="480" w:firstLineChars="200"/>
              <w:jc w:val="left"/>
              <w:rPr>
                <w:rFonts w:hint="eastAsia" w:eastAsia="宋体"/>
                <w:color w:val="000000" w:themeColor="text1"/>
                <w:sz w:val="24"/>
                <w:highlight w:val="none"/>
                <w:lang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5）</w:t>
            </w:r>
            <w:r>
              <w:rPr>
                <w:rFonts w:hint="eastAsia"/>
                <w:color w:val="000000" w:themeColor="text1"/>
                <w:sz w:val="24"/>
                <w:highlight w:val="none"/>
                <w:lang w:eastAsia="zh-CN"/>
                <w14:textFill>
                  <w14:solidFill>
                    <w14:schemeClr w14:val="tx1"/>
                  </w14:solidFill>
                </w14:textFill>
              </w:rPr>
              <w:t>危废仓库废气G</w:t>
            </w:r>
            <w:r>
              <w:rPr>
                <w:rFonts w:hint="eastAsia"/>
                <w:color w:val="000000" w:themeColor="text1"/>
                <w:sz w:val="24"/>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sz w:val="24"/>
                <w:highlight w:val="none"/>
                <w14:textFill>
                  <w14:solidFill>
                    <w14:schemeClr w14:val="tx1"/>
                  </w14:solidFill>
                </w14:textFill>
              </w:rPr>
              <w:t>非甲烷总烃</w:t>
            </w:r>
            <w:r>
              <w:rPr>
                <w:rFonts w:hint="eastAsia"/>
                <w:color w:val="000000" w:themeColor="text1"/>
                <w:sz w:val="24"/>
                <w:highlight w:val="none"/>
                <w:lang w:val="en-US" w:eastAsia="zh-CN"/>
                <w14:textFill>
                  <w14:solidFill>
                    <w14:schemeClr w14:val="tx1"/>
                  </w14:solidFill>
                </w14:textFill>
              </w:rPr>
              <w:t>）</w:t>
            </w:r>
          </w:p>
          <w:p w14:paraId="641A0446">
            <w:pPr>
              <w:spacing w:line="440" w:lineRule="exact"/>
              <w:ind w:firstLine="480" w:firstLineChars="200"/>
              <w:jc w:val="left"/>
              <w:rPr>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
                <w14:textFill>
                  <w14:solidFill>
                    <w14:schemeClr w14:val="tx1"/>
                  </w14:solidFill>
                </w14:textFill>
              </w:rPr>
              <w:t>危险废物暂存期间会有少量解析逸散废气（以非甲烷总烃计）产生。参照美国环保局网站</w:t>
            </w:r>
            <w:r>
              <w:rPr>
                <w:rFonts w:hint="default"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AP-42</w:t>
            </w:r>
            <w:r>
              <w:rPr>
                <w:rFonts w:hint="eastAsia" w:ascii="宋体" w:hAnsi="宋体" w:eastAsia="宋体" w:cs="宋体"/>
                <w:color w:val="000000" w:themeColor="text1"/>
                <w:kern w:val="2"/>
                <w:sz w:val="24"/>
                <w:szCs w:val="24"/>
                <w:highlight w:val="none"/>
                <w:lang w:val="en-US" w:eastAsia="zh-CN" w:bidi="ar"/>
                <w14:textFill>
                  <w14:solidFill>
                    <w14:schemeClr w14:val="tx1"/>
                  </w14:solidFill>
                </w14:textFill>
              </w:rPr>
              <w:t>空气排放因子汇编中</w:t>
            </w:r>
            <w:r>
              <w:rPr>
                <w:rFonts w:hint="default"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w:t>
            </w:r>
            <w:r>
              <w:rPr>
                <w:rFonts w:hint="eastAsia" w:ascii="宋体" w:hAnsi="宋体" w:eastAsia="宋体" w:cs="宋体"/>
                <w:color w:val="000000" w:themeColor="text1"/>
                <w:kern w:val="2"/>
                <w:sz w:val="24"/>
                <w:szCs w:val="24"/>
                <w:highlight w:val="none"/>
                <w:lang w:val="en-US" w:eastAsia="zh-CN" w:bidi="ar"/>
                <w14:textFill>
                  <w14:solidFill>
                    <w14:schemeClr w14:val="tx1"/>
                  </w14:solidFill>
                </w14:textFill>
              </w:rPr>
              <w:t>废物处置－工业固废处置－储存－容器逃逸排放</w:t>
            </w:r>
            <w:r>
              <w:rPr>
                <w:rFonts w:hint="default"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w:t>
            </w:r>
            <w:r>
              <w:rPr>
                <w:rFonts w:hint="eastAsia" w:ascii="宋体" w:hAnsi="宋体" w:eastAsia="宋体" w:cs="宋体"/>
                <w:color w:val="000000" w:themeColor="text1"/>
                <w:kern w:val="2"/>
                <w:sz w:val="24"/>
                <w:szCs w:val="24"/>
                <w:highlight w:val="none"/>
                <w:lang w:val="en-US" w:eastAsia="zh-CN" w:bidi="ar"/>
                <w14:textFill>
                  <w14:solidFill>
                    <w14:schemeClr w14:val="tx1"/>
                  </w14:solidFill>
                </w14:textFill>
              </w:rPr>
              <w:t>工序中的</w:t>
            </w:r>
            <w:r>
              <w:rPr>
                <w:rFonts w:hint="default"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VOCs</w:t>
            </w:r>
            <w:r>
              <w:rPr>
                <w:rFonts w:hint="eastAsia" w:ascii="宋体" w:hAnsi="宋体" w:eastAsia="宋体" w:cs="宋体"/>
                <w:color w:val="000000" w:themeColor="text1"/>
                <w:kern w:val="2"/>
                <w:sz w:val="24"/>
                <w:szCs w:val="24"/>
                <w:highlight w:val="none"/>
                <w:lang w:val="en-US" w:eastAsia="zh-CN" w:bidi="ar"/>
                <w14:textFill>
                  <w14:solidFill>
                    <w14:schemeClr w14:val="tx1"/>
                  </w14:solidFill>
                </w14:textFill>
              </w:rPr>
              <w:t>产生因子</w:t>
            </w:r>
            <w:r>
              <w:rPr>
                <w:rFonts w:hint="default"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2.22×10</w:t>
            </w:r>
            <w:r>
              <w:rPr>
                <w:rFonts w:hint="default" w:ascii="Times New Roman" w:hAnsi="Times New Roman" w:eastAsia="宋体" w:cs="Times New Roman"/>
                <w:color w:val="000000" w:themeColor="text1"/>
                <w:kern w:val="2"/>
                <w:sz w:val="24"/>
                <w:szCs w:val="24"/>
                <w:highlight w:val="none"/>
                <w:vertAlign w:val="superscript"/>
                <w:lang w:val="en-US" w:eastAsia="zh-CN" w:bidi="ar"/>
                <w14:textFill>
                  <w14:solidFill>
                    <w14:schemeClr w14:val="tx1"/>
                  </w14:solidFill>
                </w14:textFill>
              </w:rPr>
              <w:t>2</w:t>
            </w:r>
            <w:r>
              <w:rPr>
                <w:rFonts w:hint="eastAsia" w:ascii="宋体" w:hAnsi="宋体" w:eastAsia="宋体" w:cs="宋体"/>
                <w:color w:val="000000" w:themeColor="text1"/>
                <w:kern w:val="2"/>
                <w:sz w:val="24"/>
                <w:szCs w:val="24"/>
                <w:highlight w:val="none"/>
                <w:lang w:val="en-US" w:eastAsia="zh-CN" w:bidi="ar"/>
                <w14:textFill>
                  <w14:solidFill>
                    <w14:schemeClr w14:val="tx1"/>
                  </w14:solidFill>
                </w14:textFill>
              </w:rPr>
              <w:t>磅</w:t>
            </w:r>
            <w:r>
              <w:rPr>
                <w:rFonts w:hint="default"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/1000</w:t>
            </w:r>
            <w:r>
              <w:rPr>
                <w:rFonts w:hint="eastAsia" w:ascii="宋体" w:hAnsi="宋体" w:eastAsia="宋体" w:cs="宋体"/>
                <w:color w:val="000000" w:themeColor="text1"/>
                <w:kern w:val="2"/>
                <w:sz w:val="24"/>
                <w:szCs w:val="24"/>
                <w:highlight w:val="none"/>
                <w:lang w:val="en-US" w:eastAsia="zh-CN" w:bidi="ar"/>
                <w14:textFill>
                  <w14:solidFill>
                    <w14:schemeClr w14:val="tx1"/>
                  </w14:solidFill>
                </w14:textFill>
              </w:rPr>
              <w:t>个</w:t>
            </w:r>
            <w:r>
              <w:rPr>
                <w:rFonts w:hint="default"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55</w:t>
            </w:r>
            <w:r>
              <w:rPr>
                <w:rFonts w:hint="eastAsia" w:ascii="宋体" w:hAnsi="宋体" w:eastAsia="宋体" w:cs="宋体"/>
                <w:color w:val="000000" w:themeColor="text1"/>
                <w:kern w:val="2"/>
                <w:sz w:val="24"/>
                <w:szCs w:val="24"/>
                <w:highlight w:val="none"/>
                <w:lang w:val="en-US" w:eastAsia="zh-CN" w:bidi="ar"/>
                <w14:textFill>
                  <w14:solidFill>
                    <w14:schemeClr w14:val="tx1"/>
                  </w14:solidFill>
                </w14:textFill>
              </w:rPr>
              <w:t>加仑容器年，折算成</w:t>
            </w:r>
            <w:r>
              <w:rPr>
                <w:rFonts w:hint="default"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VOCs</w:t>
            </w:r>
            <w:r>
              <w:rPr>
                <w:rFonts w:hint="eastAsia" w:ascii="宋体" w:hAnsi="宋体" w:eastAsia="宋体" w:cs="宋体"/>
                <w:color w:val="000000" w:themeColor="text1"/>
                <w:kern w:val="2"/>
                <w:sz w:val="24"/>
                <w:szCs w:val="24"/>
                <w:highlight w:val="none"/>
                <w:lang w:val="en-US" w:eastAsia="zh-CN" w:bidi="ar"/>
                <w14:textFill>
                  <w14:solidFill>
                    <w14:schemeClr w14:val="tx1"/>
                  </w14:solidFill>
                </w14:textFill>
              </w:rPr>
              <w:t>排放系数为</w:t>
            </w:r>
            <w:r>
              <w:rPr>
                <w:rFonts w:hint="default"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100.7kg/200t固废年，即0.5035kg/t固废年，本项目新增挥发有机废气的危废产生量</w:t>
            </w:r>
            <w:r>
              <w:rPr>
                <w:rFonts w:hint="eastAsia" w:cs="Times New Roman"/>
                <w:color w:val="000000" w:themeColor="text1"/>
                <w:kern w:val="2"/>
                <w:sz w:val="24"/>
                <w:szCs w:val="24"/>
                <w:highlight w:val="none"/>
                <w:lang w:val="en-US" w:eastAsia="zh-CN" w:bidi="ar"/>
                <w14:textFill>
                  <w14:solidFill>
                    <w14:schemeClr w14:val="tx1"/>
                  </w14:solidFill>
                </w14:textFill>
              </w:rPr>
              <w:t>0.6</w:t>
            </w:r>
            <w:r>
              <w:rPr>
                <w:rFonts w:hint="default"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t/a，危废储存量较少，且日常密封贮存，</w:t>
            </w:r>
            <w:r>
              <w:rPr>
                <w:rFonts w:hint="eastAsia" w:cs="Times New Roman"/>
                <w:color w:val="000000" w:themeColor="text1"/>
                <w:kern w:val="2"/>
                <w:sz w:val="24"/>
                <w:szCs w:val="24"/>
                <w:highlight w:val="none"/>
                <w:lang w:val="en-US" w:eastAsia="zh-CN" w:bidi="ar"/>
                <w14:textFill>
                  <w14:solidFill>
                    <w14:schemeClr w14:val="tx1"/>
                  </w14:solidFill>
                </w14:textFill>
              </w:rPr>
              <w:t>产生的</w:t>
            </w:r>
            <w:r>
              <w:rPr>
                <w:rFonts w:hint="eastAsia"/>
                <w:color w:val="000000" w:themeColor="text1"/>
                <w:sz w:val="24"/>
                <w:highlight w:val="none"/>
                <w14:textFill>
                  <w14:solidFill>
                    <w14:schemeClr w14:val="tx1"/>
                  </w14:solidFill>
                </w14:textFill>
              </w:rPr>
              <w:t>危废仓库废气</w:t>
            </w:r>
            <w:r>
              <w:rPr>
                <w:rFonts w:hint="eastAsia"/>
                <w:color w:val="000000" w:themeColor="text1"/>
                <w:sz w:val="24"/>
                <w:highlight w:val="none"/>
                <w:lang w:val="en-US" w:eastAsia="zh-CN"/>
                <w14:textFill>
                  <w14:solidFill>
                    <w14:schemeClr w14:val="tx1"/>
                  </w14:solidFill>
                </w14:textFill>
              </w:rPr>
              <w:t>约0.3kg/a</w:t>
            </w:r>
            <w:r>
              <w:rPr>
                <w:rFonts w:hint="default"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，故危废仓库废气不进行定量分析。危废仓库废气无组织排放</w:t>
            </w:r>
            <w:r>
              <w:rPr>
                <w:rFonts w:hint="eastAsia"/>
                <w:color w:val="000000" w:themeColor="text1"/>
                <w:sz w:val="24"/>
                <w:highlight w:val="none"/>
                <w:lang w:bidi="zh-CN"/>
                <w14:textFill>
                  <w14:solidFill>
                    <w14:schemeClr w14:val="tx1"/>
                  </w14:solidFill>
                </w14:textFill>
              </w:rPr>
              <w:t>。</w:t>
            </w:r>
          </w:p>
        </w:tc>
      </w:tr>
    </w:tbl>
    <w:p w14:paraId="68931166">
      <w:pPr>
        <w:pStyle w:val="34"/>
        <w:jc w:val="center"/>
        <w:outlineLvl w:val="0"/>
        <w:rPr>
          <w:rFonts w:ascii="Times New Roman" w:hAnsi="Times New Roman"/>
          <w:snapToGrid w:val="0"/>
          <w:color w:val="000000" w:themeColor="text1"/>
          <w:sz w:val="30"/>
          <w:szCs w:val="30"/>
          <w:highlight w:val="none"/>
          <w14:textFill>
            <w14:solidFill>
              <w14:schemeClr w14:val="tx1"/>
            </w14:solidFill>
          </w14:textFill>
        </w:rPr>
        <w:sectPr>
          <w:footerReference r:id="rId7" w:type="default"/>
          <w:pgSz w:w="11907" w:h="16840"/>
          <w:pgMar w:top="1701" w:right="1531" w:bottom="2127"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7EEDD7DF">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本项目主要污染物源强核算见下表。</w:t>
      </w:r>
    </w:p>
    <w:p w14:paraId="6786E555">
      <w:pPr>
        <w:pStyle w:val="125"/>
        <w:numPr>
          <w:ilvl w:val="0"/>
          <w:numId w:val="0"/>
        </w:numPr>
        <w:spacing w:line="440" w:lineRule="exact"/>
        <w:rPr>
          <w:rFonts w:hint="default"/>
          <w:color w:val="000000" w:themeColor="text1"/>
          <w:sz w:val="24"/>
          <w:highlight w:val="none"/>
          <w14:textFill>
            <w14:solidFill>
              <w14:schemeClr w14:val="tx1"/>
            </w14:solidFill>
          </w14:textFill>
        </w:rPr>
      </w:pPr>
      <w:r>
        <w:rPr>
          <w:rFonts w:hint="default"/>
          <w:color w:val="000000" w:themeColor="text1"/>
          <w:sz w:val="24"/>
          <w:highlight w:val="none"/>
          <w14:textFill>
            <w14:solidFill>
              <w14:schemeClr w14:val="tx1"/>
            </w14:solidFill>
          </w14:textFill>
        </w:rPr>
        <w:t>表4-</w:t>
      </w:r>
      <w:r>
        <w:rPr>
          <w:color w:val="000000" w:themeColor="text1"/>
          <w:sz w:val="24"/>
          <w:highlight w:val="none"/>
          <w14:textFill>
            <w14:solidFill>
              <w14:schemeClr w14:val="tx1"/>
            </w14:solidFill>
          </w14:textFill>
        </w:rPr>
        <w:t>1</w:t>
      </w:r>
      <w:r>
        <w:rPr>
          <w:rFonts w:hint="eastAsia"/>
          <w:color w:val="000000" w:themeColor="text1"/>
          <w:sz w:val="24"/>
          <w:highlight w:val="none"/>
          <w:lang w:val="en-US" w:eastAsia="zh-CN"/>
          <w14:textFill>
            <w14:solidFill>
              <w14:schemeClr w14:val="tx1"/>
            </w14:solidFill>
          </w14:textFill>
        </w:rPr>
        <w:t xml:space="preserve">  </w:t>
      </w:r>
      <w:r>
        <w:rPr>
          <w:rFonts w:hint="default"/>
          <w:color w:val="000000" w:themeColor="text1"/>
          <w:sz w:val="24"/>
          <w:highlight w:val="none"/>
          <w14:textFill>
            <w14:solidFill>
              <w14:schemeClr w14:val="tx1"/>
            </w14:solidFill>
          </w14:textFill>
        </w:rPr>
        <w:t>本项目废气污染物源强核算一览表</w:t>
      </w:r>
    </w:p>
    <w:tbl>
      <w:tblPr>
        <w:tblStyle w:val="38"/>
        <w:tblW w:w="1344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123"/>
        <w:gridCol w:w="780"/>
        <w:gridCol w:w="1286"/>
        <w:gridCol w:w="835"/>
        <w:gridCol w:w="902"/>
        <w:gridCol w:w="2151"/>
        <w:gridCol w:w="819"/>
        <w:gridCol w:w="977"/>
        <w:gridCol w:w="788"/>
        <w:gridCol w:w="821"/>
        <w:gridCol w:w="1350"/>
        <w:gridCol w:w="1611"/>
      </w:tblGrid>
      <w:tr w14:paraId="01925EF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123" w:type="dxa"/>
            <w:vAlign w:val="center"/>
          </w:tcPr>
          <w:p w14:paraId="234BFEA5">
            <w:pPr>
              <w:snapToGrid w:val="0"/>
              <w:spacing w:line="240" w:lineRule="exact"/>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产生工序</w:t>
            </w:r>
          </w:p>
        </w:tc>
        <w:tc>
          <w:tcPr>
            <w:tcW w:w="780" w:type="dxa"/>
            <w:vAlign w:val="center"/>
          </w:tcPr>
          <w:p w14:paraId="248B7D94">
            <w:pPr>
              <w:snapToGrid w:val="0"/>
              <w:spacing w:line="240" w:lineRule="exact"/>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产污编号</w:t>
            </w:r>
          </w:p>
        </w:tc>
        <w:tc>
          <w:tcPr>
            <w:tcW w:w="1286" w:type="dxa"/>
            <w:vAlign w:val="center"/>
          </w:tcPr>
          <w:p w14:paraId="6918F8C3">
            <w:pPr>
              <w:snapToGrid w:val="0"/>
              <w:spacing w:line="240" w:lineRule="exact"/>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污染物</w:t>
            </w:r>
          </w:p>
        </w:tc>
        <w:tc>
          <w:tcPr>
            <w:tcW w:w="835" w:type="dxa"/>
            <w:vAlign w:val="center"/>
          </w:tcPr>
          <w:p w14:paraId="3FD5BE2A">
            <w:pPr>
              <w:snapToGrid w:val="0"/>
              <w:spacing w:line="240" w:lineRule="exact"/>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物料名称</w:t>
            </w:r>
          </w:p>
        </w:tc>
        <w:tc>
          <w:tcPr>
            <w:tcW w:w="902" w:type="dxa"/>
            <w:vAlign w:val="center"/>
          </w:tcPr>
          <w:p w14:paraId="18588648">
            <w:pPr>
              <w:snapToGrid w:val="0"/>
              <w:spacing w:line="240" w:lineRule="exact"/>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物料用量t/a</w:t>
            </w:r>
          </w:p>
        </w:tc>
        <w:tc>
          <w:tcPr>
            <w:tcW w:w="2151" w:type="dxa"/>
            <w:vAlign w:val="center"/>
          </w:tcPr>
          <w:p w14:paraId="348AF8E1">
            <w:pPr>
              <w:snapToGrid w:val="0"/>
              <w:spacing w:line="240" w:lineRule="exact"/>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源强来源</w:t>
            </w:r>
          </w:p>
        </w:tc>
        <w:tc>
          <w:tcPr>
            <w:tcW w:w="819" w:type="dxa"/>
            <w:vAlign w:val="center"/>
          </w:tcPr>
          <w:p w14:paraId="04B869A8">
            <w:pPr>
              <w:snapToGrid w:val="0"/>
              <w:spacing w:line="240" w:lineRule="exact"/>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产污系数kg/t物料</w:t>
            </w:r>
          </w:p>
        </w:tc>
        <w:tc>
          <w:tcPr>
            <w:tcW w:w="977" w:type="dxa"/>
            <w:vAlign w:val="center"/>
          </w:tcPr>
          <w:p w14:paraId="3B5B5331">
            <w:pPr>
              <w:snapToGrid w:val="0"/>
              <w:spacing w:line="240" w:lineRule="exact"/>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产生量t/a</w:t>
            </w:r>
          </w:p>
        </w:tc>
        <w:tc>
          <w:tcPr>
            <w:tcW w:w="788" w:type="dxa"/>
            <w:vAlign w:val="center"/>
          </w:tcPr>
          <w:p w14:paraId="7CB2261B">
            <w:pPr>
              <w:snapToGrid w:val="0"/>
              <w:spacing w:line="240" w:lineRule="exact"/>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收集方式</w:t>
            </w:r>
          </w:p>
        </w:tc>
        <w:tc>
          <w:tcPr>
            <w:tcW w:w="821" w:type="dxa"/>
            <w:vAlign w:val="center"/>
          </w:tcPr>
          <w:p w14:paraId="06A14BDC">
            <w:pPr>
              <w:snapToGrid w:val="0"/>
              <w:spacing w:line="240" w:lineRule="exact"/>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收集效率</w:t>
            </w:r>
          </w:p>
        </w:tc>
        <w:tc>
          <w:tcPr>
            <w:tcW w:w="1350" w:type="dxa"/>
            <w:vAlign w:val="center"/>
          </w:tcPr>
          <w:p w14:paraId="59A67987">
            <w:pPr>
              <w:snapToGrid w:val="0"/>
              <w:spacing w:line="240" w:lineRule="exact"/>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有组织产生量t/a</w:t>
            </w:r>
          </w:p>
        </w:tc>
        <w:tc>
          <w:tcPr>
            <w:tcW w:w="1611" w:type="dxa"/>
            <w:vAlign w:val="center"/>
          </w:tcPr>
          <w:p w14:paraId="665B7A9D">
            <w:pPr>
              <w:snapToGrid w:val="0"/>
              <w:spacing w:line="240" w:lineRule="exact"/>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无组织产生量t/a</w:t>
            </w:r>
          </w:p>
        </w:tc>
      </w:tr>
      <w:tr w14:paraId="4FABEB6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1123" w:type="dxa"/>
            <w:vAlign w:val="center"/>
          </w:tcPr>
          <w:p w14:paraId="38AAD18C">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投料废气</w:t>
            </w:r>
          </w:p>
        </w:tc>
        <w:tc>
          <w:tcPr>
            <w:tcW w:w="780" w:type="dxa"/>
            <w:vAlign w:val="center"/>
          </w:tcPr>
          <w:p w14:paraId="3D72AE79">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G1</w:t>
            </w:r>
          </w:p>
        </w:tc>
        <w:tc>
          <w:tcPr>
            <w:tcW w:w="1286" w:type="dxa"/>
            <w:vAlign w:val="center"/>
          </w:tcPr>
          <w:p w14:paraId="0B264573">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颗粒物</w:t>
            </w:r>
          </w:p>
        </w:tc>
        <w:tc>
          <w:tcPr>
            <w:tcW w:w="835" w:type="dxa"/>
            <w:vAlign w:val="center"/>
          </w:tcPr>
          <w:p w14:paraId="4B978669">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色</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粉</w:t>
            </w:r>
          </w:p>
        </w:tc>
        <w:tc>
          <w:tcPr>
            <w:tcW w:w="902" w:type="dxa"/>
            <w:vAlign w:val="center"/>
          </w:tcPr>
          <w:p w14:paraId="2194B194">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0.01</w:t>
            </w:r>
          </w:p>
        </w:tc>
        <w:tc>
          <w:tcPr>
            <w:tcW w:w="8517" w:type="dxa"/>
            <w:gridSpan w:val="7"/>
            <w:vAlign w:val="center"/>
          </w:tcPr>
          <w:p w14:paraId="3C0A4BEB">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不定量分析</w:t>
            </w:r>
          </w:p>
        </w:tc>
      </w:tr>
      <w:tr w14:paraId="2937103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1123" w:type="dxa"/>
            <w:vMerge w:val="restart"/>
            <w:vAlign w:val="center"/>
          </w:tcPr>
          <w:p w14:paraId="7DA03B48">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硫化废气</w:t>
            </w:r>
          </w:p>
        </w:tc>
        <w:tc>
          <w:tcPr>
            <w:tcW w:w="780" w:type="dxa"/>
            <w:vMerge w:val="restart"/>
            <w:vAlign w:val="center"/>
          </w:tcPr>
          <w:p w14:paraId="46674B6B">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G2</w:t>
            </w:r>
          </w:p>
        </w:tc>
        <w:tc>
          <w:tcPr>
            <w:tcW w:w="1286" w:type="dxa"/>
            <w:vAlign w:val="center"/>
          </w:tcPr>
          <w:p w14:paraId="42517284">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非甲烷总烃</w:t>
            </w:r>
          </w:p>
        </w:tc>
        <w:tc>
          <w:tcPr>
            <w:tcW w:w="835" w:type="dxa"/>
            <w:vMerge w:val="restart"/>
            <w:vAlign w:val="center"/>
          </w:tcPr>
          <w:p w14:paraId="0F717CCB">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硅胶、硫化剂等</w:t>
            </w:r>
          </w:p>
        </w:tc>
        <w:tc>
          <w:tcPr>
            <w:tcW w:w="902" w:type="dxa"/>
            <w:vMerge w:val="restart"/>
            <w:vAlign w:val="center"/>
          </w:tcPr>
          <w:p w14:paraId="785EF726">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50.06</w:t>
            </w:r>
          </w:p>
        </w:tc>
        <w:tc>
          <w:tcPr>
            <w:tcW w:w="2151" w:type="dxa"/>
            <w:vAlign w:val="center"/>
          </w:tcPr>
          <w:p w14:paraId="7A2B333C">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美国国家环保局EPA</w:t>
            </w:r>
          </w:p>
        </w:tc>
        <w:tc>
          <w:tcPr>
            <w:tcW w:w="819" w:type="dxa"/>
            <w:vAlign w:val="center"/>
          </w:tcPr>
          <w:p w14:paraId="1594834D">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0.211</w:t>
            </w:r>
          </w:p>
        </w:tc>
        <w:tc>
          <w:tcPr>
            <w:tcW w:w="977" w:type="dxa"/>
            <w:vAlign w:val="center"/>
          </w:tcPr>
          <w:p w14:paraId="01616831">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0.0106</w:t>
            </w:r>
          </w:p>
        </w:tc>
        <w:tc>
          <w:tcPr>
            <w:tcW w:w="788" w:type="dxa"/>
            <w:vAlign w:val="center"/>
          </w:tcPr>
          <w:p w14:paraId="50BDF217">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集气罩</w:t>
            </w:r>
          </w:p>
        </w:tc>
        <w:tc>
          <w:tcPr>
            <w:tcW w:w="821" w:type="dxa"/>
            <w:vAlign w:val="center"/>
          </w:tcPr>
          <w:p w14:paraId="34C1AF05">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90</w:t>
            </w:r>
          </w:p>
        </w:tc>
        <w:tc>
          <w:tcPr>
            <w:tcW w:w="1350" w:type="dxa"/>
            <w:vAlign w:val="center"/>
          </w:tcPr>
          <w:p w14:paraId="5E5DA148">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0.0095</w:t>
            </w:r>
          </w:p>
        </w:tc>
        <w:tc>
          <w:tcPr>
            <w:tcW w:w="1611" w:type="dxa"/>
            <w:vAlign w:val="center"/>
          </w:tcPr>
          <w:p w14:paraId="3E1EE8D7">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0.0011</w:t>
            </w:r>
          </w:p>
        </w:tc>
      </w:tr>
      <w:tr w14:paraId="3531AFB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1123" w:type="dxa"/>
            <w:vMerge w:val="continue"/>
            <w:vAlign w:val="center"/>
          </w:tcPr>
          <w:p w14:paraId="292434FB">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780" w:type="dxa"/>
            <w:vMerge w:val="continue"/>
            <w:vAlign w:val="center"/>
          </w:tcPr>
          <w:p w14:paraId="2C2B4F04">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286" w:type="dxa"/>
            <w:vAlign w:val="center"/>
          </w:tcPr>
          <w:p w14:paraId="15079247">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臭气浓度</w:t>
            </w:r>
          </w:p>
        </w:tc>
        <w:tc>
          <w:tcPr>
            <w:tcW w:w="835" w:type="dxa"/>
            <w:vMerge w:val="continue"/>
            <w:vAlign w:val="center"/>
          </w:tcPr>
          <w:p w14:paraId="717A9FBD">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902" w:type="dxa"/>
            <w:vMerge w:val="continue"/>
            <w:vAlign w:val="center"/>
          </w:tcPr>
          <w:p w14:paraId="3AB6FAEE">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517" w:type="dxa"/>
            <w:gridSpan w:val="7"/>
            <w:vMerge w:val="restart"/>
            <w:vAlign w:val="center"/>
          </w:tcPr>
          <w:p w14:paraId="0B071269">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不定量分析</w:t>
            </w:r>
          </w:p>
        </w:tc>
      </w:tr>
      <w:tr w14:paraId="47F244C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1123" w:type="dxa"/>
            <w:vAlign w:val="center"/>
          </w:tcPr>
          <w:p w14:paraId="1F02815F">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混合废气</w:t>
            </w:r>
          </w:p>
        </w:tc>
        <w:tc>
          <w:tcPr>
            <w:tcW w:w="780" w:type="dxa"/>
            <w:vAlign w:val="center"/>
          </w:tcPr>
          <w:p w14:paraId="5DCC2ECF">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G3</w:t>
            </w:r>
          </w:p>
        </w:tc>
        <w:tc>
          <w:tcPr>
            <w:tcW w:w="1286" w:type="dxa"/>
            <w:vAlign w:val="center"/>
          </w:tcPr>
          <w:p w14:paraId="128DF87D">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颗粒物</w:t>
            </w:r>
          </w:p>
        </w:tc>
        <w:tc>
          <w:tcPr>
            <w:tcW w:w="835" w:type="dxa"/>
            <w:vAlign w:val="center"/>
          </w:tcPr>
          <w:p w14:paraId="1FA77A4A">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色</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母</w:t>
            </w:r>
          </w:p>
        </w:tc>
        <w:tc>
          <w:tcPr>
            <w:tcW w:w="902" w:type="dxa"/>
            <w:vAlign w:val="center"/>
          </w:tcPr>
          <w:p w14:paraId="386E2A52">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0.01</w:t>
            </w:r>
          </w:p>
        </w:tc>
        <w:tc>
          <w:tcPr>
            <w:tcW w:w="8517" w:type="dxa"/>
            <w:gridSpan w:val="7"/>
            <w:vMerge w:val="continue"/>
            <w:vAlign w:val="center"/>
          </w:tcPr>
          <w:p w14:paraId="5F230DA6">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515D26F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1123" w:type="dxa"/>
            <w:vMerge w:val="restart"/>
            <w:vAlign w:val="center"/>
          </w:tcPr>
          <w:p w14:paraId="41C6D3DC">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成型废气</w:t>
            </w:r>
          </w:p>
        </w:tc>
        <w:tc>
          <w:tcPr>
            <w:tcW w:w="780" w:type="dxa"/>
            <w:vMerge w:val="restart"/>
            <w:vAlign w:val="center"/>
          </w:tcPr>
          <w:p w14:paraId="7C3395F2">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G4</w:t>
            </w:r>
          </w:p>
        </w:tc>
        <w:tc>
          <w:tcPr>
            <w:tcW w:w="1286" w:type="dxa"/>
            <w:vAlign w:val="center"/>
          </w:tcPr>
          <w:p w14:paraId="064219C5">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非甲烷总烃</w:t>
            </w:r>
          </w:p>
        </w:tc>
        <w:tc>
          <w:tcPr>
            <w:tcW w:w="835" w:type="dxa"/>
            <w:vMerge w:val="restart"/>
            <w:vAlign w:val="center"/>
          </w:tcPr>
          <w:p w14:paraId="2778DDA7">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PBT树脂</w:t>
            </w:r>
          </w:p>
        </w:tc>
        <w:tc>
          <w:tcPr>
            <w:tcW w:w="902" w:type="dxa"/>
            <w:vMerge w:val="restart"/>
            <w:vAlign w:val="center"/>
          </w:tcPr>
          <w:p w14:paraId="55273DDB">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100</w:t>
            </w:r>
          </w:p>
        </w:tc>
        <w:tc>
          <w:tcPr>
            <w:tcW w:w="2151" w:type="dxa"/>
            <w:vAlign w:val="center"/>
          </w:tcPr>
          <w:p w14:paraId="6DCC80FA">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《292塑料制品行业系数手册》2929塑料零件及其他塑料制品制造行业系数表（续表1）</w:t>
            </w:r>
          </w:p>
        </w:tc>
        <w:tc>
          <w:tcPr>
            <w:tcW w:w="819" w:type="dxa"/>
            <w:vAlign w:val="center"/>
          </w:tcPr>
          <w:p w14:paraId="103E19F4">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2.7</w:t>
            </w:r>
          </w:p>
        </w:tc>
        <w:tc>
          <w:tcPr>
            <w:tcW w:w="977" w:type="dxa"/>
            <w:vAlign w:val="center"/>
          </w:tcPr>
          <w:p w14:paraId="2E3820E7">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0.27</w:t>
            </w:r>
          </w:p>
        </w:tc>
        <w:tc>
          <w:tcPr>
            <w:tcW w:w="788" w:type="dxa"/>
            <w:vMerge w:val="restart"/>
            <w:vAlign w:val="center"/>
          </w:tcPr>
          <w:p w14:paraId="1FCF402F">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集气罩</w:t>
            </w:r>
          </w:p>
        </w:tc>
        <w:tc>
          <w:tcPr>
            <w:tcW w:w="821" w:type="dxa"/>
            <w:vMerge w:val="restart"/>
            <w:vAlign w:val="center"/>
          </w:tcPr>
          <w:p w14:paraId="3B832548">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90</w:t>
            </w:r>
          </w:p>
        </w:tc>
        <w:tc>
          <w:tcPr>
            <w:tcW w:w="1350" w:type="dxa"/>
            <w:vAlign w:val="center"/>
          </w:tcPr>
          <w:p w14:paraId="61387C36">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0.243</w:t>
            </w:r>
          </w:p>
        </w:tc>
        <w:tc>
          <w:tcPr>
            <w:tcW w:w="1611" w:type="dxa"/>
            <w:vAlign w:val="center"/>
          </w:tcPr>
          <w:p w14:paraId="0C03933E">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0.027</w:t>
            </w:r>
          </w:p>
        </w:tc>
      </w:tr>
      <w:tr w14:paraId="3A101C7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1123" w:type="dxa"/>
            <w:vMerge w:val="continue"/>
            <w:vAlign w:val="center"/>
          </w:tcPr>
          <w:p w14:paraId="527C7B03">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780" w:type="dxa"/>
            <w:vMerge w:val="continue"/>
            <w:vAlign w:val="center"/>
          </w:tcPr>
          <w:p w14:paraId="75F7E388">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286" w:type="dxa"/>
            <w:vAlign w:val="center"/>
          </w:tcPr>
          <w:p w14:paraId="0AEE8AB0">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乙醛</w:t>
            </w:r>
          </w:p>
        </w:tc>
        <w:tc>
          <w:tcPr>
            <w:tcW w:w="835" w:type="dxa"/>
            <w:vMerge w:val="continue"/>
            <w:vAlign w:val="center"/>
          </w:tcPr>
          <w:p w14:paraId="4BC8252F">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902" w:type="dxa"/>
            <w:vMerge w:val="continue"/>
            <w:vAlign w:val="center"/>
          </w:tcPr>
          <w:p w14:paraId="0AEFECFC">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2151" w:type="dxa"/>
            <w:vAlign w:val="center"/>
          </w:tcPr>
          <w:p w14:paraId="7C6E8079">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《&lt;包装用塑料制品配方讲座&gt;第19讲工程热塑性聚酯的性能及其在包装上的应用》</w:t>
            </w:r>
          </w:p>
        </w:tc>
        <w:tc>
          <w:tcPr>
            <w:tcW w:w="819" w:type="dxa"/>
            <w:vAlign w:val="center"/>
          </w:tcPr>
          <w:p w14:paraId="5F9CB09B">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30mg/kg</w:t>
            </w:r>
          </w:p>
        </w:tc>
        <w:tc>
          <w:tcPr>
            <w:tcW w:w="977" w:type="dxa"/>
            <w:vAlign w:val="center"/>
          </w:tcPr>
          <w:p w14:paraId="16FC621D">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0.003</w:t>
            </w:r>
          </w:p>
        </w:tc>
        <w:tc>
          <w:tcPr>
            <w:tcW w:w="788" w:type="dxa"/>
            <w:vMerge w:val="continue"/>
            <w:vAlign w:val="center"/>
          </w:tcPr>
          <w:p w14:paraId="63F2CE7E">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21" w:type="dxa"/>
            <w:vMerge w:val="continue"/>
            <w:vAlign w:val="center"/>
          </w:tcPr>
          <w:p w14:paraId="4223EB56">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350" w:type="dxa"/>
            <w:vAlign w:val="center"/>
          </w:tcPr>
          <w:p w14:paraId="36CA9332">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0.0027</w:t>
            </w:r>
          </w:p>
        </w:tc>
        <w:tc>
          <w:tcPr>
            <w:tcW w:w="1611" w:type="dxa"/>
            <w:vAlign w:val="center"/>
          </w:tcPr>
          <w:p w14:paraId="67CC3887">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0.0003</w:t>
            </w:r>
          </w:p>
        </w:tc>
      </w:tr>
      <w:tr w14:paraId="09F89E0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1123" w:type="dxa"/>
            <w:vMerge w:val="continue"/>
            <w:vAlign w:val="center"/>
          </w:tcPr>
          <w:p w14:paraId="3BD70C00">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780" w:type="dxa"/>
            <w:vMerge w:val="continue"/>
            <w:vAlign w:val="center"/>
          </w:tcPr>
          <w:p w14:paraId="42A90204">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286" w:type="dxa"/>
            <w:vAlign w:val="center"/>
          </w:tcPr>
          <w:p w14:paraId="5EF5B78D">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四氢呋喃</w:t>
            </w:r>
          </w:p>
        </w:tc>
        <w:tc>
          <w:tcPr>
            <w:tcW w:w="835" w:type="dxa"/>
            <w:vMerge w:val="continue"/>
            <w:vAlign w:val="center"/>
          </w:tcPr>
          <w:p w14:paraId="273630FC">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902" w:type="dxa"/>
            <w:vMerge w:val="continue"/>
            <w:vAlign w:val="center"/>
          </w:tcPr>
          <w:p w14:paraId="3FA62A33">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2151" w:type="dxa"/>
            <w:vAlign w:val="center"/>
          </w:tcPr>
          <w:p w14:paraId="71ACB297">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《PBT成品中游离THF含量的分析》</w:t>
            </w:r>
          </w:p>
        </w:tc>
        <w:tc>
          <w:tcPr>
            <w:tcW w:w="819" w:type="dxa"/>
            <w:vAlign w:val="center"/>
          </w:tcPr>
          <w:p w14:paraId="52D8A267">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‌0.337</w:t>
            </w:r>
          </w:p>
        </w:tc>
        <w:tc>
          <w:tcPr>
            <w:tcW w:w="977" w:type="dxa"/>
            <w:vAlign w:val="center"/>
          </w:tcPr>
          <w:p w14:paraId="08B7449A">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0.0337</w:t>
            </w:r>
          </w:p>
        </w:tc>
        <w:tc>
          <w:tcPr>
            <w:tcW w:w="788" w:type="dxa"/>
            <w:vMerge w:val="continue"/>
            <w:vAlign w:val="center"/>
          </w:tcPr>
          <w:p w14:paraId="7BDBF997">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21" w:type="dxa"/>
            <w:vMerge w:val="continue"/>
            <w:vAlign w:val="center"/>
          </w:tcPr>
          <w:p w14:paraId="6FBFD1BC">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350" w:type="dxa"/>
            <w:vAlign w:val="center"/>
          </w:tcPr>
          <w:p w14:paraId="4482ED2A">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0.0303</w:t>
            </w:r>
          </w:p>
        </w:tc>
        <w:tc>
          <w:tcPr>
            <w:tcW w:w="1611" w:type="dxa"/>
            <w:vAlign w:val="center"/>
          </w:tcPr>
          <w:p w14:paraId="427450A5">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0.0034</w:t>
            </w:r>
          </w:p>
        </w:tc>
      </w:tr>
      <w:tr w14:paraId="303B1A6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1123" w:type="dxa"/>
            <w:vMerge w:val="continue"/>
            <w:vAlign w:val="center"/>
          </w:tcPr>
          <w:p w14:paraId="64903D0D">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780" w:type="dxa"/>
            <w:vMerge w:val="continue"/>
            <w:vAlign w:val="center"/>
          </w:tcPr>
          <w:p w14:paraId="432CB2D4">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286" w:type="dxa"/>
            <w:vAlign w:val="center"/>
          </w:tcPr>
          <w:p w14:paraId="5AC6AE58">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臭气浓度</w:t>
            </w:r>
          </w:p>
        </w:tc>
        <w:tc>
          <w:tcPr>
            <w:tcW w:w="835" w:type="dxa"/>
            <w:vMerge w:val="continue"/>
            <w:vAlign w:val="center"/>
          </w:tcPr>
          <w:p w14:paraId="2522689E">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902" w:type="dxa"/>
            <w:vMerge w:val="continue"/>
            <w:vAlign w:val="center"/>
          </w:tcPr>
          <w:p w14:paraId="449267E8">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517" w:type="dxa"/>
            <w:gridSpan w:val="7"/>
            <w:vMerge w:val="restart"/>
            <w:vAlign w:val="center"/>
          </w:tcPr>
          <w:p w14:paraId="3EAA85E0">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不定量分析</w:t>
            </w:r>
          </w:p>
        </w:tc>
      </w:tr>
      <w:tr w14:paraId="57EEAD9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1123" w:type="dxa"/>
            <w:vAlign w:val="center"/>
          </w:tcPr>
          <w:p w14:paraId="52EA0D36">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危废仓库</w:t>
            </w:r>
          </w:p>
        </w:tc>
        <w:tc>
          <w:tcPr>
            <w:tcW w:w="780" w:type="dxa"/>
            <w:vAlign w:val="center"/>
          </w:tcPr>
          <w:p w14:paraId="503E0179">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G</w:t>
            </w:r>
            <w:r>
              <w:rPr>
                <w:rFonts w:hint="eastAsia" w:cs="Times New Roman"/>
                <w:color w:val="000000" w:themeColor="text1"/>
                <w:kern w:val="0"/>
                <w:sz w:val="21"/>
                <w:szCs w:val="21"/>
                <w:highlight w:val="none"/>
                <w:lang w:val="en-US" w:eastAsia="zh-CN" w:bidi="ar"/>
                <w14:textFill>
                  <w14:solidFill>
                    <w14:schemeClr w14:val="tx1"/>
                  </w14:solidFill>
                </w14:textFill>
              </w:rPr>
              <w:t>5</w:t>
            </w:r>
          </w:p>
        </w:tc>
        <w:tc>
          <w:tcPr>
            <w:tcW w:w="1286" w:type="dxa"/>
            <w:vAlign w:val="center"/>
          </w:tcPr>
          <w:p w14:paraId="62F26695">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非甲烷总烃</w:t>
            </w:r>
          </w:p>
        </w:tc>
        <w:tc>
          <w:tcPr>
            <w:tcW w:w="835" w:type="dxa"/>
            <w:vAlign w:val="center"/>
          </w:tcPr>
          <w:p w14:paraId="4E99F1F8">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危废</w:t>
            </w:r>
          </w:p>
        </w:tc>
        <w:tc>
          <w:tcPr>
            <w:tcW w:w="902" w:type="dxa"/>
            <w:vAlign w:val="center"/>
          </w:tcPr>
          <w:p w14:paraId="167D5D6A">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0.464</w:t>
            </w:r>
          </w:p>
        </w:tc>
        <w:tc>
          <w:tcPr>
            <w:tcW w:w="8517" w:type="dxa"/>
            <w:gridSpan w:val="7"/>
            <w:vMerge w:val="continue"/>
            <w:vAlign w:val="center"/>
          </w:tcPr>
          <w:p w14:paraId="28A86B46">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bl>
    <w:p w14:paraId="0BB50F06">
      <w:pP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3CC11AE3">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本项目废气产生及排放情况见下表。</w:t>
      </w:r>
    </w:p>
    <w:p w14:paraId="57315087">
      <w:pPr>
        <w:pStyle w:val="154"/>
        <w:keepNext w:val="0"/>
        <w:keepLines w:val="0"/>
        <w:pageBreakBefore w:val="0"/>
        <w:widowControl w:val="0"/>
        <w:numPr>
          <w:ilvl w:val="0"/>
          <w:numId w:val="0"/>
        </w:numPr>
        <w:kinsoku/>
        <w:wordWrap/>
        <w:overflowPunct/>
        <w:topLinePunct w:val="0"/>
        <w:autoSpaceDE/>
        <w:autoSpaceDN/>
        <w:bidi w:val="0"/>
        <w:spacing w:line="440" w:lineRule="exact"/>
        <w:ind w:left="425" w:leftChars="0" w:firstLine="0" w:firstLineChars="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宋体"/>
          <w:b/>
          <w:color w:val="000000" w:themeColor="text1"/>
          <w:kern w:val="2"/>
          <w:sz w:val="24"/>
          <w:szCs w:val="24"/>
          <w:highlight w:val="none"/>
          <w:lang w:val="en-US" w:eastAsia="zh-CN" w:bidi="ar-SA"/>
          <w14:textFill>
            <w14:solidFill>
              <w14:schemeClr w14:val="tx1"/>
            </w14:solidFill>
          </w14:textFill>
        </w:rPr>
        <w:t>表4-</w:t>
      </w:r>
      <w:r>
        <w:rPr>
          <w:rFonts w:hint="eastAsia" w:cs="宋体"/>
          <w:b/>
          <w:color w:val="000000" w:themeColor="text1"/>
          <w:kern w:val="2"/>
          <w:sz w:val="24"/>
          <w:szCs w:val="24"/>
          <w:highlight w:val="none"/>
          <w:lang w:val="en-US" w:eastAsia="zh-CN" w:bidi="ar-SA"/>
          <w14:textFill>
            <w14:solidFill>
              <w14:schemeClr w14:val="tx1"/>
            </w14:solidFill>
          </w14:textFill>
        </w:rPr>
        <w:t xml:space="preserve">2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本项目有组织废气排放情况一览表</w:t>
      </w:r>
    </w:p>
    <w:tbl>
      <w:tblPr>
        <w:tblStyle w:val="38"/>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81"/>
        <w:gridCol w:w="842"/>
        <w:gridCol w:w="749"/>
        <w:gridCol w:w="851"/>
        <w:gridCol w:w="798"/>
        <w:gridCol w:w="767"/>
        <w:gridCol w:w="854"/>
        <w:gridCol w:w="667"/>
        <w:gridCol w:w="677"/>
        <w:gridCol w:w="668"/>
        <w:gridCol w:w="811"/>
        <w:gridCol w:w="798"/>
        <w:gridCol w:w="794"/>
        <w:gridCol w:w="860"/>
        <w:gridCol w:w="861"/>
        <w:gridCol w:w="676"/>
        <w:gridCol w:w="919"/>
      </w:tblGrid>
      <w:tr w14:paraId="13BDF7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81" w:type="dxa"/>
            <w:vMerge w:val="restart"/>
            <w:vAlign w:val="center"/>
          </w:tcPr>
          <w:p w14:paraId="19EB319F">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产污工序</w:t>
            </w:r>
          </w:p>
        </w:tc>
        <w:tc>
          <w:tcPr>
            <w:tcW w:w="842" w:type="dxa"/>
            <w:vMerge w:val="restart"/>
            <w:vAlign w:val="center"/>
          </w:tcPr>
          <w:p w14:paraId="6EDB6DC9">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污染物</w:t>
            </w:r>
          </w:p>
        </w:tc>
        <w:tc>
          <w:tcPr>
            <w:tcW w:w="749" w:type="dxa"/>
            <w:vMerge w:val="restart"/>
            <w:vAlign w:val="center"/>
          </w:tcPr>
          <w:p w14:paraId="730FADBB">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工作时间h</w:t>
            </w:r>
          </w:p>
        </w:tc>
        <w:tc>
          <w:tcPr>
            <w:tcW w:w="3270" w:type="dxa"/>
            <w:gridSpan w:val="4"/>
            <w:vAlign w:val="center"/>
          </w:tcPr>
          <w:p w14:paraId="3B88C68F">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污染物产生情况</w:t>
            </w:r>
          </w:p>
        </w:tc>
        <w:tc>
          <w:tcPr>
            <w:tcW w:w="667" w:type="dxa"/>
            <w:vMerge w:val="restart"/>
            <w:vAlign w:val="center"/>
          </w:tcPr>
          <w:p w14:paraId="09363DE2">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治理措施</w:t>
            </w:r>
          </w:p>
        </w:tc>
        <w:tc>
          <w:tcPr>
            <w:tcW w:w="677" w:type="dxa"/>
            <w:vMerge w:val="restart"/>
            <w:vAlign w:val="center"/>
          </w:tcPr>
          <w:p w14:paraId="00F0CA17">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效率%</w:t>
            </w:r>
          </w:p>
        </w:tc>
        <w:tc>
          <w:tcPr>
            <w:tcW w:w="668" w:type="dxa"/>
            <w:vMerge w:val="restart"/>
            <w:vAlign w:val="center"/>
          </w:tcPr>
          <w:p w14:paraId="308596AB">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是否为可行技术</w:t>
            </w:r>
          </w:p>
        </w:tc>
        <w:tc>
          <w:tcPr>
            <w:tcW w:w="3263" w:type="dxa"/>
            <w:gridSpan w:val="4"/>
            <w:vAlign w:val="center"/>
          </w:tcPr>
          <w:p w14:paraId="0FF1EE73">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污染物排放情况</w:t>
            </w:r>
          </w:p>
        </w:tc>
        <w:tc>
          <w:tcPr>
            <w:tcW w:w="1537" w:type="dxa"/>
            <w:gridSpan w:val="2"/>
            <w:vAlign w:val="center"/>
          </w:tcPr>
          <w:p w14:paraId="4F5565F7">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执行标准</w:t>
            </w:r>
          </w:p>
        </w:tc>
        <w:tc>
          <w:tcPr>
            <w:tcW w:w="919" w:type="dxa"/>
            <w:vMerge w:val="restart"/>
            <w:vAlign w:val="center"/>
          </w:tcPr>
          <w:p w14:paraId="1A358F0F">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排气筒编号</w:t>
            </w:r>
          </w:p>
        </w:tc>
      </w:tr>
      <w:tr w14:paraId="6F3437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81" w:type="dxa"/>
            <w:vMerge w:val="continue"/>
            <w:vAlign w:val="center"/>
          </w:tcPr>
          <w:p w14:paraId="79D987DB">
            <w:pPr>
              <w:snapToGrid w:val="0"/>
              <w:spacing w:line="240" w:lineRule="exact"/>
              <w:jc w:val="center"/>
              <w:rPr>
                <w:b/>
                <w:bCs/>
                <w:color w:val="000000" w:themeColor="text1"/>
                <w:szCs w:val="21"/>
                <w:highlight w:val="none"/>
                <w14:textFill>
                  <w14:solidFill>
                    <w14:schemeClr w14:val="tx1"/>
                  </w14:solidFill>
                </w14:textFill>
              </w:rPr>
            </w:pPr>
          </w:p>
        </w:tc>
        <w:tc>
          <w:tcPr>
            <w:tcW w:w="842" w:type="dxa"/>
            <w:vMerge w:val="continue"/>
            <w:vAlign w:val="center"/>
          </w:tcPr>
          <w:p w14:paraId="293DE8D3">
            <w:pPr>
              <w:snapToGrid w:val="0"/>
              <w:spacing w:line="240" w:lineRule="exact"/>
              <w:jc w:val="center"/>
              <w:rPr>
                <w:b/>
                <w:bCs/>
                <w:color w:val="000000" w:themeColor="text1"/>
                <w:szCs w:val="21"/>
                <w:highlight w:val="none"/>
                <w14:textFill>
                  <w14:solidFill>
                    <w14:schemeClr w14:val="tx1"/>
                  </w14:solidFill>
                </w14:textFill>
              </w:rPr>
            </w:pPr>
          </w:p>
        </w:tc>
        <w:tc>
          <w:tcPr>
            <w:tcW w:w="749" w:type="dxa"/>
            <w:vMerge w:val="continue"/>
            <w:vAlign w:val="center"/>
          </w:tcPr>
          <w:p w14:paraId="4719C1B1">
            <w:pPr>
              <w:snapToGrid w:val="0"/>
              <w:spacing w:line="240" w:lineRule="exact"/>
              <w:jc w:val="center"/>
              <w:rPr>
                <w:b/>
                <w:bCs/>
                <w:color w:val="000000" w:themeColor="text1"/>
                <w:szCs w:val="21"/>
                <w:highlight w:val="none"/>
                <w14:textFill>
                  <w14:solidFill>
                    <w14:schemeClr w14:val="tx1"/>
                  </w14:solidFill>
                </w14:textFill>
              </w:rPr>
            </w:pPr>
          </w:p>
        </w:tc>
        <w:tc>
          <w:tcPr>
            <w:tcW w:w="851" w:type="dxa"/>
            <w:vAlign w:val="center"/>
          </w:tcPr>
          <w:p w14:paraId="42287160">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废气量m</w:t>
            </w:r>
            <w:r>
              <w:rPr>
                <w:b/>
                <w:bCs/>
                <w:color w:val="000000" w:themeColor="text1"/>
                <w:szCs w:val="21"/>
                <w:highlight w:val="none"/>
                <w:vertAlign w:val="superscript"/>
                <w14:textFill>
                  <w14:solidFill>
                    <w14:schemeClr w14:val="tx1"/>
                  </w14:solidFill>
                </w14:textFill>
              </w:rPr>
              <w:t>3</w:t>
            </w:r>
            <w:r>
              <w:rPr>
                <w:b/>
                <w:bCs/>
                <w:color w:val="000000" w:themeColor="text1"/>
                <w:szCs w:val="21"/>
                <w:highlight w:val="none"/>
                <w14:textFill>
                  <w14:solidFill>
                    <w14:schemeClr w14:val="tx1"/>
                  </w14:solidFill>
                </w14:textFill>
              </w:rPr>
              <w:t>/h</w:t>
            </w:r>
          </w:p>
        </w:tc>
        <w:tc>
          <w:tcPr>
            <w:tcW w:w="798" w:type="dxa"/>
            <w:vAlign w:val="center"/>
          </w:tcPr>
          <w:p w14:paraId="2492540E">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浓度</w:t>
            </w:r>
          </w:p>
          <w:p w14:paraId="1CAF714F">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mg/m</w:t>
            </w:r>
            <w:r>
              <w:rPr>
                <w:b/>
                <w:bCs/>
                <w:color w:val="000000" w:themeColor="text1"/>
                <w:szCs w:val="21"/>
                <w:highlight w:val="none"/>
                <w:vertAlign w:val="superscript"/>
                <w14:textFill>
                  <w14:solidFill>
                    <w14:schemeClr w14:val="tx1"/>
                  </w14:solidFill>
                </w14:textFill>
              </w:rPr>
              <w:t>3</w:t>
            </w:r>
          </w:p>
        </w:tc>
        <w:tc>
          <w:tcPr>
            <w:tcW w:w="767" w:type="dxa"/>
            <w:vAlign w:val="center"/>
          </w:tcPr>
          <w:p w14:paraId="119A9D79">
            <w:pPr>
              <w:snapToGrid w:val="0"/>
              <w:spacing w:line="240" w:lineRule="exact"/>
              <w:jc w:val="center"/>
              <w:rPr>
                <w:b/>
                <w:bCs/>
                <w:color w:val="000000" w:themeColor="text1"/>
                <w:szCs w:val="21"/>
                <w:highlight w:val="none"/>
                <w14:textFill>
                  <w14:solidFill>
                    <w14:schemeClr w14:val="tx1"/>
                  </w14:solidFill>
                </w14:textFill>
              </w:rPr>
            </w:pPr>
            <w:bookmarkStart w:id="5" w:name="OLE_LINK14"/>
            <w:r>
              <w:rPr>
                <w:b/>
                <w:bCs/>
                <w:color w:val="000000" w:themeColor="text1"/>
                <w:szCs w:val="21"/>
                <w:highlight w:val="none"/>
                <w14:textFill>
                  <w14:solidFill>
                    <w14:schemeClr w14:val="tx1"/>
                  </w14:solidFill>
                </w14:textFill>
              </w:rPr>
              <w:t>速率</w:t>
            </w:r>
            <w:bookmarkEnd w:id="5"/>
            <w:r>
              <w:rPr>
                <w:b/>
                <w:bCs/>
                <w:color w:val="000000" w:themeColor="text1"/>
                <w:szCs w:val="21"/>
                <w:highlight w:val="none"/>
                <w14:textFill>
                  <w14:solidFill>
                    <w14:schemeClr w14:val="tx1"/>
                  </w14:solidFill>
                </w14:textFill>
              </w:rPr>
              <w:t>kg/h</w:t>
            </w:r>
          </w:p>
        </w:tc>
        <w:tc>
          <w:tcPr>
            <w:tcW w:w="854" w:type="dxa"/>
            <w:vAlign w:val="center"/>
          </w:tcPr>
          <w:p w14:paraId="7397E027">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产生量t/a</w:t>
            </w:r>
          </w:p>
        </w:tc>
        <w:tc>
          <w:tcPr>
            <w:tcW w:w="667" w:type="dxa"/>
            <w:vMerge w:val="continue"/>
            <w:vAlign w:val="center"/>
          </w:tcPr>
          <w:p w14:paraId="247F3706">
            <w:pPr>
              <w:snapToGrid w:val="0"/>
              <w:spacing w:line="240" w:lineRule="exact"/>
              <w:jc w:val="center"/>
              <w:rPr>
                <w:b/>
                <w:bCs/>
                <w:color w:val="000000" w:themeColor="text1"/>
                <w:szCs w:val="21"/>
                <w:highlight w:val="none"/>
                <w14:textFill>
                  <w14:solidFill>
                    <w14:schemeClr w14:val="tx1"/>
                  </w14:solidFill>
                </w14:textFill>
              </w:rPr>
            </w:pPr>
          </w:p>
        </w:tc>
        <w:tc>
          <w:tcPr>
            <w:tcW w:w="677" w:type="dxa"/>
            <w:vMerge w:val="continue"/>
            <w:vAlign w:val="center"/>
          </w:tcPr>
          <w:p w14:paraId="3F6EA896">
            <w:pPr>
              <w:snapToGrid w:val="0"/>
              <w:spacing w:line="240" w:lineRule="exact"/>
              <w:jc w:val="center"/>
              <w:rPr>
                <w:b/>
                <w:bCs/>
                <w:color w:val="000000" w:themeColor="text1"/>
                <w:szCs w:val="21"/>
                <w:highlight w:val="none"/>
                <w14:textFill>
                  <w14:solidFill>
                    <w14:schemeClr w14:val="tx1"/>
                  </w14:solidFill>
                </w14:textFill>
              </w:rPr>
            </w:pPr>
          </w:p>
        </w:tc>
        <w:tc>
          <w:tcPr>
            <w:tcW w:w="668" w:type="dxa"/>
            <w:vMerge w:val="continue"/>
            <w:vAlign w:val="center"/>
          </w:tcPr>
          <w:p w14:paraId="1346604E">
            <w:pPr>
              <w:snapToGrid w:val="0"/>
              <w:spacing w:line="240" w:lineRule="exact"/>
              <w:jc w:val="center"/>
              <w:rPr>
                <w:b/>
                <w:bCs/>
                <w:color w:val="000000" w:themeColor="text1"/>
                <w:szCs w:val="21"/>
                <w:highlight w:val="none"/>
                <w14:textFill>
                  <w14:solidFill>
                    <w14:schemeClr w14:val="tx1"/>
                  </w14:solidFill>
                </w14:textFill>
              </w:rPr>
            </w:pPr>
          </w:p>
        </w:tc>
        <w:tc>
          <w:tcPr>
            <w:tcW w:w="811" w:type="dxa"/>
            <w:vAlign w:val="center"/>
          </w:tcPr>
          <w:p w14:paraId="0DE953B3">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风量m</w:t>
            </w:r>
            <w:r>
              <w:rPr>
                <w:b/>
                <w:bCs/>
                <w:color w:val="000000" w:themeColor="text1"/>
                <w:szCs w:val="21"/>
                <w:highlight w:val="none"/>
                <w:vertAlign w:val="superscript"/>
                <w14:textFill>
                  <w14:solidFill>
                    <w14:schemeClr w14:val="tx1"/>
                  </w14:solidFill>
                </w14:textFill>
              </w:rPr>
              <w:t>3</w:t>
            </w:r>
            <w:r>
              <w:rPr>
                <w:b/>
                <w:bCs/>
                <w:color w:val="000000" w:themeColor="text1"/>
                <w:szCs w:val="21"/>
                <w:highlight w:val="none"/>
                <w14:textFill>
                  <w14:solidFill>
                    <w14:schemeClr w14:val="tx1"/>
                  </w14:solidFill>
                </w14:textFill>
              </w:rPr>
              <w:t>/h</w:t>
            </w:r>
          </w:p>
        </w:tc>
        <w:tc>
          <w:tcPr>
            <w:tcW w:w="798" w:type="dxa"/>
            <w:vAlign w:val="center"/>
          </w:tcPr>
          <w:p w14:paraId="4B3CB8D1">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浓度</w:t>
            </w:r>
          </w:p>
          <w:p w14:paraId="738B0C01">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mg/m</w:t>
            </w:r>
            <w:r>
              <w:rPr>
                <w:b/>
                <w:bCs/>
                <w:color w:val="000000" w:themeColor="text1"/>
                <w:szCs w:val="21"/>
                <w:highlight w:val="none"/>
                <w:vertAlign w:val="superscript"/>
                <w14:textFill>
                  <w14:solidFill>
                    <w14:schemeClr w14:val="tx1"/>
                  </w14:solidFill>
                </w14:textFill>
              </w:rPr>
              <w:t>3</w:t>
            </w:r>
          </w:p>
        </w:tc>
        <w:tc>
          <w:tcPr>
            <w:tcW w:w="794" w:type="dxa"/>
            <w:vAlign w:val="center"/>
          </w:tcPr>
          <w:p w14:paraId="385879A6">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速率kg/h</w:t>
            </w:r>
          </w:p>
        </w:tc>
        <w:tc>
          <w:tcPr>
            <w:tcW w:w="860" w:type="dxa"/>
            <w:vAlign w:val="center"/>
          </w:tcPr>
          <w:p w14:paraId="353FB5BD">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排放量t/a</w:t>
            </w:r>
          </w:p>
        </w:tc>
        <w:tc>
          <w:tcPr>
            <w:tcW w:w="861" w:type="dxa"/>
            <w:vAlign w:val="center"/>
          </w:tcPr>
          <w:p w14:paraId="682BE4BB">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浓度mg/m</w:t>
            </w:r>
            <w:r>
              <w:rPr>
                <w:b/>
                <w:bCs/>
                <w:color w:val="000000" w:themeColor="text1"/>
                <w:szCs w:val="21"/>
                <w:highlight w:val="none"/>
                <w:vertAlign w:val="superscript"/>
                <w14:textFill>
                  <w14:solidFill>
                    <w14:schemeClr w14:val="tx1"/>
                  </w14:solidFill>
                </w14:textFill>
              </w:rPr>
              <w:t>3</w:t>
            </w:r>
          </w:p>
        </w:tc>
        <w:tc>
          <w:tcPr>
            <w:tcW w:w="676" w:type="dxa"/>
            <w:vAlign w:val="center"/>
          </w:tcPr>
          <w:p w14:paraId="76F2C84D">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速率kg/h</w:t>
            </w:r>
          </w:p>
        </w:tc>
        <w:tc>
          <w:tcPr>
            <w:tcW w:w="919" w:type="dxa"/>
            <w:vMerge w:val="continue"/>
            <w:vAlign w:val="center"/>
          </w:tcPr>
          <w:p w14:paraId="5AFB212A">
            <w:pPr>
              <w:snapToGrid w:val="0"/>
              <w:spacing w:line="240" w:lineRule="exact"/>
              <w:jc w:val="center"/>
              <w:rPr>
                <w:b/>
                <w:bCs/>
                <w:color w:val="000000" w:themeColor="text1"/>
                <w:szCs w:val="21"/>
                <w:highlight w:val="none"/>
                <w14:textFill>
                  <w14:solidFill>
                    <w14:schemeClr w14:val="tx1"/>
                  </w14:solidFill>
                </w14:textFill>
              </w:rPr>
            </w:pPr>
          </w:p>
        </w:tc>
      </w:tr>
      <w:tr w14:paraId="730BA4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81" w:type="dxa"/>
            <w:vAlign w:val="center"/>
          </w:tcPr>
          <w:p w14:paraId="3759F7B6">
            <w:pPr>
              <w:widowControl/>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bookmarkStart w:id="6" w:name="OLE_LINK15" w:colFirst="7" w:colLast="9"/>
            <w:bookmarkStart w:id="7" w:name="OLE_LINK16" w:colFirst="14" w:colLast="16"/>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硫化</w:t>
            </w:r>
          </w:p>
        </w:tc>
        <w:tc>
          <w:tcPr>
            <w:tcW w:w="842" w:type="dxa"/>
            <w:vAlign w:val="center"/>
          </w:tcPr>
          <w:p w14:paraId="60E7EB63">
            <w:pPr>
              <w:widowControl/>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非甲烷总烃</w:t>
            </w:r>
          </w:p>
        </w:tc>
        <w:tc>
          <w:tcPr>
            <w:tcW w:w="749" w:type="dxa"/>
            <w:vMerge w:val="restart"/>
            <w:vAlign w:val="center"/>
          </w:tcPr>
          <w:p w14:paraId="010C68FC">
            <w:pPr>
              <w:widowControl/>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48</w:t>
            </w: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w:t>
            </w:r>
          </w:p>
        </w:tc>
        <w:tc>
          <w:tcPr>
            <w:tcW w:w="851" w:type="dxa"/>
            <w:vAlign w:val="center"/>
          </w:tcPr>
          <w:p w14:paraId="604ECD6C">
            <w:pPr>
              <w:widowControl/>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000</w:t>
            </w:r>
          </w:p>
        </w:tc>
        <w:tc>
          <w:tcPr>
            <w:tcW w:w="798" w:type="dxa"/>
            <w:vAlign w:val="center"/>
          </w:tcPr>
          <w:p w14:paraId="65A77F77">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0.660</w:t>
            </w:r>
          </w:p>
        </w:tc>
        <w:tc>
          <w:tcPr>
            <w:tcW w:w="767" w:type="dxa"/>
            <w:vAlign w:val="center"/>
          </w:tcPr>
          <w:p w14:paraId="0D0FE269">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0.002</w:t>
            </w:r>
          </w:p>
        </w:tc>
        <w:tc>
          <w:tcPr>
            <w:tcW w:w="854" w:type="dxa"/>
            <w:vAlign w:val="center"/>
          </w:tcPr>
          <w:p w14:paraId="76DB983D">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0.0095</w:t>
            </w:r>
          </w:p>
        </w:tc>
        <w:tc>
          <w:tcPr>
            <w:tcW w:w="667" w:type="dxa"/>
            <w:vAlign w:val="center"/>
          </w:tcPr>
          <w:p w14:paraId="34CDBEB4">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二级活性炭装置</w:t>
            </w:r>
          </w:p>
        </w:tc>
        <w:tc>
          <w:tcPr>
            <w:tcW w:w="677" w:type="dxa"/>
            <w:vAlign w:val="center"/>
          </w:tcPr>
          <w:p w14:paraId="0F61A4CA">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90</w:t>
            </w:r>
          </w:p>
        </w:tc>
        <w:tc>
          <w:tcPr>
            <w:tcW w:w="668" w:type="dxa"/>
            <w:vAlign w:val="center"/>
          </w:tcPr>
          <w:p w14:paraId="42C8399A">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是</w:t>
            </w:r>
          </w:p>
        </w:tc>
        <w:tc>
          <w:tcPr>
            <w:tcW w:w="811" w:type="dxa"/>
            <w:vAlign w:val="center"/>
          </w:tcPr>
          <w:p w14:paraId="1DBED0F5">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3000</w:t>
            </w:r>
          </w:p>
        </w:tc>
        <w:tc>
          <w:tcPr>
            <w:tcW w:w="798" w:type="dxa"/>
            <w:vAlign w:val="center"/>
          </w:tcPr>
          <w:p w14:paraId="1D66E510">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0.066</w:t>
            </w:r>
          </w:p>
        </w:tc>
        <w:tc>
          <w:tcPr>
            <w:tcW w:w="794" w:type="dxa"/>
            <w:vAlign w:val="center"/>
          </w:tcPr>
          <w:p w14:paraId="4F8AD772">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0.0002</w:t>
            </w:r>
          </w:p>
        </w:tc>
        <w:tc>
          <w:tcPr>
            <w:tcW w:w="860" w:type="dxa"/>
            <w:vAlign w:val="center"/>
          </w:tcPr>
          <w:p w14:paraId="0FC0454A">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0.001</w:t>
            </w:r>
          </w:p>
        </w:tc>
        <w:tc>
          <w:tcPr>
            <w:tcW w:w="861" w:type="dxa"/>
            <w:vAlign w:val="center"/>
          </w:tcPr>
          <w:p w14:paraId="3FF92572">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10</w:t>
            </w:r>
          </w:p>
        </w:tc>
        <w:tc>
          <w:tcPr>
            <w:tcW w:w="676" w:type="dxa"/>
            <w:vAlign w:val="center"/>
          </w:tcPr>
          <w:p w14:paraId="2DC16364">
            <w:pPr>
              <w:widowControl/>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w:t>
            </w:r>
          </w:p>
        </w:tc>
        <w:tc>
          <w:tcPr>
            <w:tcW w:w="919" w:type="dxa"/>
            <w:vAlign w:val="center"/>
          </w:tcPr>
          <w:p w14:paraId="7CCA6708">
            <w:pPr>
              <w:widowControl/>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DA001</w:t>
            </w:r>
          </w:p>
        </w:tc>
      </w:tr>
      <w:tr w14:paraId="0C63CD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81" w:type="dxa"/>
            <w:vMerge w:val="restart"/>
            <w:vAlign w:val="center"/>
          </w:tcPr>
          <w:p w14:paraId="3007E7E0">
            <w:pPr>
              <w:widowControl/>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成型</w:t>
            </w:r>
          </w:p>
        </w:tc>
        <w:tc>
          <w:tcPr>
            <w:tcW w:w="842" w:type="dxa"/>
            <w:vAlign w:val="center"/>
          </w:tcPr>
          <w:p w14:paraId="43BB08EB">
            <w:pPr>
              <w:widowControl/>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非甲烷总烃</w:t>
            </w:r>
          </w:p>
        </w:tc>
        <w:tc>
          <w:tcPr>
            <w:tcW w:w="749" w:type="dxa"/>
            <w:vMerge w:val="continue"/>
            <w:vAlign w:val="center"/>
          </w:tcPr>
          <w:p w14:paraId="5A8A7BAC">
            <w:pPr>
              <w:widowControl/>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p>
        </w:tc>
        <w:tc>
          <w:tcPr>
            <w:tcW w:w="851" w:type="dxa"/>
            <w:vMerge w:val="restart"/>
            <w:vAlign w:val="center"/>
          </w:tcPr>
          <w:p w14:paraId="02B9CF23">
            <w:pPr>
              <w:widowControl/>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4000</w:t>
            </w:r>
          </w:p>
        </w:tc>
        <w:tc>
          <w:tcPr>
            <w:tcW w:w="798" w:type="dxa"/>
            <w:vAlign w:val="center"/>
          </w:tcPr>
          <w:p w14:paraId="5C1263C2">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12.656</w:t>
            </w:r>
          </w:p>
        </w:tc>
        <w:tc>
          <w:tcPr>
            <w:tcW w:w="767" w:type="dxa"/>
            <w:vAlign w:val="center"/>
          </w:tcPr>
          <w:p w14:paraId="6FCA12CE">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0.051</w:t>
            </w:r>
          </w:p>
        </w:tc>
        <w:tc>
          <w:tcPr>
            <w:tcW w:w="854" w:type="dxa"/>
            <w:vAlign w:val="center"/>
          </w:tcPr>
          <w:p w14:paraId="13DA14C9">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0.243</w:t>
            </w:r>
          </w:p>
        </w:tc>
        <w:tc>
          <w:tcPr>
            <w:tcW w:w="667" w:type="dxa"/>
            <w:vMerge w:val="restart"/>
            <w:vAlign w:val="center"/>
          </w:tcPr>
          <w:p w14:paraId="327483F7">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二级活性炭装置</w:t>
            </w:r>
          </w:p>
        </w:tc>
        <w:tc>
          <w:tcPr>
            <w:tcW w:w="677" w:type="dxa"/>
            <w:vMerge w:val="restart"/>
            <w:vAlign w:val="center"/>
          </w:tcPr>
          <w:p w14:paraId="756D5FE2">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90</w:t>
            </w:r>
          </w:p>
        </w:tc>
        <w:tc>
          <w:tcPr>
            <w:tcW w:w="668" w:type="dxa"/>
            <w:vMerge w:val="restart"/>
            <w:vAlign w:val="center"/>
          </w:tcPr>
          <w:p w14:paraId="087E6347">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是</w:t>
            </w:r>
          </w:p>
        </w:tc>
        <w:tc>
          <w:tcPr>
            <w:tcW w:w="811" w:type="dxa"/>
            <w:vMerge w:val="restart"/>
            <w:vAlign w:val="center"/>
          </w:tcPr>
          <w:p w14:paraId="3F725499">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4000</w:t>
            </w:r>
          </w:p>
        </w:tc>
        <w:tc>
          <w:tcPr>
            <w:tcW w:w="798" w:type="dxa"/>
            <w:vAlign w:val="center"/>
          </w:tcPr>
          <w:p w14:paraId="0C7A06FB">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1.2656</w:t>
            </w:r>
          </w:p>
        </w:tc>
        <w:tc>
          <w:tcPr>
            <w:tcW w:w="794" w:type="dxa"/>
            <w:vAlign w:val="center"/>
          </w:tcPr>
          <w:p w14:paraId="38E0EAEF">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0.0051</w:t>
            </w:r>
          </w:p>
        </w:tc>
        <w:tc>
          <w:tcPr>
            <w:tcW w:w="860" w:type="dxa"/>
            <w:vAlign w:val="center"/>
          </w:tcPr>
          <w:p w14:paraId="67480CD3">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0.0243</w:t>
            </w:r>
          </w:p>
        </w:tc>
        <w:tc>
          <w:tcPr>
            <w:tcW w:w="861" w:type="dxa"/>
            <w:vAlign w:val="center"/>
          </w:tcPr>
          <w:p w14:paraId="3B82CAFB">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60</w:t>
            </w:r>
          </w:p>
        </w:tc>
        <w:tc>
          <w:tcPr>
            <w:tcW w:w="676" w:type="dxa"/>
            <w:vAlign w:val="center"/>
          </w:tcPr>
          <w:p w14:paraId="04881C96">
            <w:pPr>
              <w:widowControl/>
              <w:jc w:val="center"/>
              <w:textAlignment w:val="center"/>
              <w:rPr>
                <w:rFonts w:hint="default"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w:t>
            </w:r>
          </w:p>
        </w:tc>
        <w:tc>
          <w:tcPr>
            <w:tcW w:w="919" w:type="dxa"/>
            <w:vMerge w:val="restart"/>
            <w:vAlign w:val="center"/>
          </w:tcPr>
          <w:p w14:paraId="22574D12">
            <w:pPr>
              <w:widowControl/>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DA002</w:t>
            </w:r>
          </w:p>
        </w:tc>
      </w:tr>
      <w:tr w14:paraId="3EE469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81" w:type="dxa"/>
            <w:vMerge w:val="continue"/>
            <w:vAlign w:val="center"/>
          </w:tcPr>
          <w:p w14:paraId="08B78692">
            <w:pPr>
              <w:widowControl/>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p>
        </w:tc>
        <w:tc>
          <w:tcPr>
            <w:tcW w:w="842" w:type="dxa"/>
            <w:vAlign w:val="center"/>
          </w:tcPr>
          <w:p w14:paraId="3F163D14">
            <w:pPr>
              <w:widowControl/>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乙醛</w:t>
            </w:r>
          </w:p>
        </w:tc>
        <w:tc>
          <w:tcPr>
            <w:tcW w:w="749" w:type="dxa"/>
            <w:vMerge w:val="continue"/>
            <w:vAlign w:val="center"/>
          </w:tcPr>
          <w:p w14:paraId="6797F25F">
            <w:pPr>
              <w:widowControl/>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p>
        </w:tc>
        <w:tc>
          <w:tcPr>
            <w:tcW w:w="851" w:type="dxa"/>
            <w:vMerge w:val="continue"/>
            <w:vAlign w:val="center"/>
          </w:tcPr>
          <w:p w14:paraId="173F603E">
            <w:pPr>
              <w:widowControl/>
              <w:jc w:val="center"/>
              <w:textAlignment w:val="center"/>
              <w:rPr>
                <w:rFonts w:hint="eastAsia" w:cs="Times New Roman"/>
                <w:color w:val="000000" w:themeColor="text1"/>
                <w:kern w:val="0"/>
                <w:szCs w:val="21"/>
                <w:highlight w:val="none"/>
                <w:lang w:val="en-US" w:eastAsia="zh-CN" w:bidi="ar"/>
                <w14:textFill>
                  <w14:solidFill>
                    <w14:schemeClr w14:val="tx1"/>
                  </w14:solidFill>
                </w14:textFill>
              </w:rPr>
            </w:pPr>
          </w:p>
        </w:tc>
        <w:tc>
          <w:tcPr>
            <w:tcW w:w="798" w:type="dxa"/>
            <w:shd w:val="clear" w:color="auto" w:fill="auto"/>
            <w:vAlign w:val="center"/>
          </w:tcPr>
          <w:p w14:paraId="24D1EC53">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0.141</w:t>
            </w:r>
          </w:p>
        </w:tc>
        <w:tc>
          <w:tcPr>
            <w:tcW w:w="767" w:type="dxa"/>
            <w:shd w:val="clear" w:color="auto" w:fill="auto"/>
            <w:vAlign w:val="center"/>
          </w:tcPr>
          <w:p w14:paraId="0D972186">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0.001</w:t>
            </w:r>
          </w:p>
        </w:tc>
        <w:tc>
          <w:tcPr>
            <w:tcW w:w="854" w:type="dxa"/>
            <w:shd w:val="clear" w:color="auto" w:fill="auto"/>
            <w:vAlign w:val="center"/>
          </w:tcPr>
          <w:p w14:paraId="63E00B3B">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0.0027</w:t>
            </w:r>
          </w:p>
        </w:tc>
        <w:tc>
          <w:tcPr>
            <w:tcW w:w="667" w:type="dxa"/>
            <w:vMerge w:val="continue"/>
            <w:vAlign w:val="center"/>
          </w:tcPr>
          <w:p w14:paraId="2A3D8B18">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677" w:type="dxa"/>
            <w:vMerge w:val="continue"/>
            <w:vAlign w:val="center"/>
          </w:tcPr>
          <w:p w14:paraId="5433BCDF">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668" w:type="dxa"/>
            <w:vMerge w:val="continue"/>
            <w:vAlign w:val="center"/>
          </w:tcPr>
          <w:p w14:paraId="3CCBCA95">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11" w:type="dxa"/>
            <w:vMerge w:val="continue"/>
            <w:vAlign w:val="center"/>
          </w:tcPr>
          <w:p w14:paraId="355624D5">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798" w:type="dxa"/>
            <w:shd w:val="clear" w:color="auto" w:fill="auto"/>
            <w:vAlign w:val="center"/>
          </w:tcPr>
          <w:p w14:paraId="10433CE6">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0.0141</w:t>
            </w:r>
          </w:p>
        </w:tc>
        <w:tc>
          <w:tcPr>
            <w:tcW w:w="794" w:type="dxa"/>
            <w:shd w:val="clear" w:color="auto" w:fill="auto"/>
            <w:vAlign w:val="center"/>
          </w:tcPr>
          <w:p w14:paraId="24793318">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0.0001</w:t>
            </w:r>
          </w:p>
        </w:tc>
        <w:tc>
          <w:tcPr>
            <w:tcW w:w="860" w:type="dxa"/>
            <w:shd w:val="clear" w:color="auto" w:fill="auto"/>
            <w:vAlign w:val="center"/>
          </w:tcPr>
          <w:p w14:paraId="00433164">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0.0003</w:t>
            </w:r>
          </w:p>
        </w:tc>
        <w:tc>
          <w:tcPr>
            <w:tcW w:w="861" w:type="dxa"/>
            <w:shd w:val="clear" w:color="auto" w:fill="auto"/>
            <w:vAlign w:val="center"/>
          </w:tcPr>
          <w:p w14:paraId="1CE8AA11">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20</w:t>
            </w:r>
          </w:p>
        </w:tc>
        <w:tc>
          <w:tcPr>
            <w:tcW w:w="676" w:type="dxa"/>
            <w:shd w:val="clear" w:color="auto" w:fill="auto"/>
            <w:vAlign w:val="center"/>
          </w:tcPr>
          <w:p w14:paraId="0BF124C0">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w:t>
            </w:r>
          </w:p>
        </w:tc>
        <w:tc>
          <w:tcPr>
            <w:tcW w:w="919" w:type="dxa"/>
            <w:vMerge w:val="continue"/>
            <w:vAlign w:val="center"/>
          </w:tcPr>
          <w:p w14:paraId="39A0BC2D">
            <w:pPr>
              <w:widowControl/>
              <w:jc w:val="center"/>
              <w:textAlignment w:val="center"/>
              <w:rPr>
                <w:rFonts w:hint="eastAsia" w:cs="Times New Roman"/>
                <w:color w:val="000000" w:themeColor="text1"/>
                <w:kern w:val="0"/>
                <w:szCs w:val="21"/>
                <w:highlight w:val="none"/>
                <w:lang w:val="en-US" w:eastAsia="zh-CN" w:bidi="ar"/>
                <w14:textFill>
                  <w14:solidFill>
                    <w14:schemeClr w14:val="tx1"/>
                  </w14:solidFill>
                </w14:textFill>
              </w:rPr>
            </w:pPr>
          </w:p>
        </w:tc>
      </w:tr>
      <w:tr w14:paraId="58195A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81" w:type="dxa"/>
            <w:vMerge w:val="continue"/>
            <w:vAlign w:val="center"/>
          </w:tcPr>
          <w:p w14:paraId="65BFC3E4">
            <w:pPr>
              <w:widowControl/>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p>
        </w:tc>
        <w:tc>
          <w:tcPr>
            <w:tcW w:w="842" w:type="dxa"/>
            <w:vAlign w:val="center"/>
          </w:tcPr>
          <w:p w14:paraId="5FD70B1A">
            <w:pPr>
              <w:widowControl/>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四氢呋喃</w:t>
            </w:r>
          </w:p>
        </w:tc>
        <w:tc>
          <w:tcPr>
            <w:tcW w:w="749" w:type="dxa"/>
            <w:vMerge w:val="continue"/>
            <w:vAlign w:val="center"/>
          </w:tcPr>
          <w:p w14:paraId="499BB688">
            <w:pPr>
              <w:widowControl/>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p>
        </w:tc>
        <w:tc>
          <w:tcPr>
            <w:tcW w:w="851" w:type="dxa"/>
            <w:vMerge w:val="continue"/>
            <w:vAlign w:val="center"/>
          </w:tcPr>
          <w:p w14:paraId="0D5F7AB4">
            <w:pPr>
              <w:widowControl/>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p>
        </w:tc>
        <w:tc>
          <w:tcPr>
            <w:tcW w:w="798" w:type="dxa"/>
            <w:shd w:val="clear" w:color="auto" w:fill="auto"/>
            <w:vAlign w:val="center"/>
          </w:tcPr>
          <w:p w14:paraId="52264260">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1.578</w:t>
            </w:r>
          </w:p>
        </w:tc>
        <w:tc>
          <w:tcPr>
            <w:tcW w:w="767" w:type="dxa"/>
            <w:shd w:val="clear" w:color="auto" w:fill="auto"/>
            <w:vAlign w:val="center"/>
          </w:tcPr>
          <w:p w14:paraId="21BD1F9E">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0.006</w:t>
            </w:r>
          </w:p>
        </w:tc>
        <w:tc>
          <w:tcPr>
            <w:tcW w:w="854" w:type="dxa"/>
            <w:shd w:val="clear" w:color="auto" w:fill="auto"/>
            <w:vAlign w:val="center"/>
          </w:tcPr>
          <w:p w14:paraId="270F0B0A">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0.0303</w:t>
            </w:r>
          </w:p>
        </w:tc>
        <w:tc>
          <w:tcPr>
            <w:tcW w:w="667" w:type="dxa"/>
            <w:vMerge w:val="continue"/>
            <w:vAlign w:val="center"/>
          </w:tcPr>
          <w:p w14:paraId="2B9BB5E6">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677" w:type="dxa"/>
            <w:vMerge w:val="continue"/>
            <w:vAlign w:val="center"/>
          </w:tcPr>
          <w:p w14:paraId="1689EA75">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668" w:type="dxa"/>
            <w:vMerge w:val="continue"/>
            <w:vAlign w:val="center"/>
          </w:tcPr>
          <w:p w14:paraId="239ED4B3">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11" w:type="dxa"/>
            <w:vMerge w:val="continue"/>
            <w:vAlign w:val="center"/>
          </w:tcPr>
          <w:p w14:paraId="28ABA8A7">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798" w:type="dxa"/>
            <w:shd w:val="clear" w:color="auto" w:fill="auto"/>
            <w:vAlign w:val="center"/>
          </w:tcPr>
          <w:p w14:paraId="135A53F3">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0.1578</w:t>
            </w:r>
          </w:p>
        </w:tc>
        <w:tc>
          <w:tcPr>
            <w:tcW w:w="794" w:type="dxa"/>
            <w:shd w:val="clear" w:color="auto" w:fill="auto"/>
            <w:vAlign w:val="center"/>
          </w:tcPr>
          <w:p w14:paraId="699108BB">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0.0006</w:t>
            </w:r>
          </w:p>
        </w:tc>
        <w:tc>
          <w:tcPr>
            <w:tcW w:w="860" w:type="dxa"/>
            <w:shd w:val="clear" w:color="auto" w:fill="auto"/>
            <w:vAlign w:val="center"/>
          </w:tcPr>
          <w:p w14:paraId="3B9FEC55">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0.0030</w:t>
            </w:r>
          </w:p>
        </w:tc>
        <w:tc>
          <w:tcPr>
            <w:tcW w:w="861" w:type="dxa"/>
            <w:shd w:val="clear" w:color="auto" w:fill="auto"/>
            <w:vAlign w:val="center"/>
          </w:tcPr>
          <w:p w14:paraId="473FA133">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50</w:t>
            </w:r>
          </w:p>
        </w:tc>
        <w:tc>
          <w:tcPr>
            <w:tcW w:w="676" w:type="dxa"/>
            <w:shd w:val="clear" w:color="auto" w:fill="auto"/>
            <w:vAlign w:val="center"/>
          </w:tcPr>
          <w:p w14:paraId="75CD5AE8">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w:t>
            </w:r>
          </w:p>
        </w:tc>
        <w:tc>
          <w:tcPr>
            <w:tcW w:w="919" w:type="dxa"/>
            <w:vMerge w:val="continue"/>
            <w:vAlign w:val="center"/>
          </w:tcPr>
          <w:p w14:paraId="333278C3">
            <w:pPr>
              <w:widowControl/>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p>
        </w:tc>
      </w:tr>
      <w:bookmarkEnd w:id="6"/>
      <w:bookmarkEnd w:id="7"/>
    </w:tbl>
    <w:p w14:paraId="589E8AAD">
      <w:pPr>
        <w:pStyle w:val="154"/>
        <w:keepNext w:val="0"/>
        <w:keepLines w:val="0"/>
        <w:pageBreakBefore w:val="0"/>
        <w:widowControl w:val="0"/>
        <w:numPr>
          <w:ilvl w:val="0"/>
          <w:numId w:val="0"/>
        </w:numPr>
        <w:kinsoku/>
        <w:wordWrap/>
        <w:overflowPunct/>
        <w:topLinePunct w:val="0"/>
        <w:autoSpaceDE/>
        <w:autoSpaceDN/>
        <w:bidi w:val="0"/>
        <w:spacing w:line="440" w:lineRule="exact"/>
        <w:ind w:left="425" w:leftChars="0" w:firstLine="0" w:firstLineChars="0"/>
        <w:textAlignment w:val="auto"/>
        <w:rPr>
          <w:rFonts w:hint="default" w:ascii="Times New Roman" w:hAnsi="Times New Roman" w:eastAsia="宋体" w:cs="宋体"/>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宋体"/>
          <w:b/>
          <w:color w:val="000000" w:themeColor="text1"/>
          <w:kern w:val="2"/>
          <w:sz w:val="24"/>
          <w:szCs w:val="24"/>
          <w:highlight w:val="none"/>
          <w:lang w:val="en-US" w:eastAsia="zh-CN" w:bidi="ar-SA"/>
          <w14:textFill>
            <w14:solidFill>
              <w14:schemeClr w14:val="tx1"/>
            </w14:solidFill>
          </w14:textFill>
        </w:rPr>
        <w:t>表4-</w:t>
      </w:r>
      <w:r>
        <w:rPr>
          <w:rFonts w:hint="eastAsia" w:ascii="Times New Roman" w:hAnsi="Times New Roman" w:eastAsia="宋体" w:cs="宋体"/>
          <w:b/>
          <w:color w:val="000000" w:themeColor="text1"/>
          <w:kern w:val="2"/>
          <w:sz w:val="24"/>
          <w:szCs w:val="24"/>
          <w:highlight w:val="none"/>
          <w:lang w:val="en-US" w:eastAsia="zh-CN" w:bidi="ar-SA"/>
          <w14:textFill>
            <w14:solidFill>
              <w14:schemeClr w14:val="tx1"/>
            </w14:solidFill>
          </w14:textFill>
        </w:rPr>
        <w:t>3</w:t>
      </w:r>
      <w:r>
        <w:rPr>
          <w:rFonts w:hint="default" w:ascii="Times New Roman" w:hAnsi="Times New Roman" w:eastAsia="宋体" w:cs="宋体"/>
          <w:b/>
          <w:color w:val="000000" w:themeColor="text1"/>
          <w:kern w:val="2"/>
          <w:sz w:val="24"/>
          <w:szCs w:val="24"/>
          <w:highlight w:val="none"/>
          <w:lang w:val="en-US" w:eastAsia="zh-CN" w:bidi="ar-SA"/>
          <w14:textFill>
            <w14:solidFill>
              <w14:schemeClr w14:val="tx1"/>
            </w14:solidFill>
          </w14:textFill>
        </w:rPr>
        <w:t xml:space="preserve">  基准排气量情况下有组织废气排放情况一览表</w:t>
      </w:r>
    </w:p>
    <w:tbl>
      <w:tblPr>
        <w:tblStyle w:val="38"/>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744"/>
        <w:gridCol w:w="1407"/>
        <w:gridCol w:w="1116"/>
        <w:gridCol w:w="1028"/>
        <w:gridCol w:w="1238"/>
        <w:gridCol w:w="1280"/>
        <w:gridCol w:w="1124"/>
        <w:gridCol w:w="1124"/>
        <w:gridCol w:w="1116"/>
        <w:gridCol w:w="1480"/>
        <w:gridCol w:w="1350"/>
      </w:tblGrid>
      <w:tr w14:paraId="4953FF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86" w:type="pct"/>
            <w:tcBorders>
              <w:tl2br w:val="nil"/>
              <w:tr2bl w:val="nil"/>
            </w:tcBorders>
            <w:noWrap w:val="0"/>
            <w:vAlign w:val="center"/>
          </w:tcPr>
          <w:p w14:paraId="0C707B26">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工序</w:t>
            </w:r>
          </w:p>
        </w:tc>
        <w:tc>
          <w:tcPr>
            <w:tcW w:w="541" w:type="pct"/>
            <w:tcBorders>
              <w:tl2br w:val="nil"/>
              <w:tr2bl w:val="nil"/>
            </w:tcBorders>
            <w:noWrap w:val="0"/>
            <w:vAlign w:val="center"/>
          </w:tcPr>
          <w:p w14:paraId="61D6CB50">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污染物</w:t>
            </w:r>
          </w:p>
        </w:tc>
        <w:tc>
          <w:tcPr>
            <w:tcW w:w="429" w:type="pct"/>
            <w:tcBorders>
              <w:tl2br w:val="nil"/>
              <w:tr2bl w:val="nil"/>
            </w:tcBorders>
            <w:noWrap w:val="0"/>
            <w:vAlign w:val="center"/>
          </w:tcPr>
          <w:p w14:paraId="3B50DB2B">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产生量（t/a）</w:t>
            </w:r>
          </w:p>
        </w:tc>
        <w:tc>
          <w:tcPr>
            <w:tcW w:w="395" w:type="pct"/>
            <w:tcBorders>
              <w:tl2br w:val="nil"/>
              <w:tr2bl w:val="nil"/>
            </w:tcBorders>
            <w:noWrap w:val="0"/>
            <w:vAlign w:val="center"/>
          </w:tcPr>
          <w:p w14:paraId="0AB944D4">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排放量（t/a）</w:t>
            </w:r>
          </w:p>
        </w:tc>
        <w:tc>
          <w:tcPr>
            <w:tcW w:w="476" w:type="pct"/>
            <w:tcBorders>
              <w:tl2br w:val="nil"/>
              <w:tr2bl w:val="nil"/>
            </w:tcBorders>
            <w:noWrap w:val="0"/>
            <w:vAlign w:val="center"/>
          </w:tcPr>
          <w:p w14:paraId="62C8518D">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实际排气量（m</w:t>
            </w:r>
            <w:r>
              <w:rPr>
                <w:rFonts w:hint="default" w:ascii="Times New Roman" w:hAnsi="Times New Roman" w:eastAsia="宋体" w:cs="Times New Roman"/>
                <w:b/>
                <w:bCs/>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/h）</w:t>
            </w:r>
          </w:p>
        </w:tc>
        <w:tc>
          <w:tcPr>
            <w:tcW w:w="492" w:type="pct"/>
            <w:tcBorders>
              <w:tl2br w:val="nil"/>
              <w:tr2bl w:val="nil"/>
            </w:tcBorders>
            <w:noWrap w:val="0"/>
            <w:vAlign w:val="center"/>
          </w:tcPr>
          <w:p w14:paraId="6392822A">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排放浓度（mg/m</w:t>
            </w:r>
            <w:r>
              <w:rPr>
                <w:rFonts w:hint="default" w:ascii="Times New Roman" w:hAnsi="Times New Roman" w:eastAsia="宋体" w:cs="Times New Roman"/>
                <w:b/>
                <w:bCs/>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w:t>
            </w:r>
          </w:p>
        </w:tc>
        <w:tc>
          <w:tcPr>
            <w:tcW w:w="1117" w:type="dxa"/>
            <w:tcBorders>
              <w:tl2br w:val="nil"/>
              <w:tr2bl w:val="nil"/>
            </w:tcBorders>
            <w:noWrap w:val="0"/>
            <w:vAlign w:val="center"/>
          </w:tcPr>
          <w:p w14:paraId="0BDE127C">
            <w:pPr>
              <w:snapToGrid w:val="0"/>
              <w:spacing w:line="240" w:lineRule="exact"/>
              <w:jc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b/>
                <w:bCs/>
                <w:color w:val="000000" w:themeColor="text1"/>
                <w:szCs w:val="21"/>
                <w:highlight w:val="none"/>
                <w14:textFill>
                  <w14:solidFill>
                    <w14:schemeClr w14:val="tx1"/>
                  </w14:solidFill>
                </w14:textFill>
              </w:rPr>
              <w:t>工作时间h</w:t>
            </w:r>
          </w:p>
        </w:tc>
        <w:tc>
          <w:tcPr>
            <w:tcW w:w="1117" w:type="dxa"/>
            <w:tcBorders>
              <w:tl2br w:val="nil"/>
              <w:tr2bl w:val="nil"/>
            </w:tcBorders>
            <w:noWrap w:val="0"/>
            <w:vAlign w:val="center"/>
          </w:tcPr>
          <w:p w14:paraId="022679DF">
            <w:pPr>
              <w:snapToGrid w:val="0"/>
              <w:spacing w:line="240" w:lineRule="exact"/>
              <w:jc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eastAsia"/>
                <w:b/>
                <w:bCs/>
                <w:color w:val="000000" w:themeColor="text1"/>
                <w:szCs w:val="21"/>
                <w:highlight w:val="none"/>
                <w:lang w:val="en-US" w:eastAsia="zh-CN"/>
                <w14:textFill>
                  <w14:solidFill>
                    <w14:schemeClr w14:val="tx1"/>
                  </w14:solidFill>
                </w14:textFill>
              </w:rPr>
              <w:t>炼胶量t</w:t>
            </w:r>
          </w:p>
        </w:tc>
        <w:tc>
          <w:tcPr>
            <w:tcW w:w="429" w:type="pct"/>
            <w:tcBorders>
              <w:tl2br w:val="nil"/>
              <w:tr2bl w:val="nil"/>
            </w:tcBorders>
            <w:noWrap w:val="0"/>
            <w:vAlign w:val="center"/>
          </w:tcPr>
          <w:p w14:paraId="39255E3E">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基准排气量（m</w:t>
            </w:r>
            <w:r>
              <w:rPr>
                <w:rFonts w:hint="default" w:ascii="Times New Roman" w:hAnsi="Times New Roman" w:eastAsia="宋体" w:cs="Times New Roman"/>
                <w:b/>
                <w:bCs/>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w:t>
            </w:r>
            <w:r>
              <w:rPr>
                <w:rFonts w:hint="eastAsia" w:cs="Times New Roman"/>
                <w:b/>
                <w:bCs/>
                <w:i w:val="0"/>
                <w:iCs w:val="0"/>
                <w:color w:val="000000" w:themeColor="text1"/>
                <w:kern w:val="0"/>
                <w:sz w:val="21"/>
                <w:szCs w:val="21"/>
                <w:highlight w:val="none"/>
                <w:u w:val="none"/>
                <w:lang w:val="en-US" w:eastAsia="zh-CN" w:bidi="ar"/>
                <w14:textFill>
                  <w14:solidFill>
                    <w14:schemeClr w14:val="tx1"/>
                  </w14:solidFill>
                </w14:textFill>
              </w:rPr>
              <w:t>t</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w:t>
            </w:r>
          </w:p>
        </w:tc>
        <w:tc>
          <w:tcPr>
            <w:tcW w:w="569" w:type="pct"/>
            <w:tcBorders>
              <w:tl2br w:val="nil"/>
              <w:tr2bl w:val="nil"/>
            </w:tcBorders>
            <w:noWrap w:val="0"/>
            <w:vAlign w:val="center"/>
          </w:tcPr>
          <w:p w14:paraId="61B04253">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基准排气浓度（mg/m</w:t>
            </w:r>
            <w:r>
              <w:rPr>
                <w:rFonts w:hint="default" w:ascii="Times New Roman" w:hAnsi="Times New Roman" w:eastAsia="宋体" w:cs="Times New Roman"/>
                <w:b/>
                <w:bCs/>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w:t>
            </w:r>
          </w:p>
        </w:tc>
        <w:tc>
          <w:tcPr>
            <w:tcW w:w="519" w:type="pct"/>
            <w:tcBorders>
              <w:tl2br w:val="nil"/>
              <w:tr2bl w:val="nil"/>
            </w:tcBorders>
            <w:noWrap w:val="0"/>
            <w:vAlign w:val="center"/>
          </w:tcPr>
          <w:p w14:paraId="630B1C2B">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执行标准（mg/m</w:t>
            </w:r>
            <w:r>
              <w:rPr>
                <w:rFonts w:hint="default" w:ascii="Times New Roman" w:hAnsi="Times New Roman" w:eastAsia="宋体" w:cs="Times New Roman"/>
                <w:b/>
                <w:bCs/>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w:t>
            </w:r>
          </w:p>
        </w:tc>
      </w:tr>
      <w:tr w14:paraId="5BC4E4E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0" w:hRule="atLeast"/>
          <w:jc w:val="center"/>
        </w:trPr>
        <w:tc>
          <w:tcPr>
            <w:tcW w:w="286" w:type="pct"/>
            <w:tcBorders>
              <w:tl2br w:val="nil"/>
              <w:tr2bl w:val="nil"/>
            </w:tcBorders>
            <w:noWrap w:val="0"/>
            <w:vAlign w:val="center"/>
          </w:tcPr>
          <w:p w14:paraId="376A8FD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硫化</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废气</w:t>
            </w:r>
          </w:p>
        </w:tc>
        <w:tc>
          <w:tcPr>
            <w:tcW w:w="541" w:type="pct"/>
            <w:tcBorders>
              <w:tl2br w:val="nil"/>
              <w:tr2bl w:val="nil"/>
            </w:tcBorders>
            <w:noWrap w:val="0"/>
            <w:vAlign w:val="center"/>
          </w:tcPr>
          <w:p w14:paraId="6EC9D37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非甲烷总烃</w:t>
            </w:r>
          </w:p>
        </w:tc>
        <w:tc>
          <w:tcPr>
            <w:tcW w:w="429" w:type="pct"/>
            <w:tcBorders>
              <w:tl2br w:val="nil"/>
              <w:tr2bl w:val="nil"/>
            </w:tcBorders>
            <w:noWrap w:val="0"/>
            <w:vAlign w:val="center"/>
          </w:tcPr>
          <w:p w14:paraId="68E23CB3">
            <w:pPr>
              <w:widowControl/>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0.00</w:t>
            </w:r>
            <w:r>
              <w:rPr>
                <w:rFonts w:hint="eastAsia" w:cs="Times New Roman"/>
                <w:color w:val="000000" w:themeColor="text1"/>
                <w:kern w:val="0"/>
                <w:szCs w:val="21"/>
                <w:highlight w:val="none"/>
                <w:lang w:val="en-US" w:eastAsia="zh-CN" w:bidi="ar"/>
                <w14:textFill>
                  <w14:solidFill>
                    <w14:schemeClr w14:val="tx1"/>
                  </w14:solidFill>
                </w14:textFill>
              </w:rPr>
              <w:t>95</w:t>
            </w:r>
          </w:p>
        </w:tc>
        <w:tc>
          <w:tcPr>
            <w:tcW w:w="395" w:type="pct"/>
            <w:tcBorders>
              <w:tl2br w:val="nil"/>
              <w:tr2bl w:val="nil"/>
            </w:tcBorders>
            <w:noWrap w:val="0"/>
            <w:vAlign w:val="center"/>
          </w:tcPr>
          <w:p w14:paraId="72D501DE">
            <w:pPr>
              <w:widowControl/>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0.00</w:t>
            </w:r>
            <w:r>
              <w:rPr>
                <w:rFonts w:hint="eastAsia" w:cs="Times New Roman"/>
                <w:color w:val="000000" w:themeColor="text1"/>
                <w:kern w:val="0"/>
                <w:szCs w:val="21"/>
                <w:highlight w:val="none"/>
                <w:lang w:val="en-US" w:eastAsia="zh-CN" w:bidi="ar"/>
                <w14:textFill>
                  <w14:solidFill>
                    <w14:schemeClr w14:val="tx1"/>
                  </w14:solidFill>
                </w14:textFill>
              </w:rPr>
              <w:t>1</w:t>
            </w:r>
          </w:p>
        </w:tc>
        <w:tc>
          <w:tcPr>
            <w:tcW w:w="476" w:type="pct"/>
            <w:tcBorders>
              <w:tl2br w:val="nil"/>
              <w:tr2bl w:val="nil"/>
            </w:tcBorders>
            <w:noWrap w:val="0"/>
            <w:vAlign w:val="center"/>
          </w:tcPr>
          <w:p w14:paraId="05DA459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w:t>
            </w:r>
          </w:p>
        </w:tc>
        <w:tc>
          <w:tcPr>
            <w:tcW w:w="492" w:type="pct"/>
            <w:tcBorders>
              <w:tl2br w:val="nil"/>
              <w:tr2bl w:val="nil"/>
            </w:tcBorders>
            <w:noWrap w:val="0"/>
            <w:vAlign w:val="center"/>
          </w:tcPr>
          <w:p w14:paraId="24BE9358">
            <w:pPr>
              <w:widowControl/>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w:t>
            </w:r>
            <w:r>
              <w:rPr>
                <w:rFonts w:hint="eastAsia" w:cs="Times New Roman"/>
                <w:color w:val="000000" w:themeColor="text1"/>
                <w:kern w:val="0"/>
                <w:szCs w:val="21"/>
                <w:highlight w:val="none"/>
                <w:lang w:val="en-US" w:eastAsia="zh-CN" w:bidi="ar"/>
                <w14:textFill>
                  <w14:solidFill>
                    <w14:schemeClr w14:val="tx1"/>
                  </w14:solidFill>
                </w14:textFill>
              </w:rPr>
              <w:t>66</w:t>
            </w:r>
          </w:p>
        </w:tc>
        <w:tc>
          <w:tcPr>
            <w:tcW w:w="1117" w:type="dxa"/>
            <w:tcBorders>
              <w:tl2br w:val="nil"/>
              <w:tr2bl w:val="nil"/>
            </w:tcBorders>
            <w:noWrap w:val="0"/>
            <w:vAlign w:val="center"/>
          </w:tcPr>
          <w:p w14:paraId="1CCECB29">
            <w:pPr>
              <w:widowControl/>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48</w:t>
            </w: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w:t>
            </w:r>
          </w:p>
        </w:tc>
        <w:tc>
          <w:tcPr>
            <w:tcW w:w="1117" w:type="dxa"/>
            <w:tcBorders>
              <w:tl2br w:val="nil"/>
              <w:tr2bl w:val="nil"/>
            </w:tcBorders>
            <w:noWrap w:val="0"/>
            <w:vAlign w:val="center"/>
          </w:tcPr>
          <w:p w14:paraId="28AA10EA">
            <w:pPr>
              <w:widowControl/>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50.06</w:t>
            </w:r>
          </w:p>
        </w:tc>
        <w:tc>
          <w:tcPr>
            <w:tcW w:w="429" w:type="pct"/>
            <w:tcBorders>
              <w:tl2br w:val="nil"/>
              <w:tr2bl w:val="nil"/>
            </w:tcBorders>
            <w:noWrap w:val="0"/>
            <w:vAlign w:val="center"/>
          </w:tcPr>
          <w:p w14:paraId="5F6B07F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w:t>
            </w:r>
          </w:p>
        </w:tc>
        <w:tc>
          <w:tcPr>
            <w:tcW w:w="569" w:type="pct"/>
            <w:tcBorders>
              <w:tl2br w:val="nil"/>
              <w:tr2bl w:val="nil"/>
            </w:tcBorders>
            <w:noWrap w:val="0"/>
            <w:vAlign w:val="center"/>
          </w:tcPr>
          <w:p w14:paraId="1639E972">
            <w:pPr>
              <w:widowControl/>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9.5</w:t>
            </w:r>
          </w:p>
        </w:tc>
        <w:tc>
          <w:tcPr>
            <w:tcW w:w="519" w:type="pct"/>
            <w:tcBorders>
              <w:tl2br w:val="nil"/>
              <w:tr2bl w:val="nil"/>
            </w:tcBorders>
            <w:noWrap w:val="0"/>
            <w:vAlign w:val="center"/>
          </w:tcPr>
          <w:p w14:paraId="39AB2185">
            <w:pPr>
              <w:snapToGrid w:val="0"/>
              <w:spacing w:line="240" w:lineRule="exact"/>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10</w:t>
            </w:r>
          </w:p>
        </w:tc>
      </w:tr>
    </w:tbl>
    <w:p w14:paraId="4C4B8FC6">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由上表可知，</w:t>
      </w:r>
      <w:r>
        <w:rPr>
          <w:rFonts w:hint="eastAsia"/>
          <w:color w:val="000000" w:themeColor="text1"/>
          <w:sz w:val="24"/>
          <w:highlight w:val="none"/>
          <w:lang w:val="en-US" w:eastAsia="zh-CN"/>
          <w14:textFill>
            <w14:solidFill>
              <w14:schemeClr w14:val="tx1"/>
            </w14:solidFill>
          </w14:textFill>
        </w:rPr>
        <w:t>DA001有组织</w:t>
      </w:r>
      <w:r>
        <w:rPr>
          <w:color w:val="000000" w:themeColor="text1"/>
          <w:sz w:val="24"/>
          <w:szCs w:val="21"/>
          <w:highlight w:val="none"/>
          <w14:textFill>
            <w14:solidFill>
              <w14:schemeClr w14:val="tx1"/>
            </w14:solidFill>
          </w14:textFill>
        </w:rPr>
        <w:t>非甲烷总烃</w:t>
      </w:r>
      <w:r>
        <w:rPr>
          <w:rFonts w:hint="eastAsia"/>
          <w:color w:val="000000" w:themeColor="text1"/>
          <w:sz w:val="24"/>
          <w:szCs w:val="21"/>
          <w:highlight w:val="none"/>
          <w:lang w:val="en-US" w:eastAsia="zh-CN"/>
          <w14:textFill>
            <w14:solidFill>
              <w14:schemeClr w14:val="tx1"/>
            </w14:solidFill>
          </w14:textFill>
        </w:rPr>
        <w:t>满足</w:t>
      </w:r>
      <w:r>
        <w:rPr>
          <w:rFonts w:hint="eastAsia"/>
          <w:color w:val="000000" w:themeColor="text1"/>
          <w:sz w:val="24"/>
          <w:szCs w:val="21"/>
          <w:highlight w:val="none"/>
          <w:lang w:eastAsia="zh-CN"/>
          <w14:textFill>
            <w14:solidFill>
              <w14:schemeClr w14:val="tx1"/>
            </w14:solidFill>
          </w14:textFill>
        </w:rPr>
        <w:t>《橡胶制品工业污染物排放标准》（GB27632-2011）</w:t>
      </w:r>
      <w:r>
        <w:rPr>
          <w:rFonts w:hint="eastAsia"/>
          <w:color w:val="000000" w:themeColor="text1"/>
          <w:sz w:val="24"/>
          <w:szCs w:val="21"/>
          <w:highlight w:val="none"/>
          <w:lang w:val="en-US" w:eastAsia="zh-CN"/>
          <w14:textFill>
            <w14:solidFill>
              <w14:schemeClr w14:val="tx1"/>
            </w14:solidFill>
          </w14:textFill>
        </w:rPr>
        <w:t>表5</w:t>
      </w:r>
      <w:r>
        <w:rPr>
          <w:color w:val="000000" w:themeColor="text1"/>
          <w:sz w:val="24"/>
          <w:szCs w:val="21"/>
          <w:highlight w:val="none"/>
          <w14:textFill>
            <w14:solidFill>
              <w14:schemeClr w14:val="tx1"/>
            </w14:solidFill>
          </w14:textFill>
        </w:rPr>
        <w:t>中排放限</w:t>
      </w:r>
      <w:r>
        <w:rPr>
          <w:rFonts w:hint="eastAsia" w:ascii="Times New Roman" w:hAnsi="Times New Roman" w:eastAsia="宋体" w:cs="Times New Roman"/>
          <w:color w:val="000000" w:themeColor="text1"/>
          <w:sz w:val="24"/>
          <w:szCs w:val="21"/>
          <w:highlight w:val="none"/>
          <w:lang w:eastAsia="zh-CN"/>
          <w14:textFill>
            <w14:solidFill>
              <w14:schemeClr w14:val="tx1"/>
            </w14:solidFill>
          </w14:textFill>
        </w:rPr>
        <w:t>值</w:t>
      </w:r>
      <w:r>
        <w:rPr>
          <w:rFonts w:hint="eastAsia" w:cs="Times New Roman"/>
          <w:color w:val="000000" w:themeColor="text1"/>
          <w:sz w:val="24"/>
          <w:szCs w:val="21"/>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DA002有组织</w:t>
      </w:r>
      <w:r>
        <w:rPr>
          <w:color w:val="000000" w:themeColor="text1"/>
          <w:sz w:val="24"/>
          <w:szCs w:val="21"/>
          <w:highlight w:val="none"/>
          <w14:textFill>
            <w14:solidFill>
              <w14:schemeClr w14:val="tx1"/>
            </w14:solidFill>
          </w14:textFill>
        </w:rPr>
        <w:t>非甲烷总烃</w:t>
      </w:r>
      <w:r>
        <w:rPr>
          <w:rFonts w:hint="eastAsia"/>
          <w:color w:val="000000" w:themeColor="text1"/>
          <w:sz w:val="24"/>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1"/>
          <w:highlight w:val="none"/>
          <w:lang w:val="en-US" w:eastAsia="zh-CN"/>
          <w14:textFill>
            <w14:solidFill>
              <w14:schemeClr w14:val="tx1"/>
            </w14:solidFill>
          </w14:textFill>
        </w:rPr>
        <w:t>乙醛</w:t>
      </w:r>
      <w:r>
        <w:rPr>
          <w:rFonts w:hint="eastAsia"/>
          <w:color w:val="000000" w:themeColor="text1"/>
          <w:sz w:val="24"/>
          <w:szCs w:val="21"/>
          <w:highlight w:val="none"/>
          <w:lang w:eastAsia="zh-CN"/>
          <w14:textFill>
            <w14:solidFill>
              <w14:schemeClr w14:val="tx1"/>
            </w14:solidFill>
          </w14:textFill>
        </w:rPr>
        <w:t>、四氢呋喃</w:t>
      </w:r>
      <w:r>
        <w:rPr>
          <w:rFonts w:hint="eastAsia"/>
          <w:color w:val="000000" w:themeColor="text1"/>
          <w:sz w:val="24"/>
          <w:szCs w:val="21"/>
          <w:highlight w:val="none"/>
          <w:lang w:val="en-US" w:eastAsia="zh-CN"/>
          <w14:textFill>
            <w14:solidFill>
              <w14:schemeClr w14:val="tx1"/>
            </w14:solidFill>
          </w14:textFill>
        </w:rPr>
        <w:t>满足</w:t>
      </w:r>
      <w:r>
        <w:rPr>
          <w:rFonts w:hint="eastAsia" w:cs="Times New Roman"/>
          <w:color w:val="000000" w:themeColor="text1"/>
          <w:sz w:val="24"/>
          <w:szCs w:val="21"/>
          <w:highlight w:val="none"/>
          <w:lang w:eastAsia="zh-CN"/>
          <w14:textFill>
            <w14:solidFill>
              <w14:schemeClr w14:val="tx1"/>
            </w14:solidFill>
          </w14:textFill>
        </w:rPr>
        <w:t>《合成树脂工业污染物排放标准》（GB31572-2015）（含2024年修改单）</w:t>
      </w:r>
      <w:r>
        <w:rPr>
          <w:rFonts w:hint="eastAsia" w:ascii="Times New Roman" w:hAnsi="Times New Roman" w:eastAsia="宋体" w:cs="Times New Roman"/>
          <w:color w:val="000000" w:themeColor="text1"/>
          <w:sz w:val="24"/>
          <w:szCs w:val="21"/>
          <w:highlight w:val="none"/>
          <w:lang w:eastAsia="zh-CN"/>
          <w14:textFill>
            <w14:solidFill>
              <w14:schemeClr w14:val="tx1"/>
            </w14:solidFill>
          </w14:textFill>
        </w:rPr>
        <w:t>表5中排放限值</w:t>
      </w:r>
      <w:r>
        <w:rPr>
          <w:color w:val="000000" w:themeColor="text1"/>
          <w:sz w:val="24"/>
          <w:szCs w:val="21"/>
          <w:highlight w:val="none"/>
          <w14:textFill>
            <w14:solidFill>
              <w14:schemeClr w14:val="tx1"/>
            </w14:solidFill>
          </w14:textFill>
        </w:rPr>
        <w:t>。</w:t>
      </w:r>
    </w:p>
    <w:p w14:paraId="45931162">
      <w:pP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3549933A">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本项目大气污染物无组织排放情况详见下表。</w:t>
      </w:r>
    </w:p>
    <w:p w14:paraId="3E62D862">
      <w:pPr>
        <w:pStyle w:val="125"/>
        <w:numPr>
          <w:ilvl w:val="0"/>
          <w:numId w:val="0"/>
        </w:numPr>
        <w:spacing w:line="440" w:lineRule="exact"/>
        <w:rPr>
          <w:rFonts w:hint="default"/>
          <w:color w:val="000000" w:themeColor="text1"/>
          <w:sz w:val="24"/>
          <w:highlight w:val="none"/>
          <w14:textFill>
            <w14:solidFill>
              <w14:schemeClr w14:val="tx1"/>
            </w14:solidFill>
          </w14:textFill>
        </w:rPr>
      </w:pPr>
      <w:r>
        <w:rPr>
          <w:rFonts w:hint="default"/>
          <w:color w:val="000000" w:themeColor="text1"/>
          <w:sz w:val="24"/>
          <w:highlight w:val="none"/>
          <w14:textFill>
            <w14:solidFill>
              <w14:schemeClr w14:val="tx1"/>
            </w14:solidFill>
          </w14:textFill>
        </w:rPr>
        <w:t>表4-</w:t>
      </w:r>
      <w:r>
        <w:rPr>
          <w:rFonts w:hint="eastAsia"/>
          <w:color w:val="000000" w:themeColor="text1"/>
          <w:sz w:val="24"/>
          <w:highlight w:val="none"/>
          <w:lang w:val="en-US" w:eastAsia="zh-CN"/>
          <w14:textFill>
            <w14:solidFill>
              <w14:schemeClr w14:val="tx1"/>
            </w14:solidFill>
          </w14:textFill>
        </w:rPr>
        <w:t xml:space="preserve">4  </w:t>
      </w:r>
      <w:r>
        <w:rPr>
          <w:rFonts w:hint="default"/>
          <w:color w:val="000000" w:themeColor="text1"/>
          <w:sz w:val="24"/>
          <w:highlight w:val="none"/>
          <w14:textFill>
            <w14:solidFill>
              <w14:schemeClr w14:val="tx1"/>
            </w14:solidFill>
          </w14:textFill>
        </w:rPr>
        <w:t>本项目无组织废气排放情况一览表</w:t>
      </w:r>
    </w:p>
    <w:tbl>
      <w:tblPr>
        <w:tblStyle w:val="38"/>
        <w:tblW w:w="4995"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632"/>
        <w:gridCol w:w="897"/>
        <w:gridCol w:w="2738"/>
        <w:gridCol w:w="1003"/>
        <w:gridCol w:w="987"/>
        <w:gridCol w:w="712"/>
        <w:gridCol w:w="902"/>
        <w:gridCol w:w="799"/>
        <w:gridCol w:w="799"/>
        <w:gridCol w:w="1005"/>
        <w:gridCol w:w="1021"/>
        <w:gridCol w:w="1720"/>
      </w:tblGrid>
      <w:tr w14:paraId="62220F4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239" w:type="pct"/>
            <w:vMerge w:val="restart"/>
            <w:tcBorders>
              <w:tl2br w:val="nil"/>
              <w:tr2bl w:val="nil"/>
            </w:tcBorders>
            <w:shd w:val="clear" w:color="auto" w:fill="auto"/>
            <w:vAlign w:val="center"/>
          </w:tcPr>
          <w:p w14:paraId="1B567813">
            <w:pPr>
              <w:widowControl/>
              <w:jc w:val="center"/>
              <w:textAlignment w:val="center"/>
              <w:rPr>
                <w:b/>
                <w:bCs/>
                <w:color w:val="000000" w:themeColor="text1"/>
                <w:szCs w:val="21"/>
                <w:highlight w:val="none"/>
                <w14:textFill>
                  <w14:solidFill>
                    <w14:schemeClr w14:val="tx1"/>
                  </w14:solidFill>
                </w14:textFill>
              </w:rPr>
            </w:pPr>
            <w:r>
              <w:rPr>
                <w:b/>
                <w:bCs/>
                <w:color w:val="000000" w:themeColor="text1"/>
                <w:kern w:val="0"/>
                <w:szCs w:val="21"/>
                <w:highlight w:val="none"/>
                <w:lang w:bidi="ar"/>
                <w14:textFill>
                  <w14:solidFill>
                    <w14:schemeClr w14:val="tx1"/>
                  </w14:solidFill>
                </w14:textFill>
              </w:rPr>
              <w:t>排放源</w:t>
            </w:r>
          </w:p>
        </w:tc>
        <w:tc>
          <w:tcPr>
            <w:tcW w:w="339" w:type="pct"/>
            <w:vMerge w:val="restart"/>
            <w:tcBorders>
              <w:tl2br w:val="nil"/>
              <w:tr2bl w:val="nil"/>
            </w:tcBorders>
            <w:shd w:val="clear" w:color="auto" w:fill="auto"/>
            <w:vAlign w:val="center"/>
          </w:tcPr>
          <w:p w14:paraId="27214DF6">
            <w:pPr>
              <w:widowControl/>
              <w:jc w:val="center"/>
              <w:textAlignment w:val="center"/>
              <w:rPr>
                <w:b/>
                <w:bCs/>
                <w:color w:val="000000" w:themeColor="text1"/>
                <w:szCs w:val="21"/>
                <w:highlight w:val="none"/>
                <w14:textFill>
                  <w14:solidFill>
                    <w14:schemeClr w14:val="tx1"/>
                  </w14:solidFill>
                </w14:textFill>
              </w:rPr>
            </w:pPr>
            <w:r>
              <w:rPr>
                <w:b/>
                <w:bCs/>
                <w:color w:val="000000" w:themeColor="text1"/>
                <w:kern w:val="0"/>
                <w:szCs w:val="21"/>
                <w:highlight w:val="none"/>
                <w:lang w:bidi="ar"/>
                <w14:textFill>
                  <w14:solidFill>
                    <w14:schemeClr w14:val="tx1"/>
                  </w14:solidFill>
                </w14:textFill>
              </w:rPr>
              <w:t>产污工序</w:t>
            </w:r>
          </w:p>
        </w:tc>
        <w:tc>
          <w:tcPr>
            <w:tcW w:w="1035" w:type="pct"/>
            <w:vMerge w:val="restart"/>
            <w:tcBorders>
              <w:tl2br w:val="nil"/>
              <w:tr2bl w:val="nil"/>
            </w:tcBorders>
            <w:shd w:val="clear" w:color="auto" w:fill="auto"/>
            <w:vAlign w:val="center"/>
          </w:tcPr>
          <w:p w14:paraId="631BA65C">
            <w:pPr>
              <w:widowControl/>
              <w:jc w:val="center"/>
              <w:textAlignment w:val="center"/>
              <w:rPr>
                <w:b/>
                <w:bCs/>
                <w:color w:val="000000" w:themeColor="text1"/>
                <w:szCs w:val="21"/>
                <w:highlight w:val="none"/>
                <w14:textFill>
                  <w14:solidFill>
                    <w14:schemeClr w14:val="tx1"/>
                  </w14:solidFill>
                </w14:textFill>
              </w:rPr>
            </w:pPr>
            <w:r>
              <w:rPr>
                <w:b/>
                <w:bCs/>
                <w:color w:val="000000" w:themeColor="text1"/>
                <w:kern w:val="0"/>
                <w:szCs w:val="21"/>
                <w:highlight w:val="none"/>
                <w:lang w:bidi="ar"/>
                <w14:textFill>
                  <w14:solidFill>
                    <w14:schemeClr w14:val="tx1"/>
                  </w14:solidFill>
                </w14:textFill>
              </w:rPr>
              <w:t>污染物名称</w:t>
            </w:r>
          </w:p>
        </w:tc>
        <w:tc>
          <w:tcPr>
            <w:tcW w:w="752" w:type="pct"/>
            <w:gridSpan w:val="2"/>
            <w:tcBorders>
              <w:tl2br w:val="nil"/>
              <w:tr2bl w:val="nil"/>
            </w:tcBorders>
            <w:shd w:val="clear" w:color="auto" w:fill="auto"/>
            <w:vAlign w:val="center"/>
          </w:tcPr>
          <w:p w14:paraId="77E7F063">
            <w:pPr>
              <w:widowControl/>
              <w:jc w:val="center"/>
              <w:textAlignment w:val="center"/>
              <w:rPr>
                <w:b/>
                <w:bCs/>
                <w:color w:val="000000" w:themeColor="text1"/>
                <w:szCs w:val="21"/>
                <w:highlight w:val="none"/>
                <w14:textFill>
                  <w14:solidFill>
                    <w14:schemeClr w14:val="tx1"/>
                  </w14:solidFill>
                </w14:textFill>
              </w:rPr>
            </w:pPr>
            <w:r>
              <w:rPr>
                <w:b/>
                <w:bCs/>
                <w:color w:val="000000" w:themeColor="text1"/>
                <w:kern w:val="0"/>
                <w:szCs w:val="21"/>
                <w:highlight w:val="none"/>
                <w:lang w:bidi="ar"/>
                <w14:textFill>
                  <w14:solidFill>
                    <w14:schemeClr w14:val="tx1"/>
                  </w14:solidFill>
                </w14:textFill>
              </w:rPr>
              <w:t>收集量</w:t>
            </w:r>
          </w:p>
        </w:tc>
        <w:tc>
          <w:tcPr>
            <w:tcW w:w="269" w:type="pct"/>
            <w:vMerge w:val="restart"/>
            <w:tcBorders>
              <w:tl2br w:val="nil"/>
              <w:tr2bl w:val="nil"/>
            </w:tcBorders>
            <w:shd w:val="clear" w:color="auto" w:fill="auto"/>
            <w:vAlign w:val="center"/>
          </w:tcPr>
          <w:p w14:paraId="25FF8EEF">
            <w:pPr>
              <w:widowControl/>
              <w:jc w:val="center"/>
              <w:textAlignment w:val="center"/>
              <w:rPr>
                <w:b/>
                <w:bCs/>
                <w:color w:val="000000" w:themeColor="text1"/>
                <w:szCs w:val="21"/>
                <w:highlight w:val="none"/>
                <w14:textFill>
                  <w14:solidFill>
                    <w14:schemeClr w14:val="tx1"/>
                  </w14:solidFill>
                </w14:textFill>
              </w:rPr>
            </w:pPr>
            <w:r>
              <w:rPr>
                <w:b/>
                <w:bCs/>
                <w:color w:val="000000" w:themeColor="text1"/>
                <w:kern w:val="0"/>
                <w:szCs w:val="21"/>
                <w:highlight w:val="none"/>
                <w:lang w:bidi="ar"/>
                <w14:textFill>
                  <w14:solidFill>
                    <w14:schemeClr w14:val="tx1"/>
                  </w14:solidFill>
                </w14:textFill>
              </w:rPr>
              <w:t>排放形式</w:t>
            </w:r>
          </w:p>
        </w:tc>
        <w:tc>
          <w:tcPr>
            <w:tcW w:w="341" w:type="pct"/>
            <w:vMerge w:val="restart"/>
            <w:tcBorders>
              <w:tl2br w:val="nil"/>
              <w:tr2bl w:val="nil"/>
            </w:tcBorders>
            <w:shd w:val="clear" w:color="auto" w:fill="auto"/>
            <w:vAlign w:val="center"/>
          </w:tcPr>
          <w:p w14:paraId="1329E76D">
            <w:pPr>
              <w:widowControl/>
              <w:jc w:val="center"/>
              <w:textAlignment w:val="center"/>
              <w:rPr>
                <w:b/>
                <w:bCs/>
                <w:color w:val="000000" w:themeColor="text1"/>
                <w:szCs w:val="21"/>
                <w:highlight w:val="none"/>
                <w14:textFill>
                  <w14:solidFill>
                    <w14:schemeClr w14:val="tx1"/>
                  </w14:solidFill>
                </w14:textFill>
              </w:rPr>
            </w:pPr>
            <w:r>
              <w:rPr>
                <w:b/>
                <w:bCs/>
                <w:color w:val="000000" w:themeColor="text1"/>
                <w:kern w:val="0"/>
                <w:szCs w:val="21"/>
                <w:highlight w:val="none"/>
                <w:lang w:bidi="ar"/>
                <w14:textFill>
                  <w14:solidFill>
                    <w14:schemeClr w14:val="tx1"/>
                  </w14:solidFill>
                </w14:textFill>
              </w:rPr>
              <w:t>治理措施</w:t>
            </w:r>
          </w:p>
        </w:tc>
        <w:tc>
          <w:tcPr>
            <w:tcW w:w="302" w:type="pct"/>
            <w:vMerge w:val="restart"/>
            <w:tcBorders>
              <w:tl2br w:val="nil"/>
              <w:tr2bl w:val="nil"/>
            </w:tcBorders>
            <w:shd w:val="clear" w:color="auto" w:fill="auto"/>
            <w:vAlign w:val="center"/>
          </w:tcPr>
          <w:p w14:paraId="21116A74">
            <w:pPr>
              <w:widowControl/>
              <w:jc w:val="center"/>
              <w:textAlignment w:val="center"/>
              <w:rPr>
                <w:b/>
                <w:bCs/>
                <w:color w:val="000000" w:themeColor="text1"/>
                <w:kern w:val="0"/>
                <w:szCs w:val="21"/>
                <w:highlight w:val="none"/>
                <w:lang w:bidi="ar"/>
                <w14:textFill>
                  <w14:solidFill>
                    <w14:schemeClr w14:val="tx1"/>
                  </w14:solidFill>
                </w14:textFill>
              </w:rPr>
            </w:pPr>
            <w:r>
              <w:rPr>
                <w:rFonts w:hint="eastAsia"/>
                <w:b/>
                <w:bCs/>
                <w:color w:val="000000" w:themeColor="text1"/>
                <w:kern w:val="0"/>
                <w:szCs w:val="21"/>
                <w:highlight w:val="none"/>
                <w:lang w:bidi="ar"/>
                <w14:textFill>
                  <w14:solidFill>
                    <w14:schemeClr w14:val="tx1"/>
                  </w14:solidFill>
                </w14:textFill>
              </w:rPr>
              <w:t>收集</w:t>
            </w:r>
            <w:r>
              <w:rPr>
                <w:b/>
                <w:bCs/>
                <w:color w:val="000000" w:themeColor="text1"/>
                <w:kern w:val="0"/>
                <w:szCs w:val="21"/>
                <w:highlight w:val="none"/>
                <w:lang w:bidi="ar"/>
                <w14:textFill>
                  <w14:solidFill>
                    <w14:schemeClr w14:val="tx1"/>
                  </w14:solidFill>
                </w14:textFill>
              </w:rPr>
              <w:t>效率%</w:t>
            </w:r>
          </w:p>
        </w:tc>
        <w:tc>
          <w:tcPr>
            <w:tcW w:w="302" w:type="pct"/>
            <w:vMerge w:val="restart"/>
            <w:tcBorders>
              <w:tl2br w:val="nil"/>
              <w:tr2bl w:val="nil"/>
            </w:tcBorders>
            <w:shd w:val="clear" w:color="auto" w:fill="auto"/>
            <w:vAlign w:val="center"/>
          </w:tcPr>
          <w:p w14:paraId="164BBCF9">
            <w:pPr>
              <w:widowControl/>
              <w:jc w:val="center"/>
              <w:textAlignment w:val="center"/>
              <w:rPr>
                <w:b/>
                <w:bCs/>
                <w:color w:val="000000" w:themeColor="text1"/>
                <w:szCs w:val="21"/>
                <w:highlight w:val="none"/>
                <w14:textFill>
                  <w14:solidFill>
                    <w14:schemeClr w14:val="tx1"/>
                  </w14:solidFill>
                </w14:textFill>
              </w:rPr>
            </w:pPr>
            <w:r>
              <w:rPr>
                <w:b/>
                <w:bCs/>
                <w:color w:val="000000" w:themeColor="text1"/>
                <w:kern w:val="0"/>
                <w:szCs w:val="21"/>
                <w:highlight w:val="none"/>
                <w:lang w:bidi="ar"/>
                <w14:textFill>
                  <w14:solidFill>
                    <w14:schemeClr w14:val="tx1"/>
                  </w14:solidFill>
                </w14:textFill>
              </w:rPr>
              <w:t>处理效率%</w:t>
            </w:r>
          </w:p>
        </w:tc>
        <w:tc>
          <w:tcPr>
            <w:tcW w:w="766" w:type="pct"/>
            <w:gridSpan w:val="2"/>
            <w:tcBorders>
              <w:tl2br w:val="nil"/>
              <w:tr2bl w:val="nil"/>
            </w:tcBorders>
            <w:shd w:val="clear" w:color="auto" w:fill="auto"/>
            <w:vAlign w:val="center"/>
          </w:tcPr>
          <w:p w14:paraId="1FD4EC81">
            <w:pPr>
              <w:widowControl/>
              <w:jc w:val="center"/>
              <w:textAlignment w:val="center"/>
              <w:rPr>
                <w:b/>
                <w:bCs/>
                <w:color w:val="000000" w:themeColor="text1"/>
                <w:szCs w:val="21"/>
                <w:highlight w:val="none"/>
                <w14:textFill>
                  <w14:solidFill>
                    <w14:schemeClr w14:val="tx1"/>
                  </w14:solidFill>
                </w14:textFill>
              </w:rPr>
            </w:pPr>
            <w:r>
              <w:rPr>
                <w:b/>
                <w:bCs/>
                <w:color w:val="000000" w:themeColor="text1"/>
                <w:kern w:val="0"/>
                <w:szCs w:val="21"/>
                <w:highlight w:val="none"/>
                <w:lang w:bidi="ar"/>
                <w14:textFill>
                  <w14:solidFill>
                    <w14:schemeClr w14:val="tx1"/>
                  </w14:solidFill>
                </w14:textFill>
              </w:rPr>
              <w:t>排放状况</w:t>
            </w:r>
          </w:p>
        </w:tc>
        <w:tc>
          <w:tcPr>
            <w:tcW w:w="650" w:type="pct"/>
            <w:vMerge w:val="restart"/>
            <w:tcBorders>
              <w:tl2br w:val="nil"/>
              <w:tr2bl w:val="nil"/>
            </w:tcBorders>
            <w:shd w:val="clear" w:color="auto" w:fill="auto"/>
            <w:vAlign w:val="center"/>
          </w:tcPr>
          <w:p w14:paraId="0398542F">
            <w:pPr>
              <w:widowControl/>
              <w:jc w:val="center"/>
              <w:textAlignment w:val="center"/>
              <w:rPr>
                <w:b/>
                <w:bCs/>
                <w:color w:val="000000" w:themeColor="text1"/>
                <w:szCs w:val="21"/>
                <w:highlight w:val="none"/>
                <w14:textFill>
                  <w14:solidFill>
                    <w14:schemeClr w14:val="tx1"/>
                  </w14:solidFill>
                </w14:textFill>
              </w:rPr>
            </w:pPr>
            <w:r>
              <w:rPr>
                <w:b/>
                <w:bCs/>
                <w:color w:val="000000" w:themeColor="text1"/>
                <w:kern w:val="0"/>
                <w:szCs w:val="21"/>
                <w:highlight w:val="none"/>
                <w:lang w:bidi="ar"/>
                <w14:textFill>
                  <w14:solidFill>
                    <w14:schemeClr w14:val="tx1"/>
                  </w14:solidFill>
                </w14:textFill>
              </w:rPr>
              <w:t>面源参数</w:t>
            </w:r>
          </w:p>
        </w:tc>
      </w:tr>
      <w:tr w14:paraId="3C8DFD1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239" w:type="pct"/>
            <w:vMerge w:val="continue"/>
            <w:tcBorders>
              <w:tl2br w:val="nil"/>
              <w:tr2bl w:val="nil"/>
            </w:tcBorders>
            <w:shd w:val="clear" w:color="auto" w:fill="auto"/>
            <w:vAlign w:val="center"/>
          </w:tcPr>
          <w:p w14:paraId="2206622B">
            <w:pPr>
              <w:jc w:val="center"/>
              <w:rPr>
                <w:b/>
                <w:bCs/>
                <w:color w:val="000000" w:themeColor="text1"/>
                <w:szCs w:val="21"/>
                <w:highlight w:val="none"/>
                <w14:textFill>
                  <w14:solidFill>
                    <w14:schemeClr w14:val="tx1"/>
                  </w14:solidFill>
                </w14:textFill>
              </w:rPr>
            </w:pPr>
          </w:p>
        </w:tc>
        <w:tc>
          <w:tcPr>
            <w:tcW w:w="339" w:type="pct"/>
            <w:vMerge w:val="continue"/>
            <w:tcBorders>
              <w:tl2br w:val="nil"/>
              <w:tr2bl w:val="nil"/>
            </w:tcBorders>
            <w:shd w:val="clear" w:color="auto" w:fill="auto"/>
            <w:vAlign w:val="center"/>
          </w:tcPr>
          <w:p w14:paraId="3F431C2B">
            <w:pPr>
              <w:jc w:val="center"/>
              <w:rPr>
                <w:b/>
                <w:bCs/>
                <w:color w:val="000000" w:themeColor="text1"/>
                <w:szCs w:val="21"/>
                <w:highlight w:val="none"/>
                <w14:textFill>
                  <w14:solidFill>
                    <w14:schemeClr w14:val="tx1"/>
                  </w14:solidFill>
                </w14:textFill>
              </w:rPr>
            </w:pPr>
          </w:p>
        </w:tc>
        <w:tc>
          <w:tcPr>
            <w:tcW w:w="1035" w:type="pct"/>
            <w:vMerge w:val="continue"/>
            <w:tcBorders>
              <w:tl2br w:val="nil"/>
              <w:tr2bl w:val="nil"/>
            </w:tcBorders>
            <w:shd w:val="clear" w:color="auto" w:fill="auto"/>
            <w:vAlign w:val="center"/>
          </w:tcPr>
          <w:p w14:paraId="2E4459B4">
            <w:pPr>
              <w:jc w:val="center"/>
              <w:rPr>
                <w:b/>
                <w:bCs/>
                <w:color w:val="000000" w:themeColor="text1"/>
                <w:szCs w:val="21"/>
                <w:highlight w:val="none"/>
                <w14:textFill>
                  <w14:solidFill>
                    <w14:schemeClr w14:val="tx1"/>
                  </w14:solidFill>
                </w14:textFill>
              </w:rPr>
            </w:pPr>
          </w:p>
        </w:tc>
        <w:tc>
          <w:tcPr>
            <w:tcW w:w="379" w:type="pct"/>
            <w:tcBorders>
              <w:tl2br w:val="nil"/>
              <w:tr2bl w:val="nil"/>
            </w:tcBorders>
            <w:shd w:val="clear" w:color="auto" w:fill="auto"/>
            <w:vAlign w:val="center"/>
          </w:tcPr>
          <w:p w14:paraId="2C0BA0EC">
            <w:pPr>
              <w:widowControl/>
              <w:jc w:val="center"/>
              <w:textAlignment w:val="center"/>
              <w:rPr>
                <w:b/>
                <w:bCs/>
                <w:color w:val="000000" w:themeColor="text1"/>
                <w:szCs w:val="21"/>
                <w:highlight w:val="none"/>
                <w14:textFill>
                  <w14:solidFill>
                    <w14:schemeClr w14:val="tx1"/>
                  </w14:solidFill>
                </w14:textFill>
              </w:rPr>
            </w:pPr>
            <w:r>
              <w:rPr>
                <w:b/>
                <w:bCs/>
                <w:color w:val="000000" w:themeColor="text1"/>
                <w:kern w:val="0"/>
                <w:szCs w:val="21"/>
                <w:highlight w:val="none"/>
                <w:lang w:bidi="ar"/>
                <w14:textFill>
                  <w14:solidFill>
                    <w14:schemeClr w14:val="tx1"/>
                  </w14:solidFill>
                </w14:textFill>
              </w:rPr>
              <w:t>速率kg/h</w:t>
            </w:r>
          </w:p>
        </w:tc>
        <w:tc>
          <w:tcPr>
            <w:tcW w:w="373" w:type="pct"/>
            <w:tcBorders>
              <w:tl2br w:val="nil"/>
              <w:tr2bl w:val="nil"/>
            </w:tcBorders>
            <w:shd w:val="clear" w:color="auto" w:fill="auto"/>
            <w:vAlign w:val="center"/>
          </w:tcPr>
          <w:p w14:paraId="3B155572">
            <w:pPr>
              <w:widowControl/>
              <w:jc w:val="center"/>
              <w:textAlignment w:val="center"/>
              <w:rPr>
                <w:b/>
                <w:bCs/>
                <w:color w:val="000000" w:themeColor="text1"/>
                <w:szCs w:val="21"/>
                <w:highlight w:val="none"/>
                <w14:textFill>
                  <w14:solidFill>
                    <w14:schemeClr w14:val="tx1"/>
                  </w14:solidFill>
                </w14:textFill>
              </w:rPr>
            </w:pPr>
            <w:r>
              <w:rPr>
                <w:b/>
                <w:bCs/>
                <w:color w:val="000000" w:themeColor="text1"/>
                <w:kern w:val="0"/>
                <w:szCs w:val="21"/>
                <w:highlight w:val="none"/>
                <w:lang w:bidi="ar"/>
                <w14:textFill>
                  <w14:solidFill>
                    <w14:schemeClr w14:val="tx1"/>
                  </w14:solidFill>
                </w14:textFill>
              </w:rPr>
              <w:t>产生量t/a</w:t>
            </w:r>
          </w:p>
        </w:tc>
        <w:tc>
          <w:tcPr>
            <w:tcW w:w="269" w:type="pct"/>
            <w:vMerge w:val="continue"/>
            <w:tcBorders>
              <w:tl2br w:val="nil"/>
              <w:tr2bl w:val="nil"/>
            </w:tcBorders>
            <w:shd w:val="clear" w:color="auto" w:fill="auto"/>
            <w:vAlign w:val="center"/>
          </w:tcPr>
          <w:p w14:paraId="1A8B5126">
            <w:pPr>
              <w:jc w:val="center"/>
              <w:rPr>
                <w:b/>
                <w:bCs/>
                <w:color w:val="000000" w:themeColor="text1"/>
                <w:szCs w:val="21"/>
                <w:highlight w:val="none"/>
                <w14:textFill>
                  <w14:solidFill>
                    <w14:schemeClr w14:val="tx1"/>
                  </w14:solidFill>
                </w14:textFill>
              </w:rPr>
            </w:pPr>
          </w:p>
        </w:tc>
        <w:tc>
          <w:tcPr>
            <w:tcW w:w="341" w:type="pct"/>
            <w:vMerge w:val="continue"/>
            <w:tcBorders>
              <w:tl2br w:val="nil"/>
              <w:tr2bl w:val="nil"/>
            </w:tcBorders>
            <w:shd w:val="clear" w:color="auto" w:fill="auto"/>
            <w:vAlign w:val="center"/>
          </w:tcPr>
          <w:p w14:paraId="7D86FB3D">
            <w:pPr>
              <w:jc w:val="center"/>
              <w:rPr>
                <w:b/>
                <w:bCs/>
                <w:color w:val="000000" w:themeColor="text1"/>
                <w:szCs w:val="21"/>
                <w:highlight w:val="none"/>
                <w14:textFill>
                  <w14:solidFill>
                    <w14:schemeClr w14:val="tx1"/>
                  </w14:solidFill>
                </w14:textFill>
              </w:rPr>
            </w:pPr>
          </w:p>
        </w:tc>
        <w:tc>
          <w:tcPr>
            <w:tcW w:w="302" w:type="pct"/>
            <w:vMerge w:val="continue"/>
            <w:tcBorders>
              <w:tl2br w:val="nil"/>
              <w:tr2bl w:val="nil"/>
            </w:tcBorders>
            <w:shd w:val="clear" w:color="auto" w:fill="auto"/>
            <w:vAlign w:val="center"/>
          </w:tcPr>
          <w:p w14:paraId="3E40CF6E">
            <w:pPr>
              <w:jc w:val="center"/>
              <w:rPr>
                <w:b/>
                <w:bCs/>
                <w:color w:val="000000" w:themeColor="text1"/>
                <w:szCs w:val="21"/>
                <w:highlight w:val="none"/>
                <w14:textFill>
                  <w14:solidFill>
                    <w14:schemeClr w14:val="tx1"/>
                  </w14:solidFill>
                </w14:textFill>
              </w:rPr>
            </w:pPr>
          </w:p>
        </w:tc>
        <w:tc>
          <w:tcPr>
            <w:tcW w:w="302" w:type="pct"/>
            <w:vMerge w:val="continue"/>
            <w:tcBorders>
              <w:tl2br w:val="nil"/>
              <w:tr2bl w:val="nil"/>
            </w:tcBorders>
            <w:shd w:val="clear" w:color="auto" w:fill="auto"/>
            <w:vAlign w:val="center"/>
          </w:tcPr>
          <w:p w14:paraId="00D470D4">
            <w:pPr>
              <w:jc w:val="center"/>
              <w:rPr>
                <w:b/>
                <w:bCs/>
                <w:color w:val="000000" w:themeColor="text1"/>
                <w:szCs w:val="21"/>
                <w:highlight w:val="none"/>
                <w14:textFill>
                  <w14:solidFill>
                    <w14:schemeClr w14:val="tx1"/>
                  </w14:solidFill>
                </w14:textFill>
              </w:rPr>
            </w:pPr>
          </w:p>
        </w:tc>
        <w:tc>
          <w:tcPr>
            <w:tcW w:w="380" w:type="pct"/>
            <w:tcBorders>
              <w:tl2br w:val="nil"/>
              <w:tr2bl w:val="nil"/>
            </w:tcBorders>
            <w:shd w:val="clear" w:color="auto" w:fill="auto"/>
            <w:vAlign w:val="center"/>
          </w:tcPr>
          <w:p w14:paraId="554FE9E4">
            <w:pPr>
              <w:widowControl/>
              <w:jc w:val="center"/>
              <w:textAlignment w:val="center"/>
              <w:rPr>
                <w:b/>
                <w:bCs/>
                <w:color w:val="000000" w:themeColor="text1"/>
                <w:szCs w:val="21"/>
                <w:highlight w:val="none"/>
                <w14:textFill>
                  <w14:solidFill>
                    <w14:schemeClr w14:val="tx1"/>
                  </w14:solidFill>
                </w14:textFill>
              </w:rPr>
            </w:pPr>
            <w:r>
              <w:rPr>
                <w:b/>
                <w:bCs/>
                <w:color w:val="000000" w:themeColor="text1"/>
                <w:kern w:val="0"/>
                <w:szCs w:val="21"/>
                <w:highlight w:val="none"/>
                <w:lang w:bidi="ar"/>
                <w14:textFill>
                  <w14:solidFill>
                    <w14:schemeClr w14:val="tx1"/>
                  </w14:solidFill>
                </w14:textFill>
              </w:rPr>
              <w:t>速率kg/h</w:t>
            </w:r>
          </w:p>
        </w:tc>
        <w:tc>
          <w:tcPr>
            <w:tcW w:w="386" w:type="pct"/>
            <w:tcBorders>
              <w:tl2br w:val="nil"/>
              <w:tr2bl w:val="nil"/>
            </w:tcBorders>
            <w:shd w:val="clear" w:color="auto" w:fill="auto"/>
            <w:vAlign w:val="center"/>
          </w:tcPr>
          <w:p w14:paraId="7F768FC7">
            <w:pPr>
              <w:widowControl/>
              <w:jc w:val="center"/>
              <w:textAlignment w:val="center"/>
              <w:rPr>
                <w:b/>
                <w:bCs/>
                <w:color w:val="000000" w:themeColor="text1"/>
                <w:szCs w:val="21"/>
                <w:highlight w:val="none"/>
                <w14:textFill>
                  <w14:solidFill>
                    <w14:schemeClr w14:val="tx1"/>
                  </w14:solidFill>
                </w14:textFill>
              </w:rPr>
            </w:pPr>
            <w:r>
              <w:rPr>
                <w:b/>
                <w:bCs/>
                <w:color w:val="000000" w:themeColor="text1"/>
                <w:kern w:val="0"/>
                <w:szCs w:val="21"/>
                <w:highlight w:val="none"/>
                <w:lang w:bidi="ar"/>
                <w14:textFill>
                  <w14:solidFill>
                    <w14:schemeClr w14:val="tx1"/>
                  </w14:solidFill>
                </w14:textFill>
              </w:rPr>
              <w:t>排放量t/a</w:t>
            </w:r>
          </w:p>
        </w:tc>
        <w:tc>
          <w:tcPr>
            <w:tcW w:w="650" w:type="pct"/>
            <w:vMerge w:val="continue"/>
            <w:tcBorders>
              <w:tl2br w:val="nil"/>
              <w:tr2bl w:val="nil"/>
            </w:tcBorders>
            <w:shd w:val="clear" w:color="auto" w:fill="auto"/>
            <w:vAlign w:val="center"/>
          </w:tcPr>
          <w:p w14:paraId="23D57DB1">
            <w:pPr>
              <w:jc w:val="center"/>
              <w:rPr>
                <w:b/>
                <w:bCs/>
                <w:color w:val="000000" w:themeColor="text1"/>
                <w:szCs w:val="21"/>
                <w:highlight w:val="none"/>
                <w14:textFill>
                  <w14:solidFill>
                    <w14:schemeClr w14:val="tx1"/>
                  </w14:solidFill>
                </w14:textFill>
              </w:rPr>
            </w:pPr>
          </w:p>
        </w:tc>
      </w:tr>
      <w:tr w14:paraId="325C146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239" w:type="pct"/>
            <w:vMerge w:val="restart"/>
            <w:tcBorders>
              <w:tl2br w:val="nil"/>
              <w:tr2bl w:val="nil"/>
            </w:tcBorders>
            <w:shd w:val="clear" w:color="auto" w:fill="auto"/>
            <w:vAlign w:val="center"/>
          </w:tcPr>
          <w:p w14:paraId="284EE9D3">
            <w:pPr>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生产车间</w:t>
            </w:r>
          </w:p>
        </w:tc>
        <w:tc>
          <w:tcPr>
            <w:tcW w:w="339" w:type="pct"/>
            <w:vMerge w:val="restart"/>
            <w:tcBorders>
              <w:tl2br w:val="nil"/>
              <w:tr2bl w:val="nil"/>
            </w:tcBorders>
            <w:shd w:val="clear" w:color="auto" w:fill="auto"/>
            <w:vAlign w:val="center"/>
          </w:tcPr>
          <w:p w14:paraId="2A3C6F49">
            <w:pPr>
              <w:widowControl/>
              <w:jc w:val="center"/>
              <w:textAlignment w:val="center"/>
              <w:rPr>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硫化、成型废气</w:t>
            </w:r>
          </w:p>
        </w:tc>
        <w:tc>
          <w:tcPr>
            <w:tcW w:w="1035" w:type="pct"/>
            <w:tcBorders>
              <w:tl2br w:val="nil"/>
              <w:tr2bl w:val="nil"/>
            </w:tcBorders>
            <w:shd w:val="clear" w:color="auto" w:fill="auto"/>
            <w:vAlign w:val="center"/>
          </w:tcPr>
          <w:p w14:paraId="428E32C2">
            <w:pPr>
              <w:jc w:val="center"/>
              <w:rPr>
                <w:color w:val="000000" w:themeColor="text1"/>
                <w:kern w:val="0"/>
                <w:szCs w:val="21"/>
                <w:highlight w:val="none"/>
                <w:lang w:bidi="ar"/>
                <w14:textFill>
                  <w14:solidFill>
                    <w14:schemeClr w14:val="tx1"/>
                  </w14:solidFill>
                </w14:textFill>
              </w:rPr>
            </w:pPr>
            <w:r>
              <w:rPr>
                <w:color w:val="000000" w:themeColor="text1"/>
                <w:kern w:val="0"/>
                <w:szCs w:val="21"/>
                <w:highlight w:val="none"/>
                <w:lang w:bidi="ar"/>
                <w14:textFill>
                  <w14:solidFill>
                    <w14:schemeClr w14:val="tx1"/>
                  </w14:solidFill>
                </w14:textFill>
              </w:rPr>
              <w:t>非甲烷总烃</w:t>
            </w:r>
          </w:p>
        </w:tc>
        <w:tc>
          <w:tcPr>
            <w:tcW w:w="379" w:type="pct"/>
            <w:tcBorders>
              <w:tl2br w:val="nil"/>
              <w:tr2bl w:val="nil"/>
            </w:tcBorders>
            <w:shd w:val="clear" w:color="auto" w:fill="auto"/>
            <w:vAlign w:val="center"/>
          </w:tcPr>
          <w:p w14:paraId="46992E84">
            <w:pPr>
              <w:jc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0.0059</w:t>
            </w:r>
          </w:p>
        </w:tc>
        <w:tc>
          <w:tcPr>
            <w:tcW w:w="373" w:type="pct"/>
            <w:tcBorders>
              <w:tl2br w:val="nil"/>
              <w:tr2bl w:val="nil"/>
            </w:tcBorders>
            <w:shd w:val="clear" w:color="auto" w:fill="auto"/>
            <w:vAlign w:val="center"/>
          </w:tcPr>
          <w:p w14:paraId="2ADF4BB1">
            <w:pPr>
              <w:keepNext w:val="0"/>
              <w:keepLines w:val="0"/>
              <w:widowControl/>
              <w:suppressLineNumbers w:val="0"/>
              <w:jc w:val="center"/>
              <w:textAlignment w:val="center"/>
              <w:rPr>
                <w:rFonts w:hint="default" w:eastAsia="宋体"/>
                <w:color w:val="000000" w:themeColor="text1"/>
                <w:kern w:val="0"/>
                <w:szCs w:val="21"/>
                <w:highlight w:val="none"/>
                <w:lang w:val="en-US" w:eastAsia="zh-CN" w:bidi="ar"/>
                <w14:textFill>
                  <w14:solidFill>
                    <w14:schemeClr w14:val="tx1"/>
                  </w14:solidFill>
                </w14:textFill>
              </w:rPr>
            </w:pPr>
            <w:r>
              <w:rPr>
                <w:rFonts w:hint="eastAsia"/>
                <w:color w:val="000000" w:themeColor="text1"/>
                <w:kern w:val="0"/>
                <w:szCs w:val="21"/>
                <w:highlight w:val="none"/>
                <w:lang w:val="en-US" w:eastAsia="zh-CN" w:bidi="ar"/>
                <w14:textFill>
                  <w14:solidFill>
                    <w14:schemeClr w14:val="tx1"/>
                  </w14:solidFill>
                </w14:textFill>
              </w:rPr>
              <w:t>0.0281</w:t>
            </w:r>
          </w:p>
        </w:tc>
        <w:tc>
          <w:tcPr>
            <w:tcW w:w="269" w:type="pct"/>
            <w:vMerge w:val="restart"/>
            <w:tcBorders>
              <w:tl2br w:val="nil"/>
              <w:tr2bl w:val="nil"/>
            </w:tcBorders>
            <w:shd w:val="clear" w:color="auto" w:fill="auto"/>
            <w:vAlign w:val="center"/>
          </w:tcPr>
          <w:p w14:paraId="44839010">
            <w:pPr>
              <w:jc w:val="center"/>
              <w:rPr>
                <w:color w:val="000000" w:themeColor="text1"/>
                <w:kern w:val="0"/>
                <w:szCs w:val="21"/>
                <w:highlight w:val="none"/>
                <w:lang w:bidi="ar"/>
                <w14:textFill>
                  <w14:solidFill>
                    <w14:schemeClr w14:val="tx1"/>
                  </w14:solidFill>
                </w14:textFill>
              </w:rPr>
            </w:pPr>
            <w:r>
              <w:rPr>
                <w:color w:val="000000" w:themeColor="text1"/>
                <w:kern w:val="0"/>
                <w:szCs w:val="21"/>
                <w:highlight w:val="none"/>
                <w:lang w:bidi="ar"/>
                <w14:textFill>
                  <w14:solidFill>
                    <w14:schemeClr w14:val="tx1"/>
                  </w14:solidFill>
                </w14:textFill>
              </w:rPr>
              <w:t>无组织</w:t>
            </w:r>
          </w:p>
        </w:tc>
        <w:tc>
          <w:tcPr>
            <w:tcW w:w="341" w:type="pct"/>
            <w:vMerge w:val="restart"/>
            <w:tcBorders>
              <w:tl2br w:val="nil"/>
              <w:tr2bl w:val="nil"/>
            </w:tcBorders>
            <w:shd w:val="clear" w:color="auto" w:fill="auto"/>
            <w:vAlign w:val="center"/>
          </w:tcPr>
          <w:p w14:paraId="6A9C33DA">
            <w:pPr>
              <w:jc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w:t>
            </w:r>
          </w:p>
        </w:tc>
        <w:tc>
          <w:tcPr>
            <w:tcW w:w="302" w:type="pct"/>
            <w:vMerge w:val="restart"/>
            <w:tcBorders>
              <w:tl2br w:val="nil"/>
              <w:tr2bl w:val="nil"/>
            </w:tcBorders>
            <w:shd w:val="clear" w:color="auto" w:fill="auto"/>
            <w:vAlign w:val="center"/>
          </w:tcPr>
          <w:p w14:paraId="0C638793">
            <w:pPr>
              <w:jc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w:t>
            </w:r>
          </w:p>
        </w:tc>
        <w:tc>
          <w:tcPr>
            <w:tcW w:w="302" w:type="pct"/>
            <w:vMerge w:val="restart"/>
            <w:tcBorders>
              <w:tl2br w:val="nil"/>
              <w:tr2bl w:val="nil"/>
            </w:tcBorders>
            <w:shd w:val="clear" w:color="auto" w:fill="auto"/>
            <w:vAlign w:val="center"/>
          </w:tcPr>
          <w:p w14:paraId="0BCA29CE">
            <w:pPr>
              <w:jc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w:t>
            </w:r>
          </w:p>
        </w:tc>
        <w:tc>
          <w:tcPr>
            <w:tcW w:w="1005" w:type="dxa"/>
            <w:tcBorders>
              <w:tl2br w:val="nil"/>
              <w:tr2bl w:val="nil"/>
            </w:tcBorders>
            <w:shd w:val="clear" w:color="auto" w:fill="auto"/>
            <w:vAlign w:val="center"/>
          </w:tcPr>
          <w:p w14:paraId="4926F95F">
            <w:pPr>
              <w:jc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0.0059</w:t>
            </w:r>
          </w:p>
        </w:tc>
        <w:tc>
          <w:tcPr>
            <w:tcW w:w="1021" w:type="dxa"/>
            <w:tcBorders>
              <w:tl2br w:val="nil"/>
              <w:tr2bl w:val="nil"/>
            </w:tcBorders>
            <w:shd w:val="clear" w:color="auto" w:fill="auto"/>
            <w:vAlign w:val="center"/>
          </w:tcPr>
          <w:p w14:paraId="356A272D">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olor w:val="000000" w:themeColor="text1"/>
                <w:kern w:val="0"/>
                <w:szCs w:val="21"/>
                <w:highlight w:val="none"/>
                <w:lang w:val="en-US" w:eastAsia="zh-CN" w:bidi="ar"/>
                <w14:textFill>
                  <w14:solidFill>
                    <w14:schemeClr w14:val="tx1"/>
                  </w14:solidFill>
                </w14:textFill>
              </w:rPr>
              <w:t>0.0281</w:t>
            </w:r>
          </w:p>
        </w:tc>
        <w:tc>
          <w:tcPr>
            <w:tcW w:w="650" w:type="pct"/>
            <w:vMerge w:val="restart"/>
            <w:tcBorders>
              <w:tl2br w:val="nil"/>
              <w:tr2bl w:val="nil"/>
            </w:tcBorders>
            <w:shd w:val="clear" w:color="auto" w:fill="auto"/>
            <w:vAlign w:val="center"/>
          </w:tcPr>
          <w:p w14:paraId="1CC638A0">
            <w:pPr>
              <w:widowControl/>
              <w:jc w:val="center"/>
              <w:textAlignment w:val="center"/>
              <w:rPr>
                <w:color w:val="000000" w:themeColor="text1"/>
                <w:szCs w:val="21"/>
                <w:highlight w:val="none"/>
                <w14:textFill>
                  <w14:solidFill>
                    <w14:schemeClr w14:val="tx1"/>
                  </w14:solidFill>
                </w14:textFill>
              </w:rPr>
            </w:pPr>
            <w:r>
              <w:rPr>
                <w:rFonts w:hint="eastAsia"/>
                <w:color w:val="000000" w:themeColor="text1"/>
                <w:kern w:val="0"/>
                <w:szCs w:val="21"/>
                <w:highlight w:val="none"/>
                <w:lang w:val="en-US" w:eastAsia="zh-CN" w:bidi="ar"/>
                <w14:textFill>
                  <w14:solidFill>
                    <w14:schemeClr w14:val="tx1"/>
                  </w14:solidFill>
                </w14:textFill>
              </w:rPr>
              <w:t>750</w:t>
            </w:r>
            <w:r>
              <w:rPr>
                <w:color w:val="000000" w:themeColor="text1"/>
                <w:kern w:val="0"/>
                <w:szCs w:val="21"/>
                <w:highlight w:val="none"/>
                <w:lang w:bidi="ar"/>
                <w14:textFill>
                  <w14:solidFill>
                    <w14:schemeClr w14:val="tx1"/>
                  </w14:solidFill>
                </w14:textFill>
              </w:rPr>
              <w:t>m</w:t>
            </w:r>
            <w:r>
              <w:rPr>
                <w:color w:val="000000" w:themeColor="text1"/>
                <w:kern w:val="0"/>
                <w:szCs w:val="21"/>
                <w:highlight w:val="none"/>
                <w:vertAlign w:val="superscript"/>
                <w:lang w:bidi="ar"/>
                <w14:textFill>
                  <w14:solidFill>
                    <w14:schemeClr w14:val="tx1"/>
                  </w14:solidFill>
                </w14:textFill>
              </w:rPr>
              <w:t>2</w:t>
            </w:r>
            <w:r>
              <w:rPr>
                <w:color w:val="000000" w:themeColor="text1"/>
                <w:kern w:val="0"/>
                <w:szCs w:val="21"/>
                <w:highlight w:val="none"/>
                <w:lang w:bidi="ar"/>
                <w14:textFill>
                  <w14:solidFill>
                    <w14:schemeClr w14:val="tx1"/>
                  </w14:solidFill>
                </w14:textFill>
              </w:rPr>
              <w:t>×</w:t>
            </w:r>
            <w:r>
              <w:rPr>
                <w:rFonts w:hint="eastAsia"/>
                <w:color w:val="000000" w:themeColor="text1"/>
                <w:kern w:val="0"/>
                <w:szCs w:val="21"/>
                <w:highlight w:val="none"/>
                <w:lang w:val="en-US" w:eastAsia="zh-CN" w:bidi="ar"/>
                <w14:textFill>
                  <w14:solidFill>
                    <w14:schemeClr w14:val="tx1"/>
                  </w14:solidFill>
                </w14:textFill>
              </w:rPr>
              <w:t>4</w:t>
            </w:r>
            <w:r>
              <w:rPr>
                <w:color w:val="000000" w:themeColor="text1"/>
                <w:kern w:val="0"/>
                <w:szCs w:val="21"/>
                <w:highlight w:val="none"/>
                <w:lang w:bidi="ar"/>
                <w14:textFill>
                  <w14:solidFill>
                    <w14:schemeClr w14:val="tx1"/>
                  </w14:solidFill>
                </w14:textFill>
              </w:rPr>
              <w:t>m</w:t>
            </w:r>
          </w:p>
        </w:tc>
      </w:tr>
      <w:tr w14:paraId="76791E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239" w:type="pct"/>
            <w:vMerge w:val="continue"/>
            <w:tcBorders>
              <w:tl2br w:val="nil"/>
              <w:tr2bl w:val="nil"/>
            </w:tcBorders>
            <w:shd w:val="clear" w:color="auto" w:fill="auto"/>
            <w:vAlign w:val="center"/>
          </w:tcPr>
          <w:p w14:paraId="32B46EFC">
            <w:pPr>
              <w:jc w:val="center"/>
              <w:rPr>
                <w:rFonts w:hint="eastAsia"/>
                <w:color w:val="000000" w:themeColor="text1"/>
                <w:szCs w:val="21"/>
                <w:highlight w:val="none"/>
                <w:lang w:val="en-US" w:eastAsia="zh-CN"/>
                <w14:textFill>
                  <w14:solidFill>
                    <w14:schemeClr w14:val="tx1"/>
                  </w14:solidFill>
                </w14:textFill>
              </w:rPr>
            </w:pPr>
          </w:p>
        </w:tc>
        <w:tc>
          <w:tcPr>
            <w:tcW w:w="339" w:type="pct"/>
            <w:vMerge w:val="continue"/>
            <w:tcBorders>
              <w:tl2br w:val="nil"/>
              <w:tr2bl w:val="nil"/>
            </w:tcBorders>
            <w:shd w:val="clear" w:color="auto" w:fill="auto"/>
            <w:vAlign w:val="center"/>
          </w:tcPr>
          <w:p w14:paraId="694909BF">
            <w:pPr>
              <w:widowControl/>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p>
        </w:tc>
        <w:tc>
          <w:tcPr>
            <w:tcW w:w="2738" w:type="dxa"/>
            <w:tcBorders>
              <w:tl2br w:val="nil"/>
              <w:tr2bl w:val="nil"/>
            </w:tcBorders>
            <w:shd w:val="clear" w:color="auto" w:fill="auto"/>
            <w:vAlign w:val="center"/>
          </w:tcPr>
          <w:p w14:paraId="5F2C2ECD">
            <w:pPr>
              <w:keepNext w:val="0"/>
              <w:keepLines w:val="0"/>
              <w:widowControl/>
              <w:suppressLineNumbers w:val="0"/>
              <w:jc w:val="center"/>
              <w:textAlignment w:val="center"/>
              <w:rPr>
                <w:rFonts w:hint="eastAsia" w:eastAsia="宋体"/>
                <w:color w:val="000000" w:themeColor="text1"/>
                <w:kern w:val="0"/>
                <w:szCs w:val="21"/>
                <w:highlight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乙醛</w:t>
            </w:r>
          </w:p>
        </w:tc>
        <w:tc>
          <w:tcPr>
            <w:tcW w:w="1003" w:type="dxa"/>
            <w:tcBorders>
              <w:tl2br w:val="nil"/>
              <w:tr2bl w:val="nil"/>
            </w:tcBorders>
            <w:shd w:val="clear" w:color="auto" w:fill="auto"/>
            <w:vAlign w:val="center"/>
          </w:tcPr>
          <w:p w14:paraId="72CFF436">
            <w:pPr>
              <w:jc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0.0001</w:t>
            </w:r>
          </w:p>
        </w:tc>
        <w:tc>
          <w:tcPr>
            <w:tcW w:w="987" w:type="dxa"/>
            <w:tcBorders>
              <w:tl2br w:val="nil"/>
              <w:tr2bl w:val="nil"/>
            </w:tcBorders>
            <w:shd w:val="clear" w:color="auto" w:fill="auto"/>
            <w:vAlign w:val="center"/>
          </w:tcPr>
          <w:p w14:paraId="2C0FC0BB">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0.0003</w:t>
            </w:r>
          </w:p>
        </w:tc>
        <w:tc>
          <w:tcPr>
            <w:tcW w:w="269" w:type="pct"/>
            <w:vMerge w:val="continue"/>
            <w:tcBorders>
              <w:tl2br w:val="nil"/>
              <w:tr2bl w:val="nil"/>
            </w:tcBorders>
            <w:shd w:val="clear" w:color="auto" w:fill="auto"/>
            <w:vAlign w:val="center"/>
          </w:tcPr>
          <w:p w14:paraId="44556DF3">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p>
        </w:tc>
        <w:tc>
          <w:tcPr>
            <w:tcW w:w="341" w:type="pct"/>
            <w:vMerge w:val="continue"/>
            <w:tcBorders>
              <w:tl2br w:val="nil"/>
              <w:tr2bl w:val="nil"/>
            </w:tcBorders>
            <w:shd w:val="clear" w:color="auto" w:fill="auto"/>
            <w:vAlign w:val="center"/>
          </w:tcPr>
          <w:p w14:paraId="2643AC34">
            <w:pPr>
              <w:jc w:val="center"/>
              <w:rPr>
                <w:rFonts w:hint="eastAsia" w:cs="Times New Roman"/>
                <w:color w:val="000000" w:themeColor="text1"/>
                <w:kern w:val="0"/>
                <w:szCs w:val="21"/>
                <w:highlight w:val="none"/>
                <w:lang w:val="en-US" w:eastAsia="zh-CN" w:bidi="ar"/>
                <w14:textFill>
                  <w14:solidFill>
                    <w14:schemeClr w14:val="tx1"/>
                  </w14:solidFill>
                </w14:textFill>
              </w:rPr>
            </w:pPr>
          </w:p>
        </w:tc>
        <w:tc>
          <w:tcPr>
            <w:tcW w:w="302" w:type="pct"/>
            <w:vMerge w:val="continue"/>
            <w:tcBorders>
              <w:tl2br w:val="nil"/>
              <w:tr2bl w:val="nil"/>
            </w:tcBorders>
            <w:shd w:val="clear" w:color="auto" w:fill="auto"/>
            <w:vAlign w:val="center"/>
          </w:tcPr>
          <w:p w14:paraId="75715D5B">
            <w:pPr>
              <w:jc w:val="center"/>
              <w:rPr>
                <w:rFonts w:hint="eastAsia" w:cs="Times New Roman"/>
                <w:color w:val="000000" w:themeColor="text1"/>
                <w:kern w:val="0"/>
                <w:szCs w:val="21"/>
                <w:highlight w:val="none"/>
                <w:lang w:val="en-US" w:eastAsia="zh-CN" w:bidi="ar"/>
                <w14:textFill>
                  <w14:solidFill>
                    <w14:schemeClr w14:val="tx1"/>
                  </w14:solidFill>
                </w14:textFill>
              </w:rPr>
            </w:pPr>
          </w:p>
        </w:tc>
        <w:tc>
          <w:tcPr>
            <w:tcW w:w="302" w:type="pct"/>
            <w:vMerge w:val="continue"/>
            <w:tcBorders>
              <w:tl2br w:val="nil"/>
              <w:tr2bl w:val="nil"/>
            </w:tcBorders>
            <w:shd w:val="clear" w:color="auto" w:fill="auto"/>
            <w:vAlign w:val="center"/>
          </w:tcPr>
          <w:p w14:paraId="63F9D455">
            <w:pPr>
              <w:jc w:val="center"/>
              <w:rPr>
                <w:rFonts w:hint="eastAsia" w:cs="Times New Roman"/>
                <w:color w:val="000000" w:themeColor="text1"/>
                <w:kern w:val="0"/>
                <w:szCs w:val="21"/>
                <w:highlight w:val="none"/>
                <w:lang w:val="en-US" w:eastAsia="zh-CN" w:bidi="ar"/>
                <w14:textFill>
                  <w14:solidFill>
                    <w14:schemeClr w14:val="tx1"/>
                  </w14:solidFill>
                </w14:textFill>
              </w:rPr>
            </w:pPr>
          </w:p>
        </w:tc>
        <w:tc>
          <w:tcPr>
            <w:tcW w:w="1005" w:type="dxa"/>
            <w:tcBorders>
              <w:tl2br w:val="nil"/>
              <w:tr2bl w:val="nil"/>
            </w:tcBorders>
            <w:shd w:val="clear" w:color="auto" w:fill="auto"/>
            <w:vAlign w:val="center"/>
          </w:tcPr>
          <w:p w14:paraId="0E5A5E29">
            <w:pPr>
              <w:jc w:val="center"/>
              <w:rPr>
                <w:rFonts w:hint="eastAsia"/>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0.0131</w:t>
            </w:r>
          </w:p>
        </w:tc>
        <w:tc>
          <w:tcPr>
            <w:tcW w:w="1021" w:type="dxa"/>
            <w:tcBorders>
              <w:tl2br w:val="nil"/>
              <w:tr2bl w:val="nil"/>
            </w:tcBorders>
            <w:shd w:val="clear" w:color="auto" w:fill="auto"/>
            <w:vAlign w:val="center"/>
          </w:tcPr>
          <w:p w14:paraId="2F0EA9C8">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0.0631</w:t>
            </w:r>
          </w:p>
        </w:tc>
        <w:tc>
          <w:tcPr>
            <w:tcW w:w="650" w:type="pct"/>
            <w:vMerge w:val="continue"/>
            <w:tcBorders>
              <w:tl2br w:val="nil"/>
              <w:tr2bl w:val="nil"/>
            </w:tcBorders>
            <w:shd w:val="clear" w:color="auto" w:fill="auto"/>
            <w:vAlign w:val="center"/>
          </w:tcPr>
          <w:p w14:paraId="66BC382F">
            <w:pPr>
              <w:widowControl/>
              <w:jc w:val="center"/>
              <w:textAlignment w:val="center"/>
              <w:rPr>
                <w:rFonts w:hint="eastAsia"/>
                <w:color w:val="000000" w:themeColor="text1"/>
                <w:kern w:val="0"/>
                <w:szCs w:val="21"/>
                <w:highlight w:val="none"/>
                <w:lang w:val="en-US" w:eastAsia="zh-CN" w:bidi="ar"/>
                <w14:textFill>
                  <w14:solidFill>
                    <w14:schemeClr w14:val="tx1"/>
                  </w14:solidFill>
                </w14:textFill>
              </w:rPr>
            </w:pPr>
          </w:p>
        </w:tc>
      </w:tr>
      <w:tr w14:paraId="10385E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239" w:type="pct"/>
            <w:vMerge w:val="continue"/>
            <w:tcBorders>
              <w:tl2br w:val="nil"/>
              <w:tr2bl w:val="nil"/>
            </w:tcBorders>
            <w:shd w:val="clear" w:color="auto" w:fill="auto"/>
            <w:vAlign w:val="center"/>
          </w:tcPr>
          <w:p w14:paraId="10F88BDB">
            <w:pPr>
              <w:jc w:val="center"/>
              <w:rPr>
                <w:rFonts w:hint="eastAsia"/>
                <w:color w:val="000000" w:themeColor="text1"/>
                <w:szCs w:val="21"/>
                <w:highlight w:val="none"/>
                <w:lang w:val="en-US" w:eastAsia="zh-CN"/>
                <w14:textFill>
                  <w14:solidFill>
                    <w14:schemeClr w14:val="tx1"/>
                  </w14:solidFill>
                </w14:textFill>
              </w:rPr>
            </w:pPr>
          </w:p>
        </w:tc>
        <w:tc>
          <w:tcPr>
            <w:tcW w:w="339" w:type="pct"/>
            <w:vMerge w:val="continue"/>
            <w:tcBorders>
              <w:tl2br w:val="nil"/>
              <w:tr2bl w:val="nil"/>
            </w:tcBorders>
            <w:shd w:val="clear" w:color="auto" w:fill="auto"/>
            <w:vAlign w:val="center"/>
          </w:tcPr>
          <w:p w14:paraId="1B893512">
            <w:pPr>
              <w:widowControl/>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p>
        </w:tc>
        <w:tc>
          <w:tcPr>
            <w:tcW w:w="2738" w:type="dxa"/>
            <w:tcBorders>
              <w:tl2br w:val="nil"/>
              <w:tr2bl w:val="nil"/>
            </w:tcBorders>
            <w:shd w:val="clear" w:color="auto" w:fill="auto"/>
            <w:vAlign w:val="center"/>
          </w:tcPr>
          <w:p w14:paraId="49B43BEE">
            <w:pPr>
              <w:keepNext w:val="0"/>
              <w:keepLines w:val="0"/>
              <w:widowControl/>
              <w:suppressLineNumbers w:val="0"/>
              <w:jc w:val="center"/>
              <w:textAlignment w:val="center"/>
              <w:rPr>
                <w:color w:val="000000" w:themeColor="text1"/>
                <w:kern w:val="0"/>
                <w:szCs w:val="21"/>
                <w:highlight w:val="none"/>
                <w:lang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四氢呋喃</w:t>
            </w:r>
          </w:p>
        </w:tc>
        <w:tc>
          <w:tcPr>
            <w:tcW w:w="379" w:type="pct"/>
            <w:tcBorders>
              <w:tl2br w:val="nil"/>
              <w:tr2bl w:val="nil"/>
            </w:tcBorders>
            <w:shd w:val="clear" w:color="auto" w:fill="auto"/>
            <w:vAlign w:val="center"/>
          </w:tcPr>
          <w:p w14:paraId="617A2B1E">
            <w:pPr>
              <w:jc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0.000</w:t>
            </w:r>
            <w:r>
              <w:rPr>
                <w:rFonts w:hint="eastAsia" w:cs="Times New Roman"/>
                <w:color w:val="000000" w:themeColor="text1"/>
                <w:kern w:val="0"/>
                <w:szCs w:val="21"/>
                <w:highlight w:val="none"/>
                <w:lang w:val="en-US" w:eastAsia="zh-CN" w:bidi="ar"/>
                <w14:textFill>
                  <w14:solidFill>
                    <w14:schemeClr w14:val="tx1"/>
                  </w14:solidFill>
                </w14:textFill>
              </w:rPr>
              <w:t>7</w:t>
            </w:r>
          </w:p>
        </w:tc>
        <w:tc>
          <w:tcPr>
            <w:tcW w:w="373" w:type="pct"/>
            <w:tcBorders>
              <w:tl2br w:val="nil"/>
              <w:tr2bl w:val="nil"/>
            </w:tcBorders>
            <w:shd w:val="clear" w:color="auto" w:fill="auto"/>
            <w:vAlign w:val="center"/>
          </w:tcPr>
          <w:p w14:paraId="504E13CF">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0.00</w:t>
            </w:r>
            <w:r>
              <w:rPr>
                <w:rFonts w:hint="eastAsia" w:cs="Times New Roman"/>
                <w:color w:val="000000" w:themeColor="text1"/>
                <w:kern w:val="0"/>
                <w:szCs w:val="21"/>
                <w:highlight w:val="none"/>
                <w:lang w:val="en-US" w:eastAsia="zh-CN" w:bidi="ar"/>
                <w14:textFill>
                  <w14:solidFill>
                    <w14:schemeClr w14:val="tx1"/>
                  </w14:solidFill>
                </w14:textFill>
              </w:rPr>
              <w:t>34</w:t>
            </w:r>
          </w:p>
        </w:tc>
        <w:tc>
          <w:tcPr>
            <w:tcW w:w="269" w:type="pct"/>
            <w:vMerge w:val="continue"/>
            <w:tcBorders>
              <w:tl2br w:val="nil"/>
              <w:tr2bl w:val="nil"/>
            </w:tcBorders>
            <w:shd w:val="clear" w:color="auto" w:fill="auto"/>
            <w:vAlign w:val="center"/>
          </w:tcPr>
          <w:p w14:paraId="730B72AC">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p>
        </w:tc>
        <w:tc>
          <w:tcPr>
            <w:tcW w:w="341" w:type="pct"/>
            <w:vMerge w:val="continue"/>
            <w:tcBorders>
              <w:tl2br w:val="nil"/>
              <w:tr2bl w:val="nil"/>
            </w:tcBorders>
            <w:shd w:val="clear" w:color="auto" w:fill="auto"/>
            <w:vAlign w:val="center"/>
          </w:tcPr>
          <w:p w14:paraId="6472458D">
            <w:pPr>
              <w:jc w:val="center"/>
              <w:rPr>
                <w:rFonts w:hint="eastAsia" w:cs="Times New Roman"/>
                <w:color w:val="000000" w:themeColor="text1"/>
                <w:kern w:val="0"/>
                <w:szCs w:val="21"/>
                <w:highlight w:val="none"/>
                <w:lang w:val="en-US" w:eastAsia="zh-CN" w:bidi="ar"/>
                <w14:textFill>
                  <w14:solidFill>
                    <w14:schemeClr w14:val="tx1"/>
                  </w14:solidFill>
                </w14:textFill>
              </w:rPr>
            </w:pPr>
          </w:p>
        </w:tc>
        <w:tc>
          <w:tcPr>
            <w:tcW w:w="302" w:type="pct"/>
            <w:vMerge w:val="continue"/>
            <w:tcBorders>
              <w:tl2br w:val="nil"/>
              <w:tr2bl w:val="nil"/>
            </w:tcBorders>
            <w:shd w:val="clear" w:color="auto" w:fill="auto"/>
            <w:vAlign w:val="center"/>
          </w:tcPr>
          <w:p w14:paraId="12CBE990">
            <w:pPr>
              <w:jc w:val="center"/>
              <w:rPr>
                <w:rFonts w:hint="eastAsia" w:cs="Times New Roman"/>
                <w:color w:val="000000" w:themeColor="text1"/>
                <w:kern w:val="0"/>
                <w:szCs w:val="21"/>
                <w:highlight w:val="none"/>
                <w:lang w:val="en-US" w:eastAsia="zh-CN" w:bidi="ar"/>
                <w14:textFill>
                  <w14:solidFill>
                    <w14:schemeClr w14:val="tx1"/>
                  </w14:solidFill>
                </w14:textFill>
              </w:rPr>
            </w:pPr>
          </w:p>
        </w:tc>
        <w:tc>
          <w:tcPr>
            <w:tcW w:w="302" w:type="pct"/>
            <w:vMerge w:val="continue"/>
            <w:tcBorders>
              <w:tl2br w:val="nil"/>
              <w:tr2bl w:val="nil"/>
            </w:tcBorders>
            <w:shd w:val="clear" w:color="auto" w:fill="auto"/>
            <w:vAlign w:val="center"/>
          </w:tcPr>
          <w:p w14:paraId="2319A4C9">
            <w:pPr>
              <w:jc w:val="center"/>
              <w:rPr>
                <w:rFonts w:hint="eastAsia" w:cs="Times New Roman"/>
                <w:color w:val="000000" w:themeColor="text1"/>
                <w:kern w:val="0"/>
                <w:szCs w:val="21"/>
                <w:highlight w:val="none"/>
                <w:lang w:val="en-US" w:eastAsia="zh-CN" w:bidi="ar"/>
                <w14:textFill>
                  <w14:solidFill>
                    <w14:schemeClr w14:val="tx1"/>
                  </w14:solidFill>
                </w14:textFill>
              </w:rPr>
            </w:pPr>
          </w:p>
        </w:tc>
        <w:tc>
          <w:tcPr>
            <w:tcW w:w="1005" w:type="dxa"/>
            <w:tcBorders>
              <w:tl2br w:val="nil"/>
              <w:tr2bl w:val="nil"/>
            </w:tcBorders>
            <w:shd w:val="clear" w:color="auto" w:fill="auto"/>
            <w:vAlign w:val="center"/>
          </w:tcPr>
          <w:p w14:paraId="35B9D6EE">
            <w:pPr>
              <w:jc w:val="center"/>
              <w:rPr>
                <w:rFonts w:hint="eastAsia"/>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0.000</w:t>
            </w:r>
            <w:r>
              <w:rPr>
                <w:rFonts w:hint="eastAsia" w:cs="Times New Roman"/>
                <w:color w:val="000000" w:themeColor="text1"/>
                <w:kern w:val="0"/>
                <w:szCs w:val="21"/>
                <w:highlight w:val="none"/>
                <w:lang w:val="en-US" w:eastAsia="zh-CN" w:bidi="ar"/>
                <w14:textFill>
                  <w14:solidFill>
                    <w14:schemeClr w14:val="tx1"/>
                  </w14:solidFill>
                </w14:textFill>
              </w:rPr>
              <w:t>7</w:t>
            </w:r>
          </w:p>
        </w:tc>
        <w:tc>
          <w:tcPr>
            <w:tcW w:w="1021" w:type="dxa"/>
            <w:tcBorders>
              <w:tl2br w:val="nil"/>
              <w:tr2bl w:val="nil"/>
            </w:tcBorders>
            <w:shd w:val="clear" w:color="auto" w:fill="auto"/>
            <w:vAlign w:val="center"/>
          </w:tcPr>
          <w:p w14:paraId="452CD265">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0.00</w:t>
            </w:r>
            <w:r>
              <w:rPr>
                <w:rFonts w:hint="eastAsia" w:cs="Times New Roman"/>
                <w:color w:val="000000" w:themeColor="text1"/>
                <w:kern w:val="0"/>
                <w:szCs w:val="21"/>
                <w:highlight w:val="none"/>
                <w:lang w:val="en-US" w:eastAsia="zh-CN" w:bidi="ar"/>
                <w14:textFill>
                  <w14:solidFill>
                    <w14:schemeClr w14:val="tx1"/>
                  </w14:solidFill>
                </w14:textFill>
              </w:rPr>
              <w:t>34</w:t>
            </w:r>
          </w:p>
        </w:tc>
        <w:tc>
          <w:tcPr>
            <w:tcW w:w="650" w:type="pct"/>
            <w:vMerge w:val="continue"/>
            <w:tcBorders>
              <w:tl2br w:val="nil"/>
              <w:tr2bl w:val="nil"/>
            </w:tcBorders>
            <w:shd w:val="clear" w:color="auto" w:fill="auto"/>
            <w:vAlign w:val="center"/>
          </w:tcPr>
          <w:p w14:paraId="3A7575CA">
            <w:pPr>
              <w:widowControl/>
              <w:jc w:val="center"/>
              <w:textAlignment w:val="center"/>
              <w:rPr>
                <w:rFonts w:hint="eastAsia"/>
                <w:color w:val="000000" w:themeColor="text1"/>
                <w:kern w:val="0"/>
                <w:szCs w:val="21"/>
                <w:highlight w:val="none"/>
                <w:lang w:val="en-US" w:eastAsia="zh-CN" w:bidi="ar"/>
                <w14:textFill>
                  <w14:solidFill>
                    <w14:schemeClr w14:val="tx1"/>
                  </w14:solidFill>
                </w14:textFill>
              </w:rPr>
            </w:pPr>
          </w:p>
        </w:tc>
      </w:tr>
    </w:tbl>
    <w:p w14:paraId="3AF94931">
      <w:pPr>
        <w:snapToGrid w:val="0"/>
        <w:spacing w:line="240" w:lineRule="exact"/>
        <w:jc w:val="left"/>
        <w:rPr>
          <w:b/>
          <w:bCs/>
          <w:color w:val="000000" w:themeColor="text1"/>
          <w:szCs w:val="21"/>
          <w:highlight w:val="none"/>
          <w14:textFill>
            <w14:solidFill>
              <w14:schemeClr w14:val="tx1"/>
            </w14:solidFill>
          </w14:textFill>
        </w:rPr>
        <w:sectPr>
          <w:pgSz w:w="16840" w:h="11907" w:orient="landscape"/>
          <w:pgMar w:top="1531" w:right="1701" w:bottom="1531" w:left="2127" w:header="851" w:footer="851" w:gutter="0"/>
          <w:pgBorders>
            <w:top w:val="none" w:sz="0" w:space="0"/>
            <w:left w:val="none" w:sz="0" w:space="0"/>
            <w:bottom w:val="none" w:sz="0" w:space="0"/>
            <w:right w:val="none" w:sz="0" w:space="0"/>
          </w:pgBorders>
          <w:pgNumType w:fmt="numberInDash"/>
          <w:cols w:space="720" w:num="1"/>
          <w:docGrid w:linePitch="312" w:charSpace="0"/>
        </w:sectPr>
      </w:pPr>
    </w:p>
    <w:tbl>
      <w:tblPr>
        <w:tblStyle w:val="38"/>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93"/>
        <w:gridCol w:w="8684"/>
      </w:tblGrid>
      <w:tr w14:paraId="0A46E5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82" w:hRule="atLeast"/>
          <w:jc w:val="center"/>
        </w:trPr>
        <w:tc>
          <w:tcPr>
            <w:tcW w:w="111" w:type="pct"/>
            <w:tcMar>
              <w:left w:w="28" w:type="dxa"/>
              <w:right w:w="28" w:type="dxa"/>
            </w:tcMar>
            <w:vAlign w:val="center"/>
          </w:tcPr>
          <w:p w14:paraId="38C0BB05">
            <w:pPr>
              <w:adjustRightInd w:val="0"/>
              <w:snapToGrid w:val="0"/>
              <w:spacing w:line="440" w:lineRule="exact"/>
              <w:jc w:val="center"/>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运营</w:t>
            </w:r>
          </w:p>
          <w:p w14:paraId="501F19AA">
            <w:pPr>
              <w:adjustRightInd w:val="0"/>
              <w:snapToGrid w:val="0"/>
              <w:spacing w:line="440" w:lineRule="exact"/>
              <w:jc w:val="center"/>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期环</w:t>
            </w:r>
          </w:p>
          <w:p w14:paraId="5F86C97F">
            <w:pPr>
              <w:adjustRightInd w:val="0"/>
              <w:snapToGrid w:val="0"/>
              <w:spacing w:line="440" w:lineRule="exact"/>
              <w:jc w:val="center"/>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境影</w:t>
            </w:r>
          </w:p>
          <w:p w14:paraId="23738F7D">
            <w:pPr>
              <w:adjustRightInd w:val="0"/>
              <w:snapToGrid w:val="0"/>
              <w:spacing w:line="440" w:lineRule="exact"/>
              <w:jc w:val="center"/>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响和</w:t>
            </w:r>
          </w:p>
          <w:p w14:paraId="66EF2ACD">
            <w:pPr>
              <w:adjustRightInd w:val="0"/>
              <w:snapToGrid w:val="0"/>
              <w:spacing w:line="440" w:lineRule="exact"/>
              <w:jc w:val="center"/>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保护</w:t>
            </w:r>
          </w:p>
          <w:p w14:paraId="7D59927A">
            <w:pPr>
              <w:adjustRightInd w:val="0"/>
              <w:snapToGrid w:val="0"/>
              <w:spacing w:line="440" w:lineRule="exact"/>
              <w:jc w:val="center"/>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措施</w:t>
            </w:r>
          </w:p>
        </w:tc>
        <w:tc>
          <w:tcPr>
            <w:tcW w:w="3285" w:type="pct"/>
          </w:tcPr>
          <w:p w14:paraId="5851502A">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项目非正常工况主要考虑废气处理设施维护不到位等情况，废气处理装置处理效率为零，废气未经处理直接排放，本项目非正常排放情况见下表。</w:t>
            </w:r>
          </w:p>
          <w:p w14:paraId="427D2FED">
            <w:pPr>
              <w:pStyle w:val="154"/>
              <w:keepNext w:val="0"/>
              <w:keepLines w:val="0"/>
              <w:pageBreakBefore w:val="0"/>
              <w:widowControl w:val="0"/>
              <w:numPr>
                <w:ilvl w:val="0"/>
                <w:numId w:val="0"/>
              </w:numPr>
              <w:kinsoku/>
              <w:wordWrap/>
              <w:overflowPunct/>
              <w:topLinePunct w:val="0"/>
              <w:autoSpaceDE/>
              <w:autoSpaceDN/>
              <w:bidi w:val="0"/>
              <w:spacing w:line="440" w:lineRule="exact"/>
              <w:ind w:left="425" w:leftChars="0" w:firstLine="0" w:firstLineChars="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宋体"/>
                <w:b/>
                <w:color w:val="000000" w:themeColor="text1"/>
                <w:kern w:val="2"/>
                <w:sz w:val="24"/>
                <w:szCs w:val="24"/>
                <w:highlight w:val="none"/>
                <w:lang w:val="en-US" w:eastAsia="zh-CN" w:bidi="ar-SA"/>
                <w14:textFill>
                  <w14:solidFill>
                    <w14:schemeClr w14:val="tx1"/>
                  </w14:solidFill>
                </w14:textFill>
              </w:rPr>
              <w:t>表4-</w:t>
            </w:r>
            <w:r>
              <w:rPr>
                <w:rFonts w:hint="eastAsia" w:cs="宋体"/>
                <w:b/>
                <w:color w:val="000000" w:themeColor="text1"/>
                <w:kern w:val="2"/>
                <w:sz w:val="24"/>
                <w:szCs w:val="24"/>
                <w:highlight w:val="none"/>
                <w:lang w:val="en-US" w:eastAsia="zh-CN" w:bidi="ar-SA"/>
                <w14:textFill>
                  <w14:solidFill>
                    <w14:schemeClr w14:val="tx1"/>
                  </w14:solidFill>
                </w14:textFill>
              </w:rPr>
              <w:t xml:space="preserve">5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本项目非正常工况下废气排放情况表</w:t>
            </w:r>
          </w:p>
          <w:tbl>
            <w:tblPr>
              <w:tblStyle w:val="38"/>
              <w:tblW w:w="4998"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857"/>
              <w:gridCol w:w="1079"/>
              <w:gridCol w:w="1291"/>
              <w:gridCol w:w="1108"/>
              <w:gridCol w:w="1520"/>
              <w:gridCol w:w="1296"/>
              <w:gridCol w:w="1314"/>
            </w:tblGrid>
            <w:tr w14:paraId="7642DAE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506" w:type="pct"/>
                  <w:vMerge w:val="restart"/>
                  <w:vAlign w:val="center"/>
                </w:tcPr>
                <w:p w14:paraId="57A47AAD">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污染源</w:t>
                  </w:r>
                </w:p>
              </w:tc>
              <w:tc>
                <w:tcPr>
                  <w:tcW w:w="637" w:type="pct"/>
                  <w:vMerge w:val="restart"/>
                  <w:vAlign w:val="center"/>
                </w:tcPr>
                <w:p w14:paraId="5C03280C">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非正常排</w:t>
                  </w:r>
                </w:p>
                <w:p w14:paraId="00242F1A">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放原因</w:t>
                  </w:r>
                </w:p>
              </w:tc>
              <w:tc>
                <w:tcPr>
                  <w:tcW w:w="762" w:type="pct"/>
                  <w:vMerge w:val="restart"/>
                  <w:vAlign w:val="center"/>
                </w:tcPr>
                <w:p w14:paraId="072FAAA7">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污染物</w:t>
                  </w:r>
                </w:p>
              </w:tc>
              <w:tc>
                <w:tcPr>
                  <w:tcW w:w="1552" w:type="pct"/>
                  <w:gridSpan w:val="2"/>
                  <w:vAlign w:val="center"/>
                </w:tcPr>
                <w:p w14:paraId="4AB2709B">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污染物排放情况</w:t>
                  </w:r>
                </w:p>
              </w:tc>
              <w:tc>
                <w:tcPr>
                  <w:tcW w:w="765" w:type="pct"/>
                  <w:vMerge w:val="restart"/>
                  <w:vAlign w:val="center"/>
                </w:tcPr>
                <w:p w14:paraId="3A96CB68">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年发生频次</w:t>
                  </w:r>
                </w:p>
              </w:tc>
              <w:tc>
                <w:tcPr>
                  <w:tcW w:w="776" w:type="pct"/>
                  <w:vMerge w:val="restart"/>
                  <w:vAlign w:val="center"/>
                </w:tcPr>
                <w:p w14:paraId="46062EEC">
                  <w:pPr>
                    <w:snapToGrid w:val="0"/>
                    <w:spacing w:line="240" w:lineRule="exact"/>
                    <w:jc w:val="center"/>
                    <w:rPr>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排放量kg/a</w:t>
                  </w:r>
                </w:p>
              </w:tc>
            </w:tr>
            <w:tr w14:paraId="46BDDCE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506" w:type="pct"/>
                  <w:vMerge w:val="continue"/>
                  <w:vAlign w:val="center"/>
                </w:tcPr>
                <w:p w14:paraId="7DD53246">
                  <w:pPr>
                    <w:snapToGrid w:val="0"/>
                    <w:spacing w:line="240" w:lineRule="exact"/>
                    <w:jc w:val="center"/>
                    <w:rPr>
                      <w:b/>
                      <w:bCs/>
                      <w:color w:val="000000" w:themeColor="text1"/>
                      <w:szCs w:val="21"/>
                      <w:highlight w:val="none"/>
                      <w14:textFill>
                        <w14:solidFill>
                          <w14:schemeClr w14:val="tx1"/>
                        </w14:solidFill>
                      </w14:textFill>
                    </w:rPr>
                  </w:pPr>
                </w:p>
              </w:tc>
              <w:tc>
                <w:tcPr>
                  <w:tcW w:w="637" w:type="pct"/>
                  <w:vMerge w:val="continue"/>
                  <w:vAlign w:val="center"/>
                </w:tcPr>
                <w:p w14:paraId="76F69D97">
                  <w:pPr>
                    <w:snapToGrid w:val="0"/>
                    <w:spacing w:line="240" w:lineRule="exact"/>
                    <w:jc w:val="center"/>
                    <w:rPr>
                      <w:b/>
                      <w:bCs/>
                      <w:color w:val="000000" w:themeColor="text1"/>
                      <w:szCs w:val="21"/>
                      <w:highlight w:val="none"/>
                      <w14:textFill>
                        <w14:solidFill>
                          <w14:schemeClr w14:val="tx1"/>
                        </w14:solidFill>
                      </w14:textFill>
                    </w:rPr>
                  </w:pPr>
                </w:p>
              </w:tc>
              <w:tc>
                <w:tcPr>
                  <w:tcW w:w="762" w:type="pct"/>
                  <w:vMerge w:val="continue"/>
                  <w:vAlign w:val="center"/>
                </w:tcPr>
                <w:p w14:paraId="6E0894ED">
                  <w:pPr>
                    <w:snapToGrid w:val="0"/>
                    <w:spacing w:line="240" w:lineRule="exact"/>
                    <w:jc w:val="center"/>
                    <w:rPr>
                      <w:b/>
                      <w:bCs/>
                      <w:color w:val="000000" w:themeColor="text1"/>
                      <w:szCs w:val="21"/>
                      <w:highlight w:val="none"/>
                      <w14:textFill>
                        <w14:solidFill>
                          <w14:schemeClr w14:val="tx1"/>
                        </w14:solidFill>
                      </w14:textFill>
                    </w:rPr>
                  </w:pPr>
                </w:p>
              </w:tc>
              <w:tc>
                <w:tcPr>
                  <w:tcW w:w="654" w:type="pct"/>
                  <w:vAlign w:val="center"/>
                </w:tcPr>
                <w:p w14:paraId="5A4637AA">
                  <w:pPr>
                    <w:adjustRightInd w:val="0"/>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浓度mg/m</w:t>
                  </w:r>
                  <w:r>
                    <w:rPr>
                      <w:b/>
                      <w:bCs/>
                      <w:color w:val="000000" w:themeColor="text1"/>
                      <w:szCs w:val="21"/>
                      <w:highlight w:val="none"/>
                      <w:vertAlign w:val="superscript"/>
                      <w14:textFill>
                        <w14:solidFill>
                          <w14:schemeClr w14:val="tx1"/>
                        </w14:solidFill>
                      </w14:textFill>
                    </w:rPr>
                    <w:t>3</w:t>
                  </w:r>
                </w:p>
              </w:tc>
              <w:tc>
                <w:tcPr>
                  <w:tcW w:w="897" w:type="pct"/>
                  <w:vAlign w:val="center"/>
                </w:tcPr>
                <w:p w14:paraId="52D2606E">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单次持续时间</w:t>
                  </w:r>
                </w:p>
              </w:tc>
              <w:tc>
                <w:tcPr>
                  <w:tcW w:w="765" w:type="pct"/>
                  <w:vMerge w:val="continue"/>
                  <w:vAlign w:val="center"/>
                </w:tcPr>
                <w:p w14:paraId="6BCA3679">
                  <w:pPr>
                    <w:snapToGrid w:val="0"/>
                    <w:spacing w:line="240" w:lineRule="exact"/>
                    <w:jc w:val="center"/>
                    <w:rPr>
                      <w:b/>
                      <w:bCs/>
                      <w:color w:val="000000" w:themeColor="text1"/>
                      <w:szCs w:val="21"/>
                      <w:highlight w:val="none"/>
                      <w14:textFill>
                        <w14:solidFill>
                          <w14:schemeClr w14:val="tx1"/>
                        </w14:solidFill>
                      </w14:textFill>
                    </w:rPr>
                  </w:pPr>
                </w:p>
              </w:tc>
              <w:tc>
                <w:tcPr>
                  <w:tcW w:w="776" w:type="pct"/>
                  <w:vMerge w:val="continue"/>
                  <w:vAlign w:val="center"/>
                </w:tcPr>
                <w:p w14:paraId="4798A9FB">
                  <w:pPr>
                    <w:snapToGrid w:val="0"/>
                    <w:spacing w:line="240" w:lineRule="exact"/>
                    <w:jc w:val="center"/>
                    <w:rPr>
                      <w:b/>
                      <w:bCs/>
                      <w:color w:val="000000" w:themeColor="text1"/>
                      <w:szCs w:val="21"/>
                      <w:highlight w:val="none"/>
                      <w14:textFill>
                        <w14:solidFill>
                          <w14:schemeClr w14:val="tx1"/>
                        </w14:solidFill>
                      </w14:textFill>
                    </w:rPr>
                  </w:pPr>
                </w:p>
              </w:tc>
            </w:tr>
            <w:tr w14:paraId="3400EC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506" w:type="pct"/>
                  <w:vAlign w:val="center"/>
                </w:tcPr>
                <w:p w14:paraId="7CD1224C">
                  <w:pPr>
                    <w:snapToGrid w:val="0"/>
                    <w:spacing w:line="240" w:lineRule="exact"/>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DA001</w:t>
                  </w:r>
                </w:p>
              </w:tc>
              <w:tc>
                <w:tcPr>
                  <w:tcW w:w="637" w:type="pct"/>
                  <w:vAlign w:val="center"/>
                </w:tcPr>
                <w:p w14:paraId="7E1DB245">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废气处理</w:t>
                  </w:r>
                </w:p>
                <w:p w14:paraId="544CFA3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装置故障</w:t>
                  </w:r>
                </w:p>
              </w:tc>
              <w:tc>
                <w:tcPr>
                  <w:tcW w:w="762" w:type="pct"/>
                  <w:vAlign w:val="center"/>
                </w:tcPr>
                <w:p w14:paraId="282851F9">
                  <w:pPr>
                    <w:widowControl/>
                    <w:jc w:val="center"/>
                    <w:textAlignment w:val="center"/>
                    <w:rPr>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非甲烷总烃</w:t>
                  </w:r>
                </w:p>
              </w:tc>
              <w:tc>
                <w:tcPr>
                  <w:tcW w:w="1108" w:type="dxa"/>
                  <w:vAlign w:val="center"/>
                </w:tcPr>
                <w:p w14:paraId="2DDD7B33">
                  <w:pPr>
                    <w:widowControl/>
                    <w:jc w:val="center"/>
                    <w:textAlignment w:val="center"/>
                    <w:rPr>
                      <w:rFonts w:hint="default"/>
                      <w:color w:val="000000" w:themeColor="text1"/>
                      <w:kern w:val="0"/>
                      <w:szCs w:val="21"/>
                      <w:highlight w:val="none"/>
                      <w:lang w:val="en-US"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0.660</w:t>
                  </w:r>
                </w:p>
              </w:tc>
              <w:tc>
                <w:tcPr>
                  <w:tcW w:w="897" w:type="pct"/>
                  <w:vAlign w:val="center"/>
                </w:tcPr>
                <w:p w14:paraId="24CC20C8">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1h</w:t>
                  </w:r>
                </w:p>
              </w:tc>
              <w:tc>
                <w:tcPr>
                  <w:tcW w:w="765" w:type="pct"/>
                  <w:vAlign w:val="center"/>
                </w:tcPr>
                <w:p w14:paraId="4612568C">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w:t>
                  </w:r>
                </w:p>
              </w:tc>
              <w:tc>
                <w:tcPr>
                  <w:tcW w:w="1314" w:type="dxa"/>
                  <w:vAlign w:val="center"/>
                </w:tcPr>
                <w:p w14:paraId="488F140C">
                  <w:pPr>
                    <w:widowControl/>
                    <w:jc w:val="center"/>
                    <w:textAlignment w:val="center"/>
                    <w:rPr>
                      <w:rFonts w:hint="default"/>
                      <w:color w:val="000000" w:themeColor="text1"/>
                      <w:szCs w:val="21"/>
                      <w:highlight w:val="none"/>
                      <w:lang w:val="en-US"/>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0.002</w:t>
                  </w:r>
                </w:p>
              </w:tc>
            </w:tr>
            <w:tr w14:paraId="5C89C2A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506" w:type="pct"/>
                  <w:vMerge w:val="restart"/>
                  <w:vAlign w:val="center"/>
                </w:tcPr>
                <w:p w14:paraId="0AE88D6C">
                  <w:pPr>
                    <w:snapToGrid w:val="0"/>
                    <w:spacing w:line="240" w:lineRule="exact"/>
                    <w:jc w:val="center"/>
                    <w:rPr>
                      <w:rFonts w:hint="eastAsia"/>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DA00</w:t>
                  </w:r>
                  <w:r>
                    <w:rPr>
                      <w:rFonts w:hint="eastAsia"/>
                      <w:color w:val="000000" w:themeColor="text1"/>
                      <w:szCs w:val="21"/>
                      <w:highlight w:val="none"/>
                      <w:lang w:val="en-US" w:eastAsia="zh-CN"/>
                      <w14:textFill>
                        <w14:solidFill>
                          <w14:schemeClr w14:val="tx1"/>
                        </w14:solidFill>
                      </w14:textFill>
                    </w:rPr>
                    <w:t>2</w:t>
                  </w:r>
                </w:p>
              </w:tc>
              <w:tc>
                <w:tcPr>
                  <w:tcW w:w="637" w:type="pct"/>
                  <w:vMerge w:val="restart"/>
                  <w:vAlign w:val="center"/>
                </w:tcPr>
                <w:p w14:paraId="00A7704D">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废气处理</w:t>
                  </w:r>
                </w:p>
                <w:p w14:paraId="65772673">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装置故障</w:t>
                  </w:r>
                </w:p>
              </w:tc>
              <w:tc>
                <w:tcPr>
                  <w:tcW w:w="762" w:type="pct"/>
                  <w:vAlign w:val="center"/>
                </w:tcPr>
                <w:p w14:paraId="60AB5001">
                  <w:pPr>
                    <w:widowControl/>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非甲烷总烃</w:t>
                  </w:r>
                </w:p>
              </w:tc>
              <w:tc>
                <w:tcPr>
                  <w:tcW w:w="1108" w:type="dxa"/>
                  <w:vAlign w:val="center"/>
                </w:tcPr>
                <w:p w14:paraId="7233C728">
                  <w:pPr>
                    <w:widowControl/>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12.656</w:t>
                  </w:r>
                </w:p>
              </w:tc>
              <w:tc>
                <w:tcPr>
                  <w:tcW w:w="897" w:type="pct"/>
                  <w:vAlign w:val="center"/>
                </w:tcPr>
                <w:p w14:paraId="0B94B434">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1h</w:t>
                  </w:r>
                </w:p>
              </w:tc>
              <w:tc>
                <w:tcPr>
                  <w:tcW w:w="765" w:type="pct"/>
                  <w:vAlign w:val="center"/>
                </w:tcPr>
                <w:p w14:paraId="2F49B8AF">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w:t>
                  </w:r>
                </w:p>
              </w:tc>
              <w:tc>
                <w:tcPr>
                  <w:tcW w:w="1314" w:type="dxa"/>
                  <w:vAlign w:val="center"/>
                </w:tcPr>
                <w:p w14:paraId="26798CAC">
                  <w:pPr>
                    <w:widowControl/>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0.051</w:t>
                  </w:r>
                </w:p>
              </w:tc>
            </w:tr>
            <w:tr w14:paraId="27E2E9A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506" w:type="pct"/>
                  <w:vMerge w:val="continue"/>
                  <w:vAlign w:val="center"/>
                </w:tcPr>
                <w:p w14:paraId="0FC807C0">
                  <w:pPr>
                    <w:snapToGrid w:val="0"/>
                    <w:spacing w:line="240" w:lineRule="exact"/>
                    <w:jc w:val="center"/>
                    <w:rPr>
                      <w:rFonts w:hint="eastAsia"/>
                      <w:color w:val="000000" w:themeColor="text1"/>
                      <w:szCs w:val="21"/>
                      <w:highlight w:val="none"/>
                      <w:lang w:eastAsia="zh-CN"/>
                      <w14:textFill>
                        <w14:solidFill>
                          <w14:schemeClr w14:val="tx1"/>
                        </w14:solidFill>
                      </w14:textFill>
                    </w:rPr>
                  </w:pPr>
                </w:p>
              </w:tc>
              <w:tc>
                <w:tcPr>
                  <w:tcW w:w="637" w:type="pct"/>
                  <w:vMerge w:val="continue"/>
                  <w:vAlign w:val="center"/>
                </w:tcPr>
                <w:p w14:paraId="09256E21">
                  <w:pPr>
                    <w:snapToGrid w:val="0"/>
                    <w:spacing w:line="240" w:lineRule="exact"/>
                    <w:jc w:val="center"/>
                    <w:rPr>
                      <w:color w:val="000000" w:themeColor="text1"/>
                      <w:szCs w:val="21"/>
                      <w:highlight w:val="none"/>
                      <w14:textFill>
                        <w14:solidFill>
                          <w14:schemeClr w14:val="tx1"/>
                        </w14:solidFill>
                      </w14:textFill>
                    </w:rPr>
                  </w:pPr>
                </w:p>
              </w:tc>
              <w:tc>
                <w:tcPr>
                  <w:tcW w:w="1291" w:type="dxa"/>
                  <w:shd w:val="clear" w:color="auto" w:fill="auto"/>
                  <w:vAlign w:val="center"/>
                </w:tcPr>
                <w:p w14:paraId="101E5EB5">
                  <w:pPr>
                    <w:widowControl/>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乙醛</w:t>
                  </w:r>
                </w:p>
              </w:tc>
              <w:tc>
                <w:tcPr>
                  <w:tcW w:w="1108" w:type="dxa"/>
                  <w:shd w:val="clear" w:color="auto" w:fill="auto"/>
                  <w:vAlign w:val="center"/>
                </w:tcPr>
                <w:p w14:paraId="3B0C9876">
                  <w:pPr>
                    <w:widowControl/>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0.141</w:t>
                  </w:r>
                </w:p>
              </w:tc>
              <w:tc>
                <w:tcPr>
                  <w:tcW w:w="1520" w:type="dxa"/>
                  <w:shd w:val="clear" w:color="auto" w:fill="auto"/>
                  <w:vAlign w:val="center"/>
                </w:tcPr>
                <w:p w14:paraId="1B5E1007">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1h</w:t>
                  </w:r>
                </w:p>
              </w:tc>
              <w:tc>
                <w:tcPr>
                  <w:tcW w:w="1296" w:type="dxa"/>
                  <w:shd w:val="clear" w:color="auto" w:fill="auto"/>
                  <w:vAlign w:val="center"/>
                </w:tcPr>
                <w:p w14:paraId="39FB61D5">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w:t>
                  </w:r>
                </w:p>
              </w:tc>
              <w:tc>
                <w:tcPr>
                  <w:tcW w:w="1314" w:type="dxa"/>
                  <w:shd w:val="clear" w:color="auto" w:fill="auto"/>
                  <w:vAlign w:val="center"/>
                </w:tcPr>
                <w:p w14:paraId="1FEF8D79">
                  <w:pPr>
                    <w:widowControl/>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0.001</w:t>
                  </w:r>
                </w:p>
              </w:tc>
            </w:tr>
            <w:tr w14:paraId="4B19FF1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506" w:type="pct"/>
                  <w:vMerge w:val="continue"/>
                  <w:vAlign w:val="center"/>
                </w:tcPr>
                <w:p w14:paraId="4A8E9A9F">
                  <w:pPr>
                    <w:snapToGrid w:val="0"/>
                    <w:spacing w:line="240" w:lineRule="exact"/>
                    <w:jc w:val="center"/>
                    <w:rPr>
                      <w:rFonts w:hint="eastAsia"/>
                      <w:color w:val="000000" w:themeColor="text1"/>
                      <w:szCs w:val="21"/>
                      <w:highlight w:val="none"/>
                      <w:lang w:eastAsia="zh-CN"/>
                      <w14:textFill>
                        <w14:solidFill>
                          <w14:schemeClr w14:val="tx1"/>
                        </w14:solidFill>
                      </w14:textFill>
                    </w:rPr>
                  </w:pPr>
                </w:p>
              </w:tc>
              <w:tc>
                <w:tcPr>
                  <w:tcW w:w="637" w:type="pct"/>
                  <w:vMerge w:val="continue"/>
                  <w:vAlign w:val="center"/>
                </w:tcPr>
                <w:p w14:paraId="1CDFDA15">
                  <w:pPr>
                    <w:snapToGrid w:val="0"/>
                    <w:spacing w:line="240" w:lineRule="exact"/>
                    <w:jc w:val="center"/>
                    <w:rPr>
                      <w:color w:val="000000" w:themeColor="text1"/>
                      <w:szCs w:val="21"/>
                      <w:highlight w:val="none"/>
                      <w14:textFill>
                        <w14:solidFill>
                          <w14:schemeClr w14:val="tx1"/>
                        </w14:solidFill>
                      </w14:textFill>
                    </w:rPr>
                  </w:pPr>
                </w:p>
              </w:tc>
              <w:tc>
                <w:tcPr>
                  <w:tcW w:w="762" w:type="pct"/>
                  <w:shd w:val="clear" w:color="auto" w:fill="auto"/>
                  <w:vAlign w:val="center"/>
                </w:tcPr>
                <w:p w14:paraId="1F6F2978">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四氢呋喃</w:t>
                  </w:r>
                </w:p>
              </w:tc>
              <w:tc>
                <w:tcPr>
                  <w:tcW w:w="1108" w:type="dxa"/>
                  <w:shd w:val="clear" w:color="auto" w:fill="auto"/>
                  <w:vAlign w:val="center"/>
                </w:tcPr>
                <w:p w14:paraId="570A0D5C">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1.578</w:t>
                  </w:r>
                </w:p>
              </w:tc>
              <w:tc>
                <w:tcPr>
                  <w:tcW w:w="897" w:type="pct"/>
                  <w:shd w:val="clear" w:color="auto" w:fill="auto"/>
                  <w:vAlign w:val="center"/>
                </w:tcPr>
                <w:p w14:paraId="662D6701">
                  <w:pPr>
                    <w:widowControl/>
                    <w:jc w:val="center"/>
                    <w:textAlignment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1h</w:t>
                  </w:r>
                </w:p>
              </w:tc>
              <w:tc>
                <w:tcPr>
                  <w:tcW w:w="765" w:type="pct"/>
                  <w:shd w:val="clear" w:color="auto" w:fill="auto"/>
                  <w:vAlign w:val="center"/>
                </w:tcPr>
                <w:p w14:paraId="1354FC6C">
                  <w:pPr>
                    <w:snapToGrid w:val="0"/>
                    <w:spacing w:line="240" w:lineRule="exact"/>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1次</w:t>
                  </w:r>
                </w:p>
              </w:tc>
              <w:tc>
                <w:tcPr>
                  <w:tcW w:w="1314" w:type="dxa"/>
                  <w:shd w:val="clear" w:color="auto" w:fill="auto"/>
                  <w:vAlign w:val="center"/>
                </w:tcPr>
                <w:p w14:paraId="43CC5E64">
                  <w:pPr>
                    <w:widowControl/>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0.006</w:t>
                  </w:r>
                </w:p>
              </w:tc>
            </w:tr>
          </w:tbl>
          <w:p w14:paraId="158D413A">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为防止生产废气非正常工况排放，企业必须加强废气处理设施的管理，定期检修，确保废气处理设施正常运行，在废气处理设备停止运行或出现故障时，</w:t>
            </w:r>
            <w:r>
              <w:rPr>
                <w:rFonts w:hint="eastAsia"/>
                <w:color w:val="000000" w:themeColor="text1"/>
                <w:sz w:val="24"/>
                <w:highlight w:val="none"/>
                <w14:textFill>
                  <w14:solidFill>
                    <w14:schemeClr w14:val="tx1"/>
                  </w14:solidFill>
                </w14:textFill>
              </w:rPr>
              <w:t>需通过应急处理设施控制排放，优先保障污染物不直排</w:t>
            </w:r>
            <w:r>
              <w:rPr>
                <w:color w:val="000000" w:themeColor="text1"/>
                <w:sz w:val="24"/>
                <w:highlight w:val="none"/>
                <w14:textFill>
                  <w14:solidFill>
                    <w14:schemeClr w14:val="tx1"/>
                  </w14:solidFill>
                </w14:textFill>
              </w:rPr>
              <w:t>。</w:t>
            </w:r>
          </w:p>
          <w:p w14:paraId="670C030B">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废气排放口基本情况见下表。</w:t>
            </w:r>
          </w:p>
          <w:p w14:paraId="52DDA6F2">
            <w:pPr>
              <w:pStyle w:val="154"/>
              <w:keepNext w:val="0"/>
              <w:keepLines w:val="0"/>
              <w:pageBreakBefore w:val="0"/>
              <w:widowControl w:val="0"/>
              <w:numPr>
                <w:ilvl w:val="0"/>
                <w:numId w:val="0"/>
              </w:numPr>
              <w:kinsoku/>
              <w:wordWrap/>
              <w:overflowPunct/>
              <w:topLinePunct w:val="0"/>
              <w:autoSpaceDE/>
              <w:autoSpaceDN/>
              <w:bidi w:val="0"/>
              <w:spacing w:line="440" w:lineRule="exact"/>
              <w:ind w:left="425" w:leftChars="0" w:firstLine="0" w:firstLineChars="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宋体"/>
                <w:b/>
                <w:color w:val="000000" w:themeColor="text1"/>
                <w:kern w:val="2"/>
                <w:sz w:val="24"/>
                <w:szCs w:val="24"/>
                <w:highlight w:val="none"/>
                <w:lang w:val="en-US" w:eastAsia="zh-CN" w:bidi="ar-SA"/>
                <w14:textFill>
                  <w14:solidFill>
                    <w14:schemeClr w14:val="tx1"/>
                  </w14:solidFill>
                </w14:textFill>
              </w:rPr>
              <w:t>表4-</w:t>
            </w:r>
            <w:r>
              <w:rPr>
                <w:rFonts w:hint="eastAsia" w:cs="宋体"/>
                <w:b/>
                <w:color w:val="000000" w:themeColor="text1"/>
                <w:kern w:val="2"/>
                <w:sz w:val="24"/>
                <w:szCs w:val="24"/>
                <w:highlight w:val="none"/>
                <w:lang w:val="en-US" w:eastAsia="zh-CN" w:bidi="ar-SA"/>
                <w14:textFill>
                  <w14:solidFill>
                    <w14:schemeClr w14:val="tx1"/>
                  </w14:solidFill>
                </w14:textFill>
              </w:rPr>
              <w:t xml:space="preserve">6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本项目排气筒设置情况</w:t>
            </w:r>
          </w:p>
          <w:tbl>
            <w:tblPr>
              <w:tblStyle w:val="38"/>
              <w:tblW w:w="499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0" w:type="dxa"/>
                <w:bottom w:w="0" w:type="dxa"/>
                <w:right w:w="0" w:type="dxa"/>
              </w:tblCellMar>
            </w:tblPr>
            <w:tblGrid>
              <w:gridCol w:w="670"/>
              <w:gridCol w:w="647"/>
              <w:gridCol w:w="913"/>
              <w:gridCol w:w="757"/>
              <w:gridCol w:w="1328"/>
              <w:gridCol w:w="1131"/>
              <w:gridCol w:w="906"/>
              <w:gridCol w:w="756"/>
              <w:gridCol w:w="718"/>
              <w:gridCol w:w="637"/>
            </w:tblGrid>
            <w:tr w14:paraId="152AC56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395" w:type="pct"/>
                  <w:vMerge w:val="restart"/>
                  <w:vAlign w:val="center"/>
                </w:tcPr>
                <w:p w14:paraId="1C5A659D">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编号</w:t>
                  </w:r>
                </w:p>
              </w:tc>
              <w:tc>
                <w:tcPr>
                  <w:tcW w:w="382" w:type="pct"/>
                  <w:vAlign w:val="center"/>
                </w:tcPr>
                <w:p w14:paraId="31D1B960">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排气筒高度</w:t>
                  </w:r>
                </w:p>
              </w:tc>
              <w:tc>
                <w:tcPr>
                  <w:tcW w:w="539" w:type="pct"/>
                  <w:vAlign w:val="center"/>
                </w:tcPr>
                <w:p w14:paraId="55C16DBE">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排气筒尺寸-内径</w:t>
                  </w:r>
                </w:p>
              </w:tc>
              <w:tc>
                <w:tcPr>
                  <w:tcW w:w="447" w:type="pct"/>
                  <w:vAlign w:val="center"/>
                </w:tcPr>
                <w:p w14:paraId="789BF201">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烟气出口温度</w:t>
                  </w:r>
                </w:p>
              </w:tc>
              <w:tc>
                <w:tcPr>
                  <w:tcW w:w="1452" w:type="pct"/>
                  <w:gridSpan w:val="2"/>
                  <w:vAlign w:val="center"/>
                </w:tcPr>
                <w:p w14:paraId="11A0045B">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排放口地理坐标（°）</w:t>
                  </w:r>
                </w:p>
              </w:tc>
              <w:tc>
                <w:tcPr>
                  <w:tcW w:w="1406" w:type="pct"/>
                  <w:gridSpan w:val="3"/>
                  <w:vAlign w:val="center"/>
                </w:tcPr>
                <w:p w14:paraId="42D3D16E">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排放标准</w:t>
                  </w:r>
                </w:p>
              </w:tc>
              <w:tc>
                <w:tcPr>
                  <w:tcW w:w="376" w:type="pct"/>
                  <w:vMerge w:val="restart"/>
                  <w:vAlign w:val="center"/>
                </w:tcPr>
                <w:p w14:paraId="53162F8B">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排放口类型</w:t>
                  </w:r>
                </w:p>
              </w:tc>
            </w:tr>
            <w:tr w14:paraId="4F0957E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395" w:type="pct"/>
                  <w:vMerge w:val="continue"/>
                  <w:vAlign w:val="center"/>
                </w:tcPr>
                <w:p w14:paraId="24E30AEF">
                  <w:pPr>
                    <w:snapToGrid w:val="0"/>
                    <w:spacing w:line="240" w:lineRule="exact"/>
                    <w:jc w:val="center"/>
                    <w:rPr>
                      <w:b/>
                      <w:bCs/>
                      <w:color w:val="000000" w:themeColor="text1"/>
                      <w:szCs w:val="21"/>
                      <w:highlight w:val="none"/>
                      <w14:textFill>
                        <w14:solidFill>
                          <w14:schemeClr w14:val="tx1"/>
                        </w14:solidFill>
                      </w14:textFill>
                    </w:rPr>
                  </w:pPr>
                </w:p>
              </w:tc>
              <w:tc>
                <w:tcPr>
                  <w:tcW w:w="382" w:type="pct"/>
                  <w:vAlign w:val="center"/>
                </w:tcPr>
                <w:p w14:paraId="3B091D3B">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m</w:t>
                  </w:r>
                </w:p>
              </w:tc>
              <w:tc>
                <w:tcPr>
                  <w:tcW w:w="539" w:type="pct"/>
                  <w:vAlign w:val="center"/>
                </w:tcPr>
                <w:p w14:paraId="67B32DD5">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m</w:t>
                  </w:r>
                </w:p>
              </w:tc>
              <w:tc>
                <w:tcPr>
                  <w:tcW w:w="447" w:type="pct"/>
                  <w:vAlign w:val="center"/>
                </w:tcPr>
                <w:p w14:paraId="5FF23691">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w:t>
                  </w:r>
                </w:p>
              </w:tc>
              <w:tc>
                <w:tcPr>
                  <w:tcW w:w="784" w:type="pct"/>
                  <w:vAlign w:val="center"/>
                </w:tcPr>
                <w:p w14:paraId="6A2451FC">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E</w:t>
                  </w:r>
                </w:p>
              </w:tc>
              <w:tc>
                <w:tcPr>
                  <w:tcW w:w="668" w:type="pct"/>
                  <w:vAlign w:val="center"/>
                </w:tcPr>
                <w:p w14:paraId="0E6A0D50">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N</w:t>
                  </w:r>
                </w:p>
              </w:tc>
              <w:tc>
                <w:tcPr>
                  <w:tcW w:w="535" w:type="pct"/>
                  <w:vAlign w:val="center"/>
                </w:tcPr>
                <w:p w14:paraId="158D6499">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污染物名称</w:t>
                  </w:r>
                </w:p>
              </w:tc>
              <w:tc>
                <w:tcPr>
                  <w:tcW w:w="446" w:type="pct"/>
                  <w:vAlign w:val="center"/>
                </w:tcPr>
                <w:p w14:paraId="6C58ED56">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浓度/mg/m</w:t>
                  </w:r>
                  <w:r>
                    <w:rPr>
                      <w:b/>
                      <w:bCs/>
                      <w:color w:val="000000" w:themeColor="text1"/>
                      <w:szCs w:val="21"/>
                      <w:highlight w:val="none"/>
                      <w:vertAlign w:val="superscript"/>
                      <w14:textFill>
                        <w14:solidFill>
                          <w14:schemeClr w14:val="tx1"/>
                        </w14:solidFill>
                      </w14:textFill>
                    </w:rPr>
                    <w:t>3</w:t>
                  </w:r>
                </w:p>
              </w:tc>
              <w:tc>
                <w:tcPr>
                  <w:tcW w:w="424" w:type="pct"/>
                  <w:vAlign w:val="center"/>
                </w:tcPr>
                <w:p w14:paraId="2A95FF71">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速率/kg/h</w:t>
                  </w:r>
                </w:p>
              </w:tc>
              <w:tc>
                <w:tcPr>
                  <w:tcW w:w="376" w:type="pct"/>
                  <w:vMerge w:val="continue"/>
                  <w:vAlign w:val="center"/>
                </w:tcPr>
                <w:p w14:paraId="57756DFD">
                  <w:pPr>
                    <w:snapToGrid w:val="0"/>
                    <w:spacing w:line="240" w:lineRule="exact"/>
                    <w:jc w:val="center"/>
                    <w:rPr>
                      <w:b/>
                      <w:bCs/>
                      <w:color w:val="000000" w:themeColor="text1"/>
                      <w:szCs w:val="21"/>
                      <w:highlight w:val="none"/>
                      <w14:textFill>
                        <w14:solidFill>
                          <w14:schemeClr w14:val="tx1"/>
                        </w14:solidFill>
                      </w14:textFill>
                    </w:rPr>
                  </w:pPr>
                </w:p>
              </w:tc>
            </w:tr>
            <w:tr w14:paraId="05D538D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395" w:type="pct"/>
                  <w:vMerge w:val="restart"/>
                  <w:vAlign w:val="center"/>
                </w:tcPr>
                <w:p w14:paraId="381F1935">
                  <w:pPr>
                    <w:widowControl/>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DA001</w:t>
                  </w:r>
                </w:p>
              </w:tc>
              <w:tc>
                <w:tcPr>
                  <w:tcW w:w="382" w:type="pct"/>
                  <w:vMerge w:val="restart"/>
                  <w:vAlign w:val="center"/>
                </w:tcPr>
                <w:p w14:paraId="30D2F1D6">
                  <w:pPr>
                    <w:widowControl/>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15</w:t>
                  </w:r>
                </w:p>
              </w:tc>
              <w:tc>
                <w:tcPr>
                  <w:tcW w:w="539" w:type="pct"/>
                  <w:vMerge w:val="restart"/>
                  <w:vAlign w:val="center"/>
                </w:tcPr>
                <w:p w14:paraId="1E99B1E8">
                  <w:pPr>
                    <w:widowControl/>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t>0</w:t>
                  </w: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w:t>
                  </w:r>
                  <w:r>
                    <w:rPr>
                      <w:rFonts w:hint="eastAsia" w:cs="Times New Roman"/>
                      <w:color w:val="000000" w:themeColor="text1"/>
                      <w:kern w:val="0"/>
                      <w:szCs w:val="21"/>
                      <w:highlight w:val="none"/>
                      <w:lang w:val="en-US" w:eastAsia="zh-CN" w:bidi="ar"/>
                      <w14:textFill>
                        <w14:solidFill>
                          <w14:schemeClr w14:val="tx1"/>
                        </w14:solidFill>
                      </w14:textFill>
                    </w:rPr>
                    <w:t>15</w:t>
                  </w:r>
                </w:p>
              </w:tc>
              <w:tc>
                <w:tcPr>
                  <w:tcW w:w="447" w:type="pct"/>
                  <w:vMerge w:val="restart"/>
                  <w:vAlign w:val="center"/>
                </w:tcPr>
                <w:p w14:paraId="1301725D">
                  <w:pPr>
                    <w:widowControl/>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25</w:t>
                  </w:r>
                </w:p>
              </w:tc>
              <w:tc>
                <w:tcPr>
                  <w:tcW w:w="784" w:type="pct"/>
                  <w:vMerge w:val="restart"/>
                  <w:vAlign w:val="center"/>
                </w:tcPr>
                <w:p w14:paraId="43765ABA">
                  <w:pPr>
                    <w:pStyle w:val="142"/>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118.83912971</w:t>
                  </w:r>
                </w:p>
              </w:tc>
              <w:tc>
                <w:tcPr>
                  <w:tcW w:w="668" w:type="pct"/>
                  <w:vMerge w:val="restart"/>
                  <w:vAlign w:val="center"/>
                </w:tcPr>
                <w:p w14:paraId="34E4B2DC">
                  <w:pPr>
                    <w:pStyle w:val="142"/>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31.77437805</w:t>
                  </w:r>
                </w:p>
              </w:tc>
              <w:tc>
                <w:tcPr>
                  <w:tcW w:w="535" w:type="pct"/>
                  <w:vAlign w:val="center"/>
                </w:tcPr>
                <w:p w14:paraId="0667CDEC">
                  <w:pPr>
                    <w:widowControl/>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非甲烷总烃</w:t>
                  </w:r>
                </w:p>
              </w:tc>
              <w:tc>
                <w:tcPr>
                  <w:tcW w:w="446" w:type="pct"/>
                  <w:vAlign w:val="center"/>
                </w:tcPr>
                <w:p w14:paraId="5D05AD61">
                  <w:pPr>
                    <w:widowControl/>
                    <w:jc w:val="center"/>
                    <w:textAlignment w:val="center"/>
                    <w:rPr>
                      <w:rFonts w:hint="default"/>
                      <w:color w:val="000000" w:themeColor="text1"/>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10</w:t>
                  </w:r>
                </w:p>
              </w:tc>
              <w:tc>
                <w:tcPr>
                  <w:tcW w:w="424" w:type="pct"/>
                  <w:vAlign w:val="center"/>
                </w:tcPr>
                <w:p w14:paraId="612AC986">
                  <w:pPr>
                    <w:widowControl/>
                    <w:jc w:val="center"/>
                    <w:textAlignment w:val="center"/>
                    <w:rPr>
                      <w:rFonts w:hint="default"/>
                      <w:color w:val="000000" w:themeColor="text1"/>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w:t>
                  </w:r>
                </w:p>
              </w:tc>
              <w:tc>
                <w:tcPr>
                  <w:tcW w:w="376" w:type="pct"/>
                  <w:vMerge w:val="restart"/>
                  <w:vAlign w:val="center"/>
                </w:tcPr>
                <w:p w14:paraId="75FA47B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一般排放口</w:t>
                  </w:r>
                </w:p>
              </w:tc>
            </w:tr>
            <w:tr w14:paraId="32555F4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395" w:type="pct"/>
                  <w:vMerge w:val="continue"/>
                  <w:vAlign w:val="center"/>
                </w:tcPr>
                <w:p w14:paraId="47D2F3F6">
                  <w:pPr>
                    <w:snapToGrid w:val="0"/>
                    <w:spacing w:line="240" w:lineRule="exact"/>
                    <w:jc w:val="center"/>
                    <w:rPr>
                      <w:rFonts w:hint="eastAsia"/>
                      <w:color w:val="000000" w:themeColor="text1"/>
                      <w:szCs w:val="21"/>
                      <w:highlight w:val="none"/>
                      <w:lang w:val="en-US" w:eastAsia="zh-CN"/>
                      <w14:textFill>
                        <w14:solidFill>
                          <w14:schemeClr w14:val="tx1"/>
                        </w14:solidFill>
                      </w14:textFill>
                    </w:rPr>
                  </w:pPr>
                </w:p>
              </w:tc>
              <w:tc>
                <w:tcPr>
                  <w:tcW w:w="382" w:type="pct"/>
                  <w:vMerge w:val="continue"/>
                  <w:vAlign w:val="center"/>
                </w:tcPr>
                <w:p w14:paraId="598025AF">
                  <w:pPr>
                    <w:widowControl/>
                    <w:jc w:val="center"/>
                    <w:textAlignment w:val="center"/>
                    <w:rPr>
                      <w:rFonts w:hint="eastAsia"/>
                      <w:color w:val="000000" w:themeColor="text1"/>
                      <w:szCs w:val="21"/>
                      <w:highlight w:val="none"/>
                      <w:lang w:val="en-US" w:eastAsia="zh-CN"/>
                      <w14:textFill>
                        <w14:solidFill>
                          <w14:schemeClr w14:val="tx1"/>
                        </w14:solidFill>
                      </w14:textFill>
                    </w:rPr>
                  </w:pPr>
                </w:p>
              </w:tc>
              <w:tc>
                <w:tcPr>
                  <w:tcW w:w="539" w:type="pct"/>
                  <w:vMerge w:val="continue"/>
                  <w:vAlign w:val="center"/>
                </w:tcPr>
                <w:p w14:paraId="682736B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447" w:type="pct"/>
                  <w:vMerge w:val="continue"/>
                  <w:vAlign w:val="center"/>
                </w:tcPr>
                <w:p w14:paraId="495EF6D2">
                  <w:pPr>
                    <w:snapToGrid w:val="0"/>
                    <w:spacing w:line="240" w:lineRule="exact"/>
                    <w:jc w:val="center"/>
                    <w:rPr>
                      <w:rFonts w:hint="eastAsia"/>
                      <w:color w:val="000000" w:themeColor="text1"/>
                      <w:szCs w:val="21"/>
                      <w:highlight w:val="none"/>
                      <w:lang w:val="en-US" w:eastAsia="zh-CN"/>
                      <w14:textFill>
                        <w14:solidFill>
                          <w14:schemeClr w14:val="tx1"/>
                        </w14:solidFill>
                      </w14:textFill>
                    </w:rPr>
                  </w:pPr>
                </w:p>
              </w:tc>
              <w:tc>
                <w:tcPr>
                  <w:tcW w:w="784" w:type="pct"/>
                  <w:vMerge w:val="continue"/>
                  <w:vAlign w:val="center"/>
                </w:tcPr>
                <w:p w14:paraId="32C66BB8">
                  <w:pPr>
                    <w:pStyle w:val="142"/>
                    <w:rPr>
                      <w:rFonts w:hint="default"/>
                      <w:b w:val="0"/>
                      <w:bCs w:val="0"/>
                      <w:color w:val="000000" w:themeColor="text1"/>
                      <w:highlight w:val="none"/>
                      <w:lang w:val="en-US" w:eastAsia="zh-CN"/>
                      <w14:textFill>
                        <w14:solidFill>
                          <w14:schemeClr w14:val="tx1"/>
                        </w14:solidFill>
                      </w14:textFill>
                    </w:rPr>
                  </w:pPr>
                </w:p>
              </w:tc>
              <w:tc>
                <w:tcPr>
                  <w:tcW w:w="668" w:type="pct"/>
                  <w:vMerge w:val="continue"/>
                  <w:vAlign w:val="center"/>
                </w:tcPr>
                <w:p w14:paraId="4E87EA0E">
                  <w:pPr>
                    <w:pStyle w:val="142"/>
                    <w:rPr>
                      <w:rFonts w:hint="default"/>
                      <w:b w:val="0"/>
                      <w:bCs w:val="0"/>
                      <w:color w:val="000000" w:themeColor="text1"/>
                      <w:highlight w:val="none"/>
                      <w:lang w:val="en-US" w:eastAsia="zh-CN"/>
                      <w14:textFill>
                        <w14:solidFill>
                          <w14:schemeClr w14:val="tx1"/>
                        </w14:solidFill>
                      </w14:textFill>
                    </w:rPr>
                  </w:pPr>
                </w:p>
              </w:tc>
              <w:tc>
                <w:tcPr>
                  <w:tcW w:w="535" w:type="pct"/>
                  <w:vAlign w:val="center"/>
                </w:tcPr>
                <w:p w14:paraId="72001D07">
                  <w:pPr>
                    <w:widowControl/>
                    <w:jc w:val="center"/>
                    <w:textAlignment w:val="center"/>
                    <w:rPr>
                      <w:rFonts w:hint="eastAsia" w:ascii="Times New Roman" w:hAnsi="Times New Roman" w:eastAsia="宋体" w:cs="Times New Roman"/>
                      <w:color w:val="000000" w:themeColor="text1"/>
                      <w:kern w:val="0"/>
                      <w:szCs w:val="21"/>
                      <w:highlight w:val="none"/>
                      <w:lang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臭气浓度</w:t>
                  </w:r>
                </w:p>
              </w:tc>
              <w:tc>
                <w:tcPr>
                  <w:tcW w:w="446" w:type="pct"/>
                  <w:vAlign w:val="center"/>
                </w:tcPr>
                <w:p w14:paraId="59E40080">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2000</w:t>
                  </w:r>
                </w:p>
                <w:p w14:paraId="623F91DE">
                  <w:pPr>
                    <w:snapToGrid w:val="0"/>
                    <w:spacing w:line="240" w:lineRule="exact"/>
                    <w:jc w:val="center"/>
                    <w:rPr>
                      <w:rFonts w:hint="eastAsia"/>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（无量纲）</w:t>
                  </w:r>
                </w:p>
              </w:tc>
              <w:tc>
                <w:tcPr>
                  <w:tcW w:w="424" w:type="pct"/>
                  <w:vAlign w:val="center"/>
                </w:tcPr>
                <w:p w14:paraId="72E30CEE">
                  <w:pPr>
                    <w:snapToGrid w:val="0"/>
                    <w:spacing w:line="240" w:lineRule="exact"/>
                    <w:jc w:val="center"/>
                    <w:rPr>
                      <w:rFonts w:hint="eastAsia"/>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w:t>
                  </w:r>
                </w:p>
              </w:tc>
              <w:tc>
                <w:tcPr>
                  <w:tcW w:w="376" w:type="pct"/>
                  <w:vMerge w:val="continue"/>
                  <w:vAlign w:val="center"/>
                </w:tcPr>
                <w:p w14:paraId="51734BB1">
                  <w:pPr>
                    <w:snapToGrid w:val="0"/>
                    <w:spacing w:line="240" w:lineRule="exact"/>
                    <w:jc w:val="center"/>
                    <w:rPr>
                      <w:color w:val="000000" w:themeColor="text1"/>
                      <w:szCs w:val="21"/>
                      <w:highlight w:val="none"/>
                      <w14:textFill>
                        <w14:solidFill>
                          <w14:schemeClr w14:val="tx1"/>
                        </w14:solidFill>
                      </w14:textFill>
                    </w:rPr>
                  </w:pPr>
                </w:p>
              </w:tc>
            </w:tr>
            <w:tr w14:paraId="32CBEFF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395" w:type="pct"/>
                  <w:vMerge w:val="restart"/>
                  <w:vAlign w:val="center"/>
                </w:tcPr>
                <w:p w14:paraId="349027A8">
                  <w:pPr>
                    <w:widowControl/>
                    <w:jc w:val="center"/>
                    <w:textAlignment w:val="center"/>
                    <w:rPr>
                      <w:rFonts w:hint="eastAsia"/>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DA002</w:t>
                  </w:r>
                </w:p>
              </w:tc>
              <w:tc>
                <w:tcPr>
                  <w:tcW w:w="382" w:type="pct"/>
                  <w:vMerge w:val="restart"/>
                  <w:vAlign w:val="center"/>
                </w:tcPr>
                <w:p w14:paraId="1942F57B">
                  <w:pPr>
                    <w:widowControl/>
                    <w:jc w:val="center"/>
                    <w:textAlignment w:val="center"/>
                    <w:rPr>
                      <w:rFonts w:hint="eastAsia"/>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15</w:t>
                  </w:r>
                </w:p>
              </w:tc>
              <w:tc>
                <w:tcPr>
                  <w:tcW w:w="539" w:type="pct"/>
                  <w:vMerge w:val="restart"/>
                  <w:vAlign w:val="center"/>
                </w:tcPr>
                <w:p w14:paraId="0EE3D18B">
                  <w:pPr>
                    <w:widowControl/>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t>0</w:t>
                  </w: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w:t>
                  </w:r>
                  <w:r>
                    <w:rPr>
                      <w:rFonts w:hint="eastAsia" w:cs="Times New Roman"/>
                      <w:color w:val="000000" w:themeColor="text1"/>
                      <w:kern w:val="0"/>
                      <w:szCs w:val="21"/>
                      <w:highlight w:val="none"/>
                      <w:lang w:val="en-US" w:eastAsia="zh-CN" w:bidi="ar"/>
                      <w14:textFill>
                        <w14:solidFill>
                          <w14:schemeClr w14:val="tx1"/>
                        </w14:solidFill>
                      </w14:textFill>
                    </w:rPr>
                    <w:t>15</w:t>
                  </w:r>
                </w:p>
              </w:tc>
              <w:tc>
                <w:tcPr>
                  <w:tcW w:w="447" w:type="pct"/>
                  <w:vMerge w:val="restart"/>
                  <w:vAlign w:val="center"/>
                </w:tcPr>
                <w:p w14:paraId="0D10A370">
                  <w:pPr>
                    <w:widowControl/>
                    <w:jc w:val="center"/>
                    <w:textAlignment w:val="center"/>
                    <w:rPr>
                      <w:rFonts w:hint="eastAsia"/>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25</w:t>
                  </w:r>
                </w:p>
              </w:tc>
              <w:tc>
                <w:tcPr>
                  <w:tcW w:w="784" w:type="pct"/>
                  <w:vMerge w:val="restart"/>
                  <w:vAlign w:val="center"/>
                </w:tcPr>
                <w:p w14:paraId="2B0839E7">
                  <w:pPr>
                    <w:pStyle w:val="142"/>
                    <w:rPr>
                      <w:rFonts w:hint="default"/>
                      <w:b w:val="0"/>
                      <w:bCs w:val="0"/>
                      <w:color w:val="000000" w:themeColor="text1"/>
                      <w:highlight w:val="none"/>
                      <w:lang w:val="en-US" w:eastAsia="zh-CN"/>
                      <w14:textFill>
                        <w14:solidFill>
                          <w14:schemeClr w14:val="tx1"/>
                        </w14:solidFill>
                      </w14:textFill>
                    </w:rPr>
                  </w:pPr>
                  <w:r>
                    <w:rPr>
                      <w:rFonts w:hint="default"/>
                      <w:b w:val="0"/>
                      <w:bCs w:val="0"/>
                      <w:color w:val="000000" w:themeColor="text1"/>
                      <w:highlight w:val="none"/>
                      <w:lang w:val="en-US" w:eastAsia="zh-CN"/>
                      <w14:textFill>
                        <w14:solidFill>
                          <w14:schemeClr w14:val="tx1"/>
                        </w14:solidFill>
                      </w14:textFill>
                    </w:rPr>
                    <w:t>118.83924773</w:t>
                  </w:r>
                </w:p>
              </w:tc>
              <w:tc>
                <w:tcPr>
                  <w:tcW w:w="668" w:type="pct"/>
                  <w:vMerge w:val="restart"/>
                  <w:vAlign w:val="center"/>
                </w:tcPr>
                <w:p w14:paraId="7CB9FACB">
                  <w:pPr>
                    <w:pStyle w:val="142"/>
                    <w:rPr>
                      <w:rFonts w:hint="default"/>
                      <w:b w:val="0"/>
                      <w:bCs w:val="0"/>
                      <w:color w:val="000000" w:themeColor="text1"/>
                      <w:highlight w:val="none"/>
                      <w:lang w:val="en-US" w:eastAsia="zh-CN"/>
                      <w14:textFill>
                        <w14:solidFill>
                          <w14:schemeClr w14:val="tx1"/>
                        </w14:solidFill>
                      </w14:textFill>
                    </w:rPr>
                  </w:pPr>
                  <w:r>
                    <w:rPr>
                      <w:rFonts w:hint="default"/>
                      <w:b w:val="0"/>
                      <w:bCs w:val="0"/>
                      <w:color w:val="000000" w:themeColor="text1"/>
                      <w:highlight w:val="none"/>
                      <w:lang w:val="en-US" w:eastAsia="zh-CN"/>
                      <w14:textFill>
                        <w14:solidFill>
                          <w14:schemeClr w14:val="tx1"/>
                        </w14:solidFill>
                      </w14:textFill>
                    </w:rPr>
                    <w:t>31.77438341</w:t>
                  </w:r>
                </w:p>
              </w:tc>
              <w:tc>
                <w:tcPr>
                  <w:tcW w:w="535" w:type="pct"/>
                  <w:vAlign w:val="center"/>
                </w:tcPr>
                <w:p w14:paraId="6ACA4DDE">
                  <w:pPr>
                    <w:widowControl/>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非甲烷总烃</w:t>
                  </w:r>
                </w:p>
              </w:tc>
              <w:tc>
                <w:tcPr>
                  <w:tcW w:w="446" w:type="pct"/>
                  <w:vAlign w:val="center"/>
                </w:tcPr>
                <w:p w14:paraId="3EE3A5F9">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60</w:t>
                  </w:r>
                </w:p>
              </w:tc>
              <w:tc>
                <w:tcPr>
                  <w:tcW w:w="424" w:type="pct"/>
                  <w:vAlign w:val="center"/>
                </w:tcPr>
                <w:p w14:paraId="55DE745B">
                  <w:pPr>
                    <w:widowControl/>
                    <w:jc w:val="center"/>
                    <w:textAlignment w:val="center"/>
                    <w:rPr>
                      <w:color w:val="000000" w:themeColor="text1"/>
                      <w:szCs w:val="21"/>
                      <w:highlight w:val="none"/>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w:t>
                  </w:r>
                </w:p>
              </w:tc>
              <w:tc>
                <w:tcPr>
                  <w:tcW w:w="376" w:type="pct"/>
                  <w:vMerge w:val="continue"/>
                  <w:vAlign w:val="center"/>
                </w:tcPr>
                <w:p w14:paraId="253D5A54">
                  <w:pPr>
                    <w:snapToGrid w:val="0"/>
                    <w:spacing w:line="240" w:lineRule="exact"/>
                    <w:jc w:val="center"/>
                    <w:rPr>
                      <w:color w:val="000000" w:themeColor="text1"/>
                      <w:szCs w:val="21"/>
                      <w:highlight w:val="none"/>
                      <w14:textFill>
                        <w14:solidFill>
                          <w14:schemeClr w14:val="tx1"/>
                        </w14:solidFill>
                      </w14:textFill>
                    </w:rPr>
                  </w:pPr>
                </w:p>
              </w:tc>
            </w:tr>
            <w:tr w14:paraId="7A0840D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395" w:type="pct"/>
                  <w:vMerge w:val="continue"/>
                  <w:vAlign w:val="center"/>
                </w:tcPr>
                <w:p w14:paraId="4A6D5515">
                  <w:pPr>
                    <w:snapToGrid w:val="0"/>
                    <w:spacing w:line="240" w:lineRule="exact"/>
                    <w:jc w:val="center"/>
                    <w:rPr>
                      <w:rFonts w:hint="eastAsia"/>
                      <w:color w:val="000000" w:themeColor="text1"/>
                      <w:szCs w:val="21"/>
                      <w:highlight w:val="none"/>
                      <w:lang w:val="en-US" w:eastAsia="zh-CN"/>
                      <w14:textFill>
                        <w14:solidFill>
                          <w14:schemeClr w14:val="tx1"/>
                        </w14:solidFill>
                      </w14:textFill>
                    </w:rPr>
                  </w:pPr>
                </w:p>
              </w:tc>
              <w:tc>
                <w:tcPr>
                  <w:tcW w:w="382" w:type="pct"/>
                  <w:vMerge w:val="continue"/>
                  <w:vAlign w:val="center"/>
                </w:tcPr>
                <w:p w14:paraId="1AE5047F">
                  <w:pPr>
                    <w:widowControl/>
                    <w:jc w:val="center"/>
                    <w:textAlignment w:val="center"/>
                    <w:rPr>
                      <w:rFonts w:hint="eastAsia"/>
                      <w:color w:val="000000" w:themeColor="text1"/>
                      <w:szCs w:val="21"/>
                      <w:highlight w:val="none"/>
                      <w:lang w:val="en-US" w:eastAsia="zh-CN"/>
                      <w14:textFill>
                        <w14:solidFill>
                          <w14:schemeClr w14:val="tx1"/>
                        </w14:solidFill>
                      </w14:textFill>
                    </w:rPr>
                  </w:pPr>
                </w:p>
              </w:tc>
              <w:tc>
                <w:tcPr>
                  <w:tcW w:w="539" w:type="pct"/>
                  <w:vMerge w:val="continue"/>
                  <w:vAlign w:val="center"/>
                </w:tcPr>
                <w:p w14:paraId="4EBF95F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447" w:type="pct"/>
                  <w:vMerge w:val="continue"/>
                  <w:vAlign w:val="center"/>
                </w:tcPr>
                <w:p w14:paraId="4E260CF3">
                  <w:pPr>
                    <w:snapToGrid w:val="0"/>
                    <w:spacing w:line="240" w:lineRule="exact"/>
                    <w:jc w:val="center"/>
                    <w:rPr>
                      <w:rFonts w:hint="eastAsia"/>
                      <w:color w:val="000000" w:themeColor="text1"/>
                      <w:szCs w:val="21"/>
                      <w:highlight w:val="none"/>
                      <w:lang w:val="en-US" w:eastAsia="zh-CN"/>
                      <w14:textFill>
                        <w14:solidFill>
                          <w14:schemeClr w14:val="tx1"/>
                        </w14:solidFill>
                      </w14:textFill>
                    </w:rPr>
                  </w:pPr>
                </w:p>
              </w:tc>
              <w:tc>
                <w:tcPr>
                  <w:tcW w:w="784" w:type="pct"/>
                  <w:vMerge w:val="continue"/>
                  <w:vAlign w:val="center"/>
                </w:tcPr>
                <w:p w14:paraId="50D0FB66">
                  <w:pPr>
                    <w:pStyle w:val="142"/>
                    <w:rPr>
                      <w:rFonts w:hint="default"/>
                      <w:b w:val="0"/>
                      <w:bCs w:val="0"/>
                      <w:color w:val="000000" w:themeColor="text1"/>
                      <w:highlight w:val="none"/>
                      <w:lang w:val="en-US" w:eastAsia="zh-CN"/>
                      <w14:textFill>
                        <w14:solidFill>
                          <w14:schemeClr w14:val="tx1"/>
                        </w14:solidFill>
                      </w14:textFill>
                    </w:rPr>
                  </w:pPr>
                </w:p>
              </w:tc>
              <w:tc>
                <w:tcPr>
                  <w:tcW w:w="668" w:type="pct"/>
                  <w:vMerge w:val="continue"/>
                  <w:vAlign w:val="center"/>
                </w:tcPr>
                <w:p w14:paraId="3D5465A8">
                  <w:pPr>
                    <w:pStyle w:val="142"/>
                    <w:rPr>
                      <w:rFonts w:hint="default"/>
                      <w:b w:val="0"/>
                      <w:bCs w:val="0"/>
                      <w:color w:val="000000" w:themeColor="text1"/>
                      <w:highlight w:val="none"/>
                      <w:lang w:val="en-US" w:eastAsia="zh-CN"/>
                      <w14:textFill>
                        <w14:solidFill>
                          <w14:schemeClr w14:val="tx1"/>
                        </w14:solidFill>
                      </w14:textFill>
                    </w:rPr>
                  </w:pPr>
                </w:p>
              </w:tc>
              <w:tc>
                <w:tcPr>
                  <w:tcW w:w="535" w:type="pct"/>
                  <w:shd w:val="clear" w:color="auto" w:fill="auto"/>
                  <w:vAlign w:val="center"/>
                </w:tcPr>
                <w:p w14:paraId="6694E161">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乙醛</w:t>
                  </w:r>
                </w:p>
              </w:tc>
              <w:tc>
                <w:tcPr>
                  <w:tcW w:w="446" w:type="pct"/>
                  <w:shd w:val="clear" w:color="auto" w:fill="auto"/>
                  <w:vAlign w:val="center"/>
                </w:tcPr>
                <w:p w14:paraId="4D35BB2E">
                  <w:pPr>
                    <w:widowControl/>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20</w:t>
                  </w:r>
                </w:p>
              </w:tc>
              <w:tc>
                <w:tcPr>
                  <w:tcW w:w="424" w:type="pct"/>
                  <w:shd w:val="clear" w:color="auto" w:fill="auto"/>
                  <w:vAlign w:val="center"/>
                </w:tcPr>
                <w:p w14:paraId="4CB9C01F">
                  <w:pPr>
                    <w:widowControl/>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w:t>
                  </w:r>
                </w:p>
              </w:tc>
              <w:tc>
                <w:tcPr>
                  <w:tcW w:w="376" w:type="pct"/>
                  <w:vMerge w:val="continue"/>
                  <w:vAlign w:val="center"/>
                </w:tcPr>
                <w:p w14:paraId="6EB92815">
                  <w:pPr>
                    <w:snapToGrid w:val="0"/>
                    <w:spacing w:line="240" w:lineRule="exact"/>
                    <w:jc w:val="center"/>
                    <w:rPr>
                      <w:color w:val="000000" w:themeColor="text1"/>
                      <w:szCs w:val="21"/>
                      <w:highlight w:val="none"/>
                      <w14:textFill>
                        <w14:solidFill>
                          <w14:schemeClr w14:val="tx1"/>
                        </w14:solidFill>
                      </w14:textFill>
                    </w:rPr>
                  </w:pPr>
                </w:p>
              </w:tc>
            </w:tr>
            <w:tr w14:paraId="115F535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395" w:type="pct"/>
                  <w:vMerge w:val="continue"/>
                  <w:vAlign w:val="center"/>
                </w:tcPr>
                <w:p w14:paraId="5E0BEB2F">
                  <w:pPr>
                    <w:snapToGrid w:val="0"/>
                    <w:spacing w:line="240" w:lineRule="exact"/>
                    <w:jc w:val="center"/>
                    <w:rPr>
                      <w:rFonts w:hint="eastAsia"/>
                      <w:color w:val="000000" w:themeColor="text1"/>
                      <w:szCs w:val="21"/>
                      <w:highlight w:val="none"/>
                      <w:lang w:val="en-US" w:eastAsia="zh-CN"/>
                      <w14:textFill>
                        <w14:solidFill>
                          <w14:schemeClr w14:val="tx1"/>
                        </w14:solidFill>
                      </w14:textFill>
                    </w:rPr>
                  </w:pPr>
                </w:p>
              </w:tc>
              <w:tc>
                <w:tcPr>
                  <w:tcW w:w="382" w:type="pct"/>
                  <w:vMerge w:val="continue"/>
                  <w:vAlign w:val="center"/>
                </w:tcPr>
                <w:p w14:paraId="38D9264B">
                  <w:pPr>
                    <w:widowControl/>
                    <w:jc w:val="center"/>
                    <w:textAlignment w:val="center"/>
                    <w:rPr>
                      <w:rFonts w:hint="eastAsia"/>
                      <w:color w:val="000000" w:themeColor="text1"/>
                      <w:szCs w:val="21"/>
                      <w:highlight w:val="none"/>
                      <w:lang w:val="en-US" w:eastAsia="zh-CN"/>
                      <w14:textFill>
                        <w14:solidFill>
                          <w14:schemeClr w14:val="tx1"/>
                        </w14:solidFill>
                      </w14:textFill>
                    </w:rPr>
                  </w:pPr>
                </w:p>
              </w:tc>
              <w:tc>
                <w:tcPr>
                  <w:tcW w:w="539" w:type="pct"/>
                  <w:vMerge w:val="continue"/>
                  <w:vAlign w:val="center"/>
                </w:tcPr>
                <w:p w14:paraId="209FE6A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447" w:type="pct"/>
                  <w:vMerge w:val="continue"/>
                  <w:vAlign w:val="center"/>
                </w:tcPr>
                <w:p w14:paraId="17932E2E">
                  <w:pPr>
                    <w:snapToGrid w:val="0"/>
                    <w:spacing w:line="240" w:lineRule="exact"/>
                    <w:jc w:val="center"/>
                    <w:rPr>
                      <w:rFonts w:hint="eastAsia"/>
                      <w:color w:val="000000" w:themeColor="text1"/>
                      <w:szCs w:val="21"/>
                      <w:highlight w:val="none"/>
                      <w:lang w:val="en-US" w:eastAsia="zh-CN"/>
                      <w14:textFill>
                        <w14:solidFill>
                          <w14:schemeClr w14:val="tx1"/>
                        </w14:solidFill>
                      </w14:textFill>
                    </w:rPr>
                  </w:pPr>
                </w:p>
              </w:tc>
              <w:tc>
                <w:tcPr>
                  <w:tcW w:w="784" w:type="pct"/>
                  <w:vMerge w:val="continue"/>
                  <w:vAlign w:val="center"/>
                </w:tcPr>
                <w:p w14:paraId="1B55A3ED">
                  <w:pPr>
                    <w:pStyle w:val="142"/>
                    <w:rPr>
                      <w:rFonts w:hint="default"/>
                      <w:b w:val="0"/>
                      <w:bCs w:val="0"/>
                      <w:color w:val="000000" w:themeColor="text1"/>
                      <w:highlight w:val="none"/>
                      <w:lang w:val="en-US" w:eastAsia="zh-CN"/>
                      <w14:textFill>
                        <w14:solidFill>
                          <w14:schemeClr w14:val="tx1"/>
                        </w14:solidFill>
                      </w14:textFill>
                    </w:rPr>
                  </w:pPr>
                </w:p>
              </w:tc>
              <w:tc>
                <w:tcPr>
                  <w:tcW w:w="668" w:type="pct"/>
                  <w:vMerge w:val="continue"/>
                  <w:vAlign w:val="center"/>
                </w:tcPr>
                <w:p w14:paraId="11AE3488">
                  <w:pPr>
                    <w:pStyle w:val="142"/>
                    <w:rPr>
                      <w:rFonts w:hint="default"/>
                      <w:b w:val="0"/>
                      <w:bCs w:val="0"/>
                      <w:color w:val="000000" w:themeColor="text1"/>
                      <w:highlight w:val="none"/>
                      <w:lang w:val="en-US" w:eastAsia="zh-CN"/>
                      <w14:textFill>
                        <w14:solidFill>
                          <w14:schemeClr w14:val="tx1"/>
                        </w14:solidFill>
                      </w14:textFill>
                    </w:rPr>
                  </w:pPr>
                </w:p>
              </w:tc>
              <w:tc>
                <w:tcPr>
                  <w:tcW w:w="535" w:type="pct"/>
                  <w:shd w:val="clear" w:color="auto" w:fill="auto"/>
                  <w:vAlign w:val="center"/>
                </w:tcPr>
                <w:p w14:paraId="01E13AFF">
                  <w:pPr>
                    <w:widowControl/>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四氢呋喃</w:t>
                  </w:r>
                </w:p>
              </w:tc>
              <w:tc>
                <w:tcPr>
                  <w:tcW w:w="446" w:type="pct"/>
                  <w:shd w:val="clear" w:color="auto" w:fill="auto"/>
                  <w:vAlign w:val="center"/>
                </w:tcPr>
                <w:p w14:paraId="2CDF8CF7">
                  <w:pPr>
                    <w:snapToGrid w:val="0"/>
                    <w:spacing w:line="240" w:lineRule="exact"/>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50</w:t>
                  </w:r>
                </w:p>
              </w:tc>
              <w:tc>
                <w:tcPr>
                  <w:tcW w:w="424" w:type="pct"/>
                  <w:shd w:val="clear" w:color="auto" w:fill="auto"/>
                  <w:vAlign w:val="center"/>
                </w:tcPr>
                <w:p w14:paraId="051E256A">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376" w:type="pct"/>
                  <w:vMerge w:val="continue"/>
                  <w:vAlign w:val="center"/>
                </w:tcPr>
                <w:p w14:paraId="680E8FBD">
                  <w:pPr>
                    <w:snapToGrid w:val="0"/>
                    <w:spacing w:line="240" w:lineRule="exact"/>
                    <w:jc w:val="center"/>
                    <w:rPr>
                      <w:color w:val="000000" w:themeColor="text1"/>
                      <w:szCs w:val="21"/>
                      <w:highlight w:val="none"/>
                      <w14:textFill>
                        <w14:solidFill>
                          <w14:schemeClr w14:val="tx1"/>
                        </w14:solidFill>
                      </w14:textFill>
                    </w:rPr>
                  </w:pPr>
                </w:p>
              </w:tc>
            </w:tr>
            <w:tr w14:paraId="5FC971A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395" w:type="pct"/>
                  <w:vMerge w:val="continue"/>
                  <w:vAlign w:val="center"/>
                </w:tcPr>
                <w:p w14:paraId="19F6184B">
                  <w:pPr>
                    <w:snapToGrid w:val="0"/>
                    <w:spacing w:line="240" w:lineRule="exact"/>
                    <w:jc w:val="center"/>
                    <w:rPr>
                      <w:rFonts w:hint="eastAsia"/>
                      <w:color w:val="000000" w:themeColor="text1"/>
                      <w:szCs w:val="21"/>
                      <w:highlight w:val="none"/>
                      <w:lang w:val="en-US" w:eastAsia="zh-CN"/>
                      <w14:textFill>
                        <w14:solidFill>
                          <w14:schemeClr w14:val="tx1"/>
                        </w14:solidFill>
                      </w14:textFill>
                    </w:rPr>
                  </w:pPr>
                </w:p>
              </w:tc>
              <w:tc>
                <w:tcPr>
                  <w:tcW w:w="382" w:type="pct"/>
                  <w:vMerge w:val="continue"/>
                  <w:vAlign w:val="center"/>
                </w:tcPr>
                <w:p w14:paraId="009C50A8">
                  <w:pPr>
                    <w:widowControl/>
                    <w:jc w:val="center"/>
                    <w:textAlignment w:val="center"/>
                    <w:rPr>
                      <w:rFonts w:hint="eastAsia"/>
                      <w:color w:val="000000" w:themeColor="text1"/>
                      <w:szCs w:val="21"/>
                      <w:highlight w:val="none"/>
                      <w:lang w:val="en-US" w:eastAsia="zh-CN"/>
                      <w14:textFill>
                        <w14:solidFill>
                          <w14:schemeClr w14:val="tx1"/>
                        </w14:solidFill>
                      </w14:textFill>
                    </w:rPr>
                  </w:pPr>
                </w:p>
              </w:tc>
              <w:tc>
                <w:tcPr>
                  <w:tcW w:w="539" w:type="pct"/>
                  <w:vMerge w:val="continue"/>
                  <w:vAlign w:val="center"/>
                </w:tcPr>
                <w:p w14:paraId="6763E95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447" w:type="pct"/>
                  <w:vMerge w:val="continue"/>
                  <w:vAlign w:val="center"/>
                </w:tcPr>
                <w:p w14:paraId="65F014C5">
                  <w:pPr>
                    <w:snapToGrid w:val="0"/>
                    <w:spacing w:line="240" w:lineRule="exact"/>
                    <w:jc w:val="center"/>
                    <w:rPr>
                      <w:rFonts w:hint="eastAsia"/>
                      <w:color w:val="000000" w:themeColor="text1"/>
                      <w:szCs w:val="21"/>
                      <w:highlight w:val="none"/>
                      <w:lang w:val="en-US" w:eastAsia="zh-CN"/>
                      <w14:textFill>
                        <w14:solidFill>
                          <w14:schemeClr w14:val="tx1"/>
                        </w14:solidFill>
                      </w14:textFill>
                    </w:rPr>
                  </w:pPr>
                </w:p>
              </w:tc>
              <w:tc>
                <w:tcPr>
                  <w:tcW w:w="784" w:type="pct"/>
                  <w:vMerge w:val="continue"/>
                  <w:vAlign w:val="center"/>
                </w:tcPr>
                <w:p w14:paraId="1542C899">
                  <w:pPr>
                    <w:pStyle w:val="142"/>
                    <w:rPr>
                      <w:rFonts w:hint="default"/>
                      <w:b w:val="0"/>
                      <w:bCs w:val="0"/>
                      <w:color w:val="000000" w:themeColor="text1"/>
                      <w:highlight w:val="none"/>
                      <w:lang w:val="en-US" w:eastAsia="zh-CN"/>
                      <w14:textFill>
                        <w14:solidFill>
                          <w14:schemeClr w14:val="tx1"/>
                        </w14:solidFill>
                      </w14:textFill>
                    </w:rPr>
                  </w:pPr>
                </w:p>
              </w:tc>
              <w:tc>
                <w:tcPr>
                  <w:tcW w:w="668" w:type="pct"/>
                  <w:vMerge w:val="continue"/>
                  <w:vAlign w:val="center"/>
                </w:tcPr>
                <w:p w14:paraId="678C7584">
                  <w:pPr>
                    <w:pStyle w:val="142"/>
                    <w:rPr>
                      <w:rFonts w:hint="default"/>
                      <w:b w:val="0"/>
                      <w:bCs w:val="0"/>
                      <w:color w:val="000000" w:themeColor="text1"/>
                      <w:highlight w:val="none"/>
                      <w:lang w:val="en-US" w:eastAsia="zh-CN"/>
                      <w14:textFill>
                        <w14:solidFill>
                          <w14:schemeClr w14:val="tx1"/>
                        </w14:solidFill>
                      </w14:textFill>
                    </w:rPr>
                  </w:pPr>
                </w:p>
              </w:tc>
              <w:tc>
                <w:tcPr>
                  <w:tcW w:w="535" w:type="pct"/>
                  <w:shd w:val="clear" w:color="auto" w:fill="auto"/>
                  <w:vAlign w:val="center"/>
                </w:tcPr>
                <w:p w14:paraId="4FD482DD">
                  <w:pPr>
                    <w:widowControl/>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臭气浓度</w:t>
                  </w:r>
                </w:p>
              </w:tc>
              <w:tc>
                <w:tcPr>
                  <w:tcW w:w="446" w:type="pct"/>
                  <w:shd w:val="clear" w:color="auto" w:fill="auto"/>
                  <w:vAlign w:val="center"/>
                </w:tcPr>
                <w:p w14:paraId="0DB50D8D">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2000</w:t>
                  </w:r>
                </w:p>
                <w:p w14:paraId="246AB87B">
                  <w:pPr>
                    <w:snapToGrid w:val="0"/>
                    <w:spacing w:line="240" w:lineRule="exact"/>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color w:val="000000" w:themeColor="text1"/>
                      <w:szCs w:val="21"/>
                      <w:highlight w:val="none"/>
                      <w14:textFill>
                        <w14:solidFill>
                          <w14:schemeClr w14:val="tx1"/>
                        </w14:solidFill>
                      </w14:textFill>
                    </w:rPr>
                    <w:t>（无量纲）</w:t>
                  </w:r>
                </w:p>
              </w:tc>
              <w:tc>
                <w:tcPr>
                  <w:tcW w:w="424" w:type="pct"/>
                  <w:shd w:val="clear" w:color="auto" w:fill="auto"/>
                  <w:vAlign w:val="center"/>
                </w:tcPr>
                <w:p w14:paraId="01EF6478">
                  <w:pPr>
                    <w:snapToGrid w:val="0"/>
                    <w:spacing w:line="240" w:lineRule="exact"/>
                    <w:jc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color w:val="000000" w:themeColor="text1"/>
                      <w:szCs w:val="21"/>
                      <w:highlight w:val="none"/>
                      <w14:textFill>
                        <w14:solidFill>
                          <w14:schemeClr w14:val="tx1"/>
                        </w14:solidFill>
                      </w14:textFill>
                    </w:rPr>
                    <w:t>/</w:t>
                  </w:r>
                </w:p>
              </w:tc>
              <w:tc>
                <w:tcPr>
                  <w:tcW w:w="376" w:type="pct"/>
                  <w:vMerge w:val="continue"/>
                  <w:vAlign w:val="center"/>
                </w:tcPr>
                <w:p w14:paraId="3F4767AA">
                  <w:pPr>
                    <w:snapToGrid w:val="0"/>
                    <w:spacing w:line="240" w:lineRule="exact"/>
                    <w:jc w:val="center"/>
                    <w:rPr>
                      <w:color w:val="000000" w:themeColor="text1"/>
                      <w:szCs w:val="21"/>
                      <w:highlight w:val="none"/>
                      <w14:textFill>
                        <w14:solidFill>
                          <w14:schemeClr w14:val="tx1"/>
                        </w14:solidFill>
                      </w14:textFill>
                    </w:rPr>
                  </w:pPr>
                </w:p>
              </w:tc>
            </w:tr>
          </w:tbl>
          <w:p w14:paraId="477E85C8">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本次项目</w:t>
            </w:r>
            <w:r>
              <w:rPr>
                <w:rFonts w:hint="eastAsia"/>
                <w:color w:val="000000" w:themeColor="text1"/>
                <w:sz w:val="24"/>
                <w:highlight w:val="none"/>
                <w:lang w:val="en-US" w:eastAsia="zh-CN"/>
                <w14:textFill>
                  <w14:solidFill>
                    <w14:schemeClr w14:val="tx1"/>
                  </w14:solidFill>
                </w14:textFill>
              </w:rPr>
              <w:t>投料废气</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混合废气、危废仓库</w:t>
            </w:r>
            <w:r>
              <w:rPr>
                <w:rFonts w:hint="eastAsia" w:eastAsia="宋体"/>
                <w:color w:val="000000" w:themeColor="text1"/>
                <w:sz w:val="24"/>
                <w:highlight w:val="none"/>
                <w:lang w:eastAsia="zh-CN"/>
                <w14:textFill>
                  <w14:solidFill>
                    <w14:schemeClr w14:val="tx1"/>
                  </w14:solidFill>
                </w14:textFill>
              </w:rPr>
              <w:t>废气</w:t>
            </w:r>
            <w:r>
              <w:rPr>
                <w:color w:val="000000" w:themeColor="text1"/>
                <w:sz w:val="24"/>
                <w:highlight w:val="none"/>
                <w14:textFill>
                  <w14:solidFill>
                    <w14:schemeClr w14:val="tx1"/>
                  </w14:solidFill>
                </w14:textFill>
              </w:rPr>
              <w:t>在车间无组织排放。废气污染物可达标排放，对大气环境保护目标的影响较小。</w:t>
            </w:r>
          </w:p>
          <w:p w14:paraId="2CC43DC8">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w:t>
            </w:r>
            <w:bookmarkStart w:id="8" w:name="OLE_LINK19"/>
            <w:r>
              <w:rPr>
                <w:color w:val="000000" w:themeColor="text1"/>
                <w:sz w:val="24"/>
                <w:highlight w:val="none"/>
                <w14:textFill>
                  <w14:solidFill>
                    <w14:schemeClr w14:val="tx1"/>
                  </w14:solidFill>
                </w14:textFill>
              </w:rPr>
              <w:t>项目无组织排放废气主要是废气收集过程中未被捕集的及废气处理后无组织排放的，</w:t>
            </w:r>
            <w:bookmarkEnd w:id="8"/>
            <w:r>
              <w:rPr>
                <w:color w:val="000000" w:themeColor="text1"/>
                <w:sz w:val="24"/>
                <w:highlight w:val="none"/>
                <w14:textFill>
                  <w14:solidFill>
                    <w14:schemeClr w14:val="tx1"/>
                  </w14:solidFill>
                </w14:textFill>
              </w:rPr>
              <w:t>拟采用以下控制措施：</w:t>
            </w:r>
          </w:p>
          <w:p w14:paraId="73465E6B">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（1）保持生产车间和操作间（室）的密闭，合理设计送排风系统；</w:t>
            </w:r>
          </w:p>
          <w:p w14:paraId="6B28A6C4">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（2）加强生产管理，规范操作，使设备设施处于正常工作状态，避免生产、控制、输送等过程中的废气散发；</w:t>
            </w:r>
          </w:p>
          <w:p w14:paraId="07E280BB">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（3）原料包装空桶、废液均加盖处理后转移至</w:t>
            </w:r>
            <w:r>
              <w:rPr>
                <w:rFonts w:hint="eastAsia"/>
                <w:color w:val="000000" w:themeColor="text1"/>
                <w:sz w:val="24"/>
                <w:highlight w:val="none"/>
                <w14:textFill>
                  <w14:solidFill>
                    <w14:schemeClr w14:val="tx1"/>
                  </w14:solidFill>
                </w14:textFill>
              </w:rPr>
              <w:t>危废仓库</w:t>
            </w:r>
            <w:r>
              <w:rPr>
                <w:color w:val="000000" w:themeColor="text1"/>
                <w:sz w:val="24"/>
                <w:highlight w:val="none"/>
                <w14:textFill>
                  <w14:solidFill>
                    <w14:schemeClr w14:val="tx1"/>
                  </w14:solidFill>
                </w14:textFill>
              </w:rPr>
              <w:t>，减少</w:t>
            </w:r>
            <w:r>
              <w:rPr>
                <w:rFonts w:hint="eastAsia"/>
                <w:color w:val="000000" w:themeColor="text1"/>
                <w:sz w:val="24"/>
                <w:highlight w:val="none"/>
                <w:lang w:val="en-US" w:eastAsia="zh-CN"/>
                <w14:textFill>
                  <w14:solidFill>
                    <w14:schemeClr w14:val="tx1"/>
                  </w14:solidFill>
                </w14:textFill>
              </w:rPr>
              <w:t>废气</w:t>
            </w:r>
            <w:r>
              <w:rPr>
                <w:color w:val="000000" w:themeColor="text1"/>
                <w:sz w:val="24"/>
                <w:highlight w:val="none"/>
                <w14:textFill>
                  <w14:solidFill>
                    <w14:schemeClr w14:val="tx1"/>
                  </w14:solidFill>
                </w14:textFill>
              </w:rPr>
              <w:t>无组织排放；</w:t>
            </w:r>
          </w:p>
          <w:p w14:paraId="3CF112F7">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（4）选用高质量的材料，提高生产质量，定期检修维护设备，将生产过程中的跑、冒、滴、漏减至最小。</w:t>
            </w:r>
          </w:p>
          <w:p w14:paraId="6F6D9342">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因此，经严格执行以上措施后，本项目所排放的大气污染物均可达到</w:t>
            </w:r>
            <w:r>
              <w:rPr>
                <w:rFonts w:hint="eastAsia"/>
                <w:color w:val="000000" w:themeColor="text1"/>
                <w:sz w:val="24"/>
                <w:highlight w:val="none"/>
                <w:lang w:eastAsia="zh-CN"/>
                <w14:textFill>
                  <w14:solidFill>
                    <w14:schemeClr w14:val="tx1"/>
                  </w14:solidFill>
                </w14:textFill>
              </w:rPr>
              <w:t>《橡胶制品工业污染物排放标准</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》（GB27632-2011）、</w:t>
            </w:r>
            <w:r>
              <w:rPr>
                <w:rFonts w:hint="eastAsia" w:cs="Times New Roman"/>
                <w:color w:val="000000" w:themeColor="text1"/>
                <w:sz w:val="24"/>
                <w:highlight w:val="none"/>
                <w:lang w:eastAsia="zh-CN"/>
                <w14:textFill>
                  <w14:solidFill>
                    <w14:schemeClr w14:val="tx1"/>
                  </w14:solidFill>
                </w14:textFill>
              </w:rPr>
              <w:t>《合成树脂工业污染物排放标准》（GB31572-2015）（含2024年修改单）</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、《大气污染物综合排放标准》（DB32/4041-2021）、《恶臭污染物排放标准》（GB14554-1993）中的相应标</w:t>
            </w:r>
            <w:r>
              <w:rPr>
                <w:color w:val="000000" w:themeColor="text1"/>
                <w:sz w:val="24"/>
                <w:highlight w:val="none"/>
                <w14:textFill>
                  <w14:solidFill>
                    <w14:schemeClr w14:val="tx1"/>
                  </w14:solidFill>
                </w14:textFill>
              </w:rPr>
              <w:t>准及要求</w:t>
            </w:r>
            <w:r>
              <w:rPr>
                <w:rFonts w:hint="eastAsia"/>
                <w:color w:val="000000" w:themeColor="text1"/>
                <w:sz w:val="24"/>
                <w:highlight w:val="none"/>
                <w14:textFill>
                  <w14:solidFill>
                    <w14:schemeClr w14:val="tx1"/>
                  </w14:solidFill>
                </w14:textFill>
              </w:rPr>
              <w:t>。</w:t>
            </w:r>
          </w:p>
          <w:p w14:paraId="536A2A04">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1.2污染防治措施及可行性分析</w:t>
            </w:r>
          </w:p>
          <w:p w14:paraId="3CC5B6F2">
            <w:pPr>
              <w:adjustRightInd w:val="0"/>
              <w:snapToGrid w:val="0"/>
              <w:spacing w:line="440" w:lineRule="exact"/>
              <w:ind w:firstLine="480" w:firstLineChars="200"/>
              <w:rPr>
                <w:color w:val="000000" w:themeColor="text1"/>
                <w:sz w:val="24"/>
                <w:szCs w:val="21"/>
                <w:highlight w:val="none"/>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本项目</w:t>
            </w:r>
            <w:r>
              <w:rPr>
                <w:rFonts w:hint="eastAsia" w:cs="Times New Roman"/>
                <w:color w:val="000000" w:themeColor="text1"/>
                <w:sz w:val="24"/>
                <w:highlight w:val="none"/>
                <w:lang w:val="en-US" w:eastAsia="zh-CN"/>
                <w14:textFill>
                  <w14:solidFill>
                    <w14:schemeClr w14:val="tx1"/>
                  </w14:solidFill>
                </w14:textFill>
              </w:rPr>
              <w:t>硫化</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废气经集气罩收集后通过</w:t>
            </w:r>
            <w:r>
              <w:rPr>
                <w:rFonts w:hint="eastAsia" w:cs="Times New Roman"/>
                <w:color w:val="000000" w:themeColor="text1"/>
                <w:sz w:val="24"/>
                <w:highlight w:val="none"/>
                <w:lang w:val="en-US" w:eastAsia="zh-CN"/>
                <w14:textFill>
                  <w14:solidFill>
                    <w14:schemeClr w14:val="tx1"/>
                  </w14:solidFill>
                </w14:textFill>
              </w:rPr>
              <w:t>1套二级活性炭装置</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后经过15米高DA001排气筒排放</w:t>
            </w:r>
            <w:r>
              <w:rPr>
                <w:rFonts w:hint="eastAsia" w:cs="Times New Roman"/>
                <w:color w:val="000000" w:themeColor="text1"/>
                <w:sz w:val="24"/>
                <w:highlight w:val="none"/>
                <w:lang w:val="en-US" w:eastAsia="zh-CN"/>
                <w14:textFill>
                  <w14:solidFill>
                    <w14:schemeClr w14:val="tx1"/>
                  </w14:solidFill>
                </w14:textFill>
              </w:rPr>
              <w:t>；成型</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废气经集气罩收集后通过</w:t>
            </w:r>
            <w:r>
              <w:rPr>
                <w:rFonts w:hint="eastAsia" w:cs="Times New Roman"/>
                <w:color w:val="000000" w:themeColor="text1"/>
                <w:sz w:val="24"/>
                <w:highlight w:val="none"/>
                <w:lang w:val="en-US" w:eastAsia="zh-CN"/>
                <w14:textFill>
                  <w14:solidFill>
                    <w14:schemeClr w14:val="tx1"/>
                  </w14:solidFill>
                </w14:textFill>
              </w:rPr>
              <w:t>1套</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二级活性炭装置后经过15米高DA002排气筒排放；</w:t>
            </w:r>
            <w:r>
              <w:rPr>
                <w:rFonts w:hint="eastAsia"/>
                <w:color w:val="000000" w:themeColor="text1"/>
                <w:sz w:val="24"/>
                <w:highlight w:val="none"/>
                <w:lang w:val="en-US" w:eastAsia="zh-CN"/>
                <w14:textFill>
                  <w14:solidFill>
                    <w14:schemeClr w14:val="tx1"/>
                  </w14:solidFill>
                </w14:textFill>
              </w:rPr>
              <w:t>投料废气</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混合废气、危废仓库</w:t>
            </w:r>
            <w:r>
              <w:rPr>
                <w:rFonts w:hint="eastAsia" w:eastAsia="宋体"/>
                <w:color w:val="000000" w:themeColor="text1"/>
                <w:sz w:val="24"/>
                <w:highlight w:val="none"/>
                <w:lang w:eastAsia="zh-CN"/>
                <w14:textFill>
                  <w14:solidFill>
                    <w14:schemeClr w14:val="tx1"/>
                  </w14:solidFill>
                </w14:textFill>
              </w:rPr>
              <w:t>废气</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无组织排放</w:t>
            </w:r>
            <w:r>
              <w:rPr>
                <w:rFonts w:hint="eastAsia"/>
                <w:color w:val="000000" w:themeColor="text1"/>
                <w:sz w:val="24"/>
                <w:szCs w:val="21"/>
                <w:highlight w:val="none"/>
                <w14:textFill>
                  <w14:solidFill>
                    <w14:schemeClr w14:val="tx1"/>
                  </w14:solidFill>
                </w14:textFill>
              </w:rPr>
              <w:t>，废气能够达到</w:t>
            </w:r>
            <w:r>
              <w:rPr>
                <w:rFonts w:hint="eastAsia"/>
                <w:color w:val="000000" w:themeColor="text1"/>
                <w:sz w:val="24"/>
                <w:highlight w:val="none"/>
                <w:lang w:eastAsia="zh-CN"/>
                <w14:textFill>
                  <w14:solidFill>
                    <w14:schemeClr w14:val="tx1"/>
                  </w14:solidFill>
                </w14:textFill>
              </w:rPr>
              <w:t>《橡胶制品工业污染物排放标准</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》（GB27632-2011）、</w:t>
            </w:r>
            <w:r>
              <w:rPr>
                <w:rFonts w:hint="eastAsia" w:cs="Times New Roman"/>
                <w:color w:val="000000" w:themeColor="text1"/>
                <w:sz w:val="24"/>
                <w:highlight w:val="none"/>
                <w:lang w:eastAsia="zh-CN"/>
                <w14:textFill>
                  <w14:solidFill>
                    <w14:schemeClr w14:val="tx1"/>
                  </w14:solidFill>
                </w14:textFill>
              </w:rPr>
              <w:t>《合成树脂工业污染物排放标准》（GB31572-2015）（含2024年修改单）</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、《大气污染物综合排放标准》（DB32/4041-2021）、《恶臭污染物排放标准》（GB14554-1993）</w:t>
            </w:r>
            <w:r>
              <w:rPr>
                <w:rFonts w:hint="eastAsia"/>
                <w:color w:val="000000" w:themeColor="text1"/>
                <w:sz w:val="24"/>
                <w:szCs w:val="21"/>
                <w:highlight w:val="none"/>
                <w14:textFill>
                  <w14:solidFill>
                    <w14:schemeClr w14:val="tx1"/>
                  </w14:solidFill>
                </w14:textFill>
              </w:rPr>
              <w:t>排放要求</w:t>
            </w:r>
            <w:r>
              <w:rPr>
                <w:color w:val="000000" w:themeColor="text1"/>
                <w:sz w:val="24"/>
                <w:szCs w:val="21"/>
                <w:highlight w:val="none"/>
                <w14:textFill>
                  <w14:solidFill>
                    <w14:schemeClr w14:val="tx1"/>
                  </w14:solidFill>
                </w14:textFill>
              </w:rPr>
              <w:t>。</w:t>
            </w:r>
          </w:p>
          <w:p w14:paraId="7E51D79E">
            <w:pPr>
              <w:adjustRightInd w:val="0"/>
              <w:snapToGrid w:val="0"/>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（1）废气处理工艺流程图</w:t>
            </w:r>
          </w:p>
          <w:p w14:paraId="3EB29957">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object>
                <v:shape id="_x0000_i1028" o:spt="75" type="#_x0000_t75" style="height:116.7pt;width:423pt;" o:ole="t" filled="f" o:preferrelative="t" stroked="f" coordsize="21600,21600">
                  <v:path/>
                  <v:fill on="f" focussize="0,0"/>
                  <v:stroke on="f"/>
                  <v:imagedata r:id="rId24" o:title=""/>
                  <o:lock v:ext="edit" aspectratio="f"/>
                  <w10:wrap type="none"/>
                  <w10:anchorlock/>
                </v:shape>
                <o:OLEObject Type="Embed" ProgID="Visio.Drawing.15" ShapeID="_x0000_i1028" DrawAspect="Content" ObjectID="_1468075728" r:id="rId23">
                  <o:LockedField>false</o:LockedField>
                </o:OLEObject>
              </w:object>
            </w:r>
          </w:p>
          <w:p w14:paraId="1AF827B1">
            <w:pPr>
              <w:jc w:val="center"/>
              <w:rPr>
                <w:b/>
                <w:color w:val="000000" w:themeColor="text1"/>
                <w:sz w:val="24"/>
                <w:highlight w:val="none"/>
                <w:lang w:val="zh-CN"/>
                <w14:textFill>
                  <w14:solidFill>
                    <w14:schemeClr w14:val="tx1"/>
                  </w14:solidFill>
                </w14:textFill>
              </w:rPr>
            </w:pPr>
            <w:r>
              <w:rPr>
                <w:b/>
                <w:color w:val="000000" w:themeColor="text1"/>
                <w:sz w:val="24"/>
                <w:highlight w:val="none"/>
                <w:lang w:val="zh-CN"/>
                <w14:textFill>
                  <w14:solidFill>
                    <w14:schemeClr w14:val="tx1"/>
                  </w14:solidFill>
                </w14:textFill>
              </w:rPr>
              <w:t>图4-1</w:t>
            </w:r>
            <w:r>
              <w:rPr>
                <w:rFonts w:hint="eastAsia"/>
                <w:b/>
                <w:color w:val="000000" w:themeColor="text1"/>
                <w:sz w:val="24"/>
                <w:highlight w:val="none"/>
                <w:lang w:val="en-US" w:eastAsia="zh-CN"/>
                <w14:textFill>
                  <w14:solidFill>
                    <w14:schemeClr w14:val="tx1"/>
                  </w14:solidFill>
                </w14:textFill>
              </w:rPr>
              <w:t xml:space="preserve">  </w:t>
            </w:r>
            <w:r>
              <w:rPr>
                <w:b/>
                <w:color w:val="000000" w:themeColor="text1"/>
                <w:sz w:val="24"/>
                <w:highlight w:val="none"/>
                <w:lang w:val="zh-CN"/>
                <w14:textFill>
                  <w14:solidFill>
                    <w14:schemeClr w14:val="tx1"/>
                  </w14:solidFill>
                </w14:textFill>
              </w:rPr>
              <w:t>本项目废气收集处理流程图</w:t>
            </w:r>
          </w:p>
          <w:p w14:paraId="5C08A214">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（2）废气处理工艺方案比选：</w:t>
            </w:r>
          </w:p>
          <w:p w14:paraId="17F4D113">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有机废气（VOCs）净化的方法有直接燃烧法、催化燃烧法、活性炭吸附法、吸收法、冷凝法等。各种方法的主要优缺点见下表。</w:t>
            </w:r>
          </w:p>
          <w:p w14:paraId="2B8A1B52">
            <w:pPr>
              <w:pStyle w:val="125"/>
              <w:numPr>
                <w:ilvl w:val="0"/>
                <w:numId w:val="0"/>
              </w:numPr>
              <w:spacing w:line="440" w:lineRule="exact"/>
              <w:rPr>
                <w:rFonts w:hint="default"/>
                <w:color w:val="000000" w:themeColor="text1"/>
                <w:sz w:val="24"/>
                <w:highlight w:val="none"/>
                <w:lang w:val="zh-CN"/>
                <w14:textFill>
                  <w14:solidFill>
                    <w14:schemeClr w14:val="tx1"/>
                  </w14:solidFill>
                </w14:textFill>
              </w:rPr>
            </w:pPr>
          </w:p>
          <w:p w14:paraId="6892D46F">
            <w:pPr>
              <w:pStyle w:val="125"/>
              <w:numPr>
                <w:ilvl w:val="0"/>
                <w:numId w:val="0"/>
              </w:numPr>
              <w:spacing w:line="440" w:lineRule="exact"/>
              <w:rPr>
                <w:rFonts w:hint="default"/>
                <w:color w:val="000000" w:themeColor="text1"/>
                <w:sz w:val="24"/>
                <w:highlight w:val="none"/>
                <w:lang w:val="zh-CN"/>
                <w14:textFill>
                  <w14:solidFill>
                    <w14:schemeClr w14:val="tx1"/>
                  </w14:solidFill>
                </w14:textFill>
              </w:rPr>
            </w:pPr>
            <w:r>
              <w:rPr>
                <w:rFonts w:hint="default"/>
                <w:color w:val="000000" w:themeColor="text1"/>
                <w:sz w:val="24"/>
                <w:highlight w:val="none"/>
                <w:lang w:val="zh-CN"/>
                <w14:textFill>
                  <w14:solidFill>
                    <w14:schemeClr w14:val="tx1"/>
                  </w14:solidFill>
                </w14:textFill>
              </w:rPr>
              <w:t>表4-</w:t>
            </w:r>
            <w:r>
              <w:rPr>
                <w:rFonts w:hint="eastAsia"/>
                <w:color w:val="000000" w:themeColor="text1"/>
                <w:sz w:val="24"/>
                <w:highlight w:val="none"/>
                <w:lang w:val="en-US" w:eastAsia="zh-CN"/>
                <w14:textFill>
                  <w14:solidFill>
                    <w14:schemeClr w14:val="tx1"/>
                  </w14:solidFill>
                </w14:textFill>
              </w:rPr>
              <w:t xml:space="preserve">7  </w:t>
            </w:r>
            <w:r>
              <w:rPr>
                <w:rFonts w:hint="default"/>
                <w:color w:val="000000" w:themeColor="text1"/>
                <w:sz w:val="24"/>
                <w:highlight w:val="none"/>
                <w:lang w:val="zh-CN"/>
                <w14:textFill>
                  <w14:solidFill>
                    <w14:schemeClr w14:val="tx1"/>
                  </w14:solidFill>
                </w14:textFill>
              </w:rPr>
              <w:t>有机废气主要净化方法比较</w:t>
            </w:r>
          </w:p>
          <w:tbl>
            <w:tblPr>
              <w:tblStyle w:val="38"/>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951"/>
              <w:gridCol w:w="2243"/>
              <w:gridCol w:w="2043"/>
              <w:gridCol w:w="1518"/>
            </w:tblGrid>
            <w:tr w14:paraId="42532F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20" w:type="pct"/>
                  <w:vAlign w:val="center"/>
                </w:tcPr>
                <w:p w14:paraId="52012B86">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方法</w:t>
                  </w:r>
                </w:p>
              </w:tc>
              <w:tc>
                <w:tcPr>
                  <w:tcW w:w="1152" w:type="pct"/>
                  <w:vAlign w:val="center"/>
                </w:tcPr>
                <w:p w14:paraId="182AB1DB">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原理</w:t>
                  </w:r>
                </w:p>
              </w:tc>
              <w:tc>
                <w:tcPr>
                  <w:tcW w:w="1324" w:type="pct"/>
                  <w:vAlign w:val="center"/>
                </w:tcPr>
                <w:p w14:paraId="6270A986">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优点</w:t>
                  </w:r>
                </w:p>
              </w:tc>
              <w:tc>
                <w:tcPr>
                  <w:tcW w:w="1206" w:type="pct"/>
                  <w:vAlign w:val="center"/>
                </w:tcPr>
                <w:p w14:paraId="279FE06D">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缺点</w:t>
                  </w:r>
                </w:p>
              </w:tc>
              <w:tc>
                <w:tcPr>
                  <w:tcW w:w="896" w:type="pct"/>
                  <w:vAlign w:val="center"/>
                </w:tcPr>
                <w:p w14:paraId="57AF0E69">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适用范围</w:t>
                  </w:r>
                </w:p>
              </w:tc>
            </w:tr>
            <w:tr w14:paraId="336588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20" w:type="pct"/>
                  <w:vAlign w:val="center"/>
                </w:tcPr>
                <w:p w14:paraId="2B03EA23">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吸附法</w:t>
                  </w:r>
                </w:p>
              </w:tc>
              <w:tc>
                <w:tcPr>
                  <w:tcW w:w="1152" w:type="pct"/>
                  <w:vAlign w:val="center"/>
                </w:tcPr>
                <w:p w14:paraId="7EFD1B6C">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废气的分子扩散到固体吸附剂表面，有害成分被吸附而达到净化</w:t>
                  </w:r>
                </w:p>
              </w:tc>
              <w:tc>
                <w:tcPr>
                  <w:tcW w:w="1324" w:type="pct"/>
                  <w:vAlign w:val="center"/>
                </w:tcPr>
                <w:p w14:paraId="2B85DB6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可处理含有低浓度的碳氢化合物和低温废气；溶剂可回收，进行有效利用；处理程度可以控制</w:t>
                  </w:r>
                </w:p>
              </w:tc>
              <w:tc>
                <w:tcPr>
                  <w:tcW w:w="1206" w:type="pct"/>
                  <w:vAlign w:val="center"/>
                </w:tcPr>
                <w:p w14:paraId="523DC562">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活性炭的再生和补充需要花费的费用多</w:t>
                  </w:r>
                </w:p>
              </w:tc>
              <w:tc>
                <w:tcPr>
                  <w:tcW w:w="896" w:type="pct"/>
                  <w:vAlign w:val="center"/>
                </w:tcPr>
                <w:p w14:paraId="3BAFE2EB">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适</w:t>
                  </w:r>
                  <w:r>
                    <w:rPr>
                      <w:rFonts w:hint="eastAsia"/>
                      <w:color w:val="000000" w:themeColor="text1"/>
                      <w:szCs w:val="21"/>
                      <w:highlight w:val="none"/>
                      <w:lang w:eastAsia="zh-CN"/>
                      <w14:textFill>
                        <w14:solidFill>
                          <w14:schemeClr w14:val="tx1"/>
                        </w14:solidFill>
                      </w14:textFill>
                    </w:rPr>
                    <w:t>用于</w:t>
                  </w:r>
                  <w:r>
                    <w:rPr>
                      <w:color w:val="000000" w:themeColor="text1"/>
                      <w:szCs w:val="21"/>
                      <w:highlight w:val="none"/>
                      <w14:textFill>
                        <w14:solidFill>
                          <w14:schemeClr w14:val="tx1"/>
                        </w14:solidFill>
                      </w14:textFill>
                    </w:rPr>
                    <w:t>常温、低浓度、废气量较小时的废气治理</w:t>
                  </w:r>
                </w:p>
              </w:tc>
            </w:tr>
            <w:tr w14:paraId="5E71A0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20" w:type="pct"/>
                  <w:vAlign w:val="center"/>
                </w:tcPr>
                <w:p w14:paraId="3F976ACD">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直接</w:t>
                  </w:r>
                </w:p>
                <w:p w14:paraId="0B1EB924">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燃烧法</w:t>
                  </w:r>
                </w:p>
              </w:tc>
              <w:tc>
                <w:tcPr>
                  <w:tcW w:w="1152" w:type="pct"/>
                  <w:vAlign w:val="center"/>
                </w:tcPr>
                <w:p w14:paraId="6036F984">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废气引入燃烧室与火焰直接接触，使有害物燃烧生成CO</w:t>
                  </w:r>
                  <w:r>
                    <w:rPr>
                      <w:color w:val="000000" w:themeColor="text1"/>
                      <w:szCs w:val="21"/>
                      <w:highlight w:val="none"/>
                      <w:vertAlign w:val="subscript"/>
                      <w14:textFill>
                        <w14:solidFill>
                          <w14:schemeClr w14:val="tx1"/>
                        </w14:solidFill>
                      </w14:textFill>
                    </w:rPr>
                    <w:t>2</w:t>
                  </w:r>
                  <w:r>
                    <w:rPr>
                      <w:color w:val="000000" w:themeColor="text1"/>
                      <w:szCs w:val="21"/>
                      <w:highlight w:val="none"/>
                      <w14:textFill>
                        <w14:solidFill>
                          <w14:schemeClr w14:val="tx1"/>
                        </w14:solidFill>
                      </w14:textFill>
                    </w:rPr>
                    <w:t>和H</w:t>
                  </w:r>
                  <w:r>
                    <w:rPr>
                      <w:color w:val="000000" w:themeColor="text1"/>
                      <w:szCs w:val="21"/>
                      <w:highlight w:val="none"/>
                      <w:vertAlign w:val="subscript"/>
                      <w14:textFill>
                        <w14:solidFill>
                          <w14:schemeClr w14:val="tx1"/>
                        </w14:solidFill>
                      </w14:textFill>
                    </w:rPr>
                    <w:t>2</w:t>
                  </w:r>
                  <w:r>
                    <w:rPr>
                      <w:color w:val="000000" w:themeColor="text1"/>
                      <w:szCs w:val="21"/>
                      <w:highlight w:val="none"/>
                      <w14:textFill>
                        <w14:solidFill>
                          <w14:schemeClr w14:val="tx1"/>
                        </w14:solidFill>
                      </w14:textFill>
                    </w:rPr>
                    <w:t>O，使废气净化</w:t>
                  </w:r>
                </w:p>
              </w:tc>
              <w:tc>
                <w:tcPr>
                  <w:tcW w:w="1324" w:type="pct"/>
                  <w:vAlign w:val="center"/>
                </w:tcPr>
                <w:p w14:paraId="5268F4FE">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燃烧效率高，管理容易；仅烧嘴需经常维护，维护简单；装置占地面积小；不稳定因素少，可靠性高</w:t>
                  </w:r>
                </w:p>
              </w:tc>
              <w:tc>
                <w:tcPr>
                  <w:tcW w:w="1206" w:type="pct"/>
                  <w:vAlign w:val="center"/>
                </w:tcPr>
                <w:p w14:paraId="61DCF57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处理温度高，需燃料费高；燃烧装置、燃烧室、热回收装置等设备造价高；处理像喷漆室浓度低、风量大的废气不经济</w:t>
                  </w:r>
                </w:p>
              </w:tc>
              <w:tc>
                <w:tcPr>
                  <w:tcW w:w="896" w:type="pct"/>
                  <w:vAlign w:val="center"/>
                </w:tcPr>
                <w:p w14:paraId="2A6328DB">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适用于有机溶剂含量高、湿度高的废气治理</w:t>
                  </w:r>
                </w:p>
              </w:tc>
            </w:tr>
            <w:tr w14:paraId="5FCB5C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20" w:type="pct"/>
                  <w:vAlign w:val="center"/>
                </w:tcPr>
                <w:p w14:paraId="793100F0">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催化</w:t>
                  </w:r>
                </w:p>
                <w:p w14:paraId="2D5D314F">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燃烧法</w:t>
                  </w:r>
                </w:p>
              </w:tc>
              <w:tc>
                <w:tcPr>
                  <w:tcW w:w="1152" w:type="pct"/>
                  <w:vAlign w:val="center"/>
                </w:tcPr>
                <w:p w14:paraId="552C6C7A">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在催化剂作用下，使有机物废气在引燃点温度以下燃烧生成CO</w:t>
                  </w:r>
                  <w:r>
                    <w:rPr>
                      <w:color w:val="000000" w:themeColor="text1"/>
                      <w:szCs w:val="21"/>
                      <w:highlight w:val="none"/>
                      <w:vertAlign w:val="subscript"/>
                      <w14:textFill>
                        <w14:solidFill>
                          <w14:schemeClr w14:val="tx1"/>
                        </w14:solidFill>
                      </w14:textFill>
                    </w:rPr>
                    <w:t>2</w:t>
                  </w:r>
                  <w:r>
                    <w:rPr>
                      <w:color w:val="000000" w:themeColor="text1"/>
                      <w:szCs w:val="21"/>
                      <w:highlight w:val="none"/>
                      <w14:textFill>
                        <w14:solidFill>
                          <w14:schemeClr w14:val="tx1"/>
                        </w14:solidFill>
                      </w14:textFill>
                    </w:rPr>
                    <w:t>和H</w:t>
                  </w:r>
                  <w:r>
                    <w:rPr>
                      <w:color w:val="000000" w:themeColor="text1"/>
                      <w:szCs w:val="21"/>
                      <w:highlight w:val="none"/>
                      <w:vertAlign w:val="subscript"/>
                      <w14:textFill>
                        <w14:solidFill>
                          <w14:schemeClr w14:val="tx1"/>
                        </w14:solidFill>
                      </w14:textFill>
                    </w:rPr>
                    <w:t>2</w:t>
                  </w:r>
                  <w:r>
                    <w:rPr>
                      <w:color w:val="000000" w:themeColor="text1"/>
                      <w:szCs w:val="21"/>
                      <w:highlight w:val="none"/>
                      <w14:textFill>
                        <w14:solidFill>
                          <w14:schemeClr w14:val="tx1"/>
                        </w14:solidFill>
                      </w14:textFill>
                    </w:rPr>
                    <w:t>O而被净化</w:t>
                  </w:r>
                </w:p>
              </w:tc>
              <w:tc>
                <w:tcPr>
                  <w:tcW w:w="1324" w:type="pct"/>
                  <w:vAlign w:val="center"/>
                </w:tcPr>
                <w:p w14:paraId="3E68DDB5">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与直接燃烧法相比，能在低温下氧化分解，燃料费可省1/2；装置占地面积小；NOx生成少</w:t>
                  </w:r>
                </w:p>
              </w:tc>
              <w:tc>
                <w:tcPr>
                  <w:tcW w:w="1206" w:type="pct"/>
                  <w:vAlign w:val="center"/>
                </w:tcPr>
                <w:p w14:paraId="59EC6AC2">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催化剂价格高，需考虑催化剂中毒和催化剂寿命；必须进行前处理除去尘埃、漆雾等；催化剂和设备价格高</w:t>
                  </w:r>
                </w:p>
              </w:tc>
              <w:tc>
                <w:tcPr>
                  <w:tcW w:w="896" w:type="pct"/>
                  <w:vAlign w:val="center"/>
                </w:tcPr>
                <w:p w14:paraId="5C219937">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适用于废气温度高、流量小、有机溶剂浓度高、含杂质少的场合</w:t>
                  </w:r>
                </w:p>
              </w:tc>
            </w:tr>
            <w:tr w14:paraId="1383CD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20" w:type="pct"/>
                  <w:vAlign w:val="center"/>
                </w:tcPr>
                <w:p w14:paraId="0ECFCFFC">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吸收法</w:t>
                  </w:r>
                </w:p>
              </w:tc>
              <w:tc>
                <w:tcPr>
                  <w:tcW w:w="1152" w:type="pct"/>
                  <w:vAlign w:val="center"/>
                </w:tcPr>
                <w:p w14:paraId="7B73C7D5">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液体作为吸收剂，使废气中有害气体被吸收剂所吸收从而达到净化</w:t>
                  </w:r>
                </w:p>
              </w:tc>
              <w:tc>
                <w:tcPr>
                  <w:tcW w:w="1324" w:type="pct"/>
                  <w:vAlign w:val="center"/>
                </w:tcPr>
                <w:p w14:paraId="093813C2">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设备费用低，运转费用少；无爆炸、火灾等危险，安全性高适宜处理喷漆室和挥发室排出废气</w:t>
                  </w:r>
                </w:p>
              </w:tc>
              <w:tc>
                <w:tcPr>
                  <w:tcW w:w="1206" w:type="pct"/>
                  <w:vAlign w:val="center"/>
                </w:tcPr>
                <w:p w14:paraId="3D41DC0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需要对产生废水进行二次处理，对涂料品种有限制</w:t>
                  </w:r>
                </w:p>
              </w:tc>
              <w:tc>
                <w:tcPr>
                  <w:tcW w:w="896" w:type="pct"/>
                  <w:vAlign w:val="center"/>
                </w:tcPr>
                <w:p w14:paraId="429035D5">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适用于高、低浓度有机废气</w:t>
                  </w:r>
                </w:p>
              </w:tc>
            </w:tr>
          </w:tbl>
          <w:p w14:paraId="690EA508">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本项目有机废气</w:t>
            </w:r>
            <w:r>
              <w:rPr>
                <w:rFonts w:hint="eastAsia"/>
                <w:color w:val="000000" w:themeColor="text1"/>
                <w:sz w:val="24"/>
                <w:highlight w:val="none"/>
                <w14:textFill>
                  <w14:solidFill>
                    <w14:schemeClr w14:val="tx1"/>
                  </w14:solidFill>
                </w14:textFill>
              </w:rPr>
              <w:t>主要为</w:t>
            </w:r>
            <w:r>
              <w:rPr>
                <w:rFonts w:hint="eastAsia"/>
                <w:color w:val="000000" w:themeColor="text1"/>
                <w:sz w:val="24"/>
                <w:highlight w:val="none"/>
                <w:lang w:val="en-US" w:eastAsia="zh-CN"/>
                <w14:textFill>
                  <w14:solidFill>
                    <w14:schemeClr w14:val="tx1"/>
                  </w14:solidFill>
                </w14:textFill>
              </w:rPr>
              <w:t>硫化废气</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成型</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废气</w:t>
            </w:r>
            <w:r>
              <w:rPr>
                <w:rFonts w:hint="eastAsia"/>
                <w:color w:val="000000" w:themeColor="text1"/>
                <w:sz w:val="24"/>
                <w:highlight w:val="none"/>
                <w14:textFill>
                  <w14:solidFill>
                    <w14:schemeClr w14:val="tx1"/>
                  </w14:solidFill>
                </w14:textFill>
              </w:rPr>
              <w:t>等</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废气</w:t>
            </w:r>
            <w:r>
              <w:rPr>
                <w:color w:val="000000" w:themeColor="text1"/>
                <w:sz w:val="24"/>
                <w:highlight w:val="none"/>
                <w14:textFill>
                  <w14:solidFill>
                    <w14:schemeClr w14:val="tx1"/>
                  </w14:solidFill>
                </w14:textFill>
              </w:rPr>
              <w:t>采用吸附法来处理</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废气处理后能够达到排放标准。在此基础上，本项目建成运营后对周边区域大气环境影响较小，不会改变区域大气的环境功能。</w:t>
            </w:r>
          </w:p>
          <w:p w14:paraId="746D5B1D">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（3）废气处理设施风量可行性分析</w:t>
            </w:r>
          </w:p>
          <w:p w14:paraId="57C169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bCs/>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4"/>
                <w:highlight w:val="none"/>
                <w:lang w:val="en-US" w:eastAsia="zh-CN"/>
                <w14:textFill>
                  <w14:solidFill>
                    <w14:schemeClr w14:val="tx1"/>
                  </w14:solidFill>
                </w14:textFill>
              </w:rPr>
              <w:t>TA001：</w:t>
            </w:r>
          </w:p>
          <w:p w14:paraId="314089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bCs/>
                <w:color w:val="000000" w:themeColor="text1"/>
                <w:kern w:val="0"/>
                <w:sz w:val="24"/>
                <w:szCs w:val="22"/>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0"/>
                <w:sz w:val="24"/>
                <w:szCs w:val="22"/>
                <w:highlight w:val="none"/>
                <w:lang w:val="en-US" w:eastAsia="zh-CN" w:bidi="ar-SA"/>
                <w14:textFill>
                  <w14:solidFill>
                    <w14:schemeClr w14:val="tx1"/>
                  </w14:solidFill>
                </w14:textFill>
              </w:rPr>
              <w:t>根据《环境工程设计手册》中的有关公式，排气量Q（m</w:t>
            </w:r>
            <w:r>
              <w:rPr>
                <w:rFonts w:hint="default" w:ascii="Times New Roman" w:hAnsi="Times New Roman" w:eastAsia="宋体" w:cs="Times New Roman"/>
                <w:bCs/>
                <w:color w:val="000000" w:themeColor="text1"/>
                <w:kern w:val="0"/>
                <w:sz w:val="24"/>
                <w:szCs w:val="22"/>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Cs/>
                <w:color w:val="000000" w:themeColor="text1"/>
                <w:kern w:val="0"/>
                <w:sz w:val="24"/>
                <w:szCs w:val="22"/>
                <w:highlight w:val="none"/>
                <w:lang w:val="en-US" w:eastAsia="zh-CN" w:bidi="ar-SA"/>
                <w14:textFill>
                  <w14:solidFill>
                    <w14:schemeClr w14:val="tx1"/>
                  </w14:solidFill>
                </w14:textFill>
              </w:rPr>
              <w:t>/h）可通过下式计算：</w:t>
            </w:r>
          </w:p>
          <w:p w14:paraId="3BA9347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center"/>
              <w:textAlignment w:val="auto"/>
              <w:rPr>
                <w:rFonts w:hint="default" w:ascii="Times New Roman" w:hAnsi="Times New Roman" w:eastAsia="宋体" w:cs="Times New Roman"/>
                <w:bCs/>
                <w:color w:val="000000" w:themeColor="text1"/>
                <w:kern w:val="0"/>
                <w:sz w:val="24"/>
                <w:szCs w:val="22"/>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0"/>
                <w:sz w:val="24"/>
                <w:szCs w:val="22"/>
                <w:highlight w:val="none"/>
                <w:lang w:val="en-US" w:eastAsia="zh-CN" w:bidi="ar-SA"/>
                <w14:textFill>
                  <w14:solidFill>
                    <w14:schemeClr w14:val="tx1"/>
                  </w14:solidFill>
                </w14:textFill>
              </w:rPr>
              <w:t>Q=3600Fv</w:t>
            </w:r>
          </w:p>
          <w:p w14:paraId="42EC9F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bCs/>
                <w:color w:val="000000" w:themeColor="text1"/>
                <w:kern w:val="0"/>
                <w:sz w:val="24"/>
                <w:szCs w:val="22"/>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0"/>
                <w:sz w:val="24"/>
                <w:szCs w:val="22"/>
                <w:highlight w:val="none"/>
                <w:lang w:val="en-US" w:eastAsia="zh-CN" w:bidi="ar-SA"/>
                <w14:textFill>
                  <w14:solidFill>
                    <w14:schemeClr w14:val="tx1"/>
                  </w14:solidFill>
                </w14:textFill>
              </w:rPr>
              <w:t>式中：F—</w:t>
            </w:r>
            <w:r>
              <w:rPr>
                <w:rFonts w:hint="eastAsia"/>
                <w:bCs/>
                <w:color w:val="000000" w:themeColor="text1"/>
                <w:kern w:val="0"/>
                <w:sz w:val="24"/>
                <w:szCs w:val="22"/>
                <w:highlight w:val="none"/>
                <w14:textFill>
                  <w14:solidFill>
                    <w14:schemeClr w14:val="tx1"/>
                  </w14:solidFill>
                </w14:textFill>
              </w:rPr>
              <w:t>集气罩收集时为集气罩</w:t>
            </w:r>
            <w:r>
              <w:rPr>
                <w:rFonts w:hint="default"/>
                <w:bCs/>
                <w:color w:val="000000" w:themeColor="text1"/>
                <w:kern w:val="0"/>
                <w:sz w:val="24"/>
                <w:szCs w:val="22"/>
                <w:highlight w:val="none"/>
                <w14:textFill>
                  <w14:solidFill>
                    <w14:schemeClr w14:val="tx1"/>
                  </w14:solidFill>
                </w14:textFill>
              </w:rPr>
              <w:t>面积</w:t>
            </w:r>
            <w:r>
              <w:rPr>
                <w:rFonts w:hint="default" w:ascii="Times New Roman" w:hAnsi="Times New Roman" w:eastAsia="宋体" w:cs="Times New Roman"/>
                <w:bCs/>
                <w:color w:val="000000" w:themeColor="text1"/>
                <w:kern w:val="0"/>
                <w:sz w:val="24"/>
                <w:szCs w:val="22"/>
                <w:highlight w:val="none"/>
                <w:lang w:val="en-US" w:eastAsia="zh-CN" w:bidi="ar-SA"/>
                <w14:textFill>
                  <w14:solidFill>
                    <w14:schemeClr w14:val="tx1"/>
                  </w14:solidFill>
                </w14:textFill>
              </w:rPr>
              <w:t>m</w:t>
            </w:r>
            <w:r>
              <w:rPr>
                <w:rFonts w:hint="default" w:ascii="Times New Roman" w:hAnsi="Times New Roman" w:eastAsia="宋体" w:cs="Times New Roman"/>
                <w:bCs/>
                <w:color w:val="000000" w:themeColor="text1"/>
                <w:kern w:val="0"/>
                <w:sz w:val="24"/>
                <w:szCs w:val="22"/>
                <w:highlight w:val="none"/>
                <w:vertAlign w:val="superscript"/>
                <w:lang w:val="en-US" w:eastAsia="zh-CN" w:bidi="ar-SA"/>
                <w14:textFill>
                  <w14:solidFill>
                    <w14:schemeClr w14:val="tx1"/>
                  </w14:solidFill>
                </w14:textFill>
              </w:rPr>
              <w:t>2</w:t>
            </w:r>
            <w:r>
              <w:rPr>
                <w:rFonts w:hint="default" w:ascii="Times New Roman" w:hAnsi="Times New Roman" w:eastAsia="宋体" w:cs="Times New Roman"/>
                <w:bCs/>
                <w:color w:val="000000" w:themeColor="text1"/>
                <w:kern w:val="0"/>
                <w:sz w:val="24"/>
                <w:szCs w:val="22"/>
                <w:highlight w:val="none"/>
                <w:lang w:val="en-US" w:eastAsia="zh-CN" w:bidi="ar-SA"/>
                <w14:textFill>
                  <w14:solidFill>
                    <w14:schemeClr w14:val="tx1"/>
                  </w14:solidFill>
                </w14:textFill>
              </w:rPr>
              <w:t>；</w:t>
            </w:r>
          </w:p>
          <w:p w14:paraId="52FE9F76">
            <w:pPr>
              <w:pStyle w:val="2"/>
              <w:keepNext w:val="0"/>
              <w:keepLines w:val="0"/>
              <w:pageBreakBefore w:val="0"/>
              <w:suppressLineNumbers w:val="0"/>
              <w:kinsoku/>
              <w:wordWrap/>
              <w:overflowPunct/>
              <w:topLinePunct w:val="0"/>
              <w:autoSpaceDE/>
              <w:autoSpaceDN/>
              <w:bidi w:val="0"/>
              <w:snapToGrid w:val="0"/>
              <w:spacing w:beforeAutospacing="0" w:afterAutospacing="0" w:line="440" w:lineRule="exact"/>
              <w:ind w:left="0" w:firstLine="1200" w:firstLineChars="50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0"/>
                <w:sz w:val="24"/>
                <w:szCs w:val="22"/>
                <w:highlight w:val="none"/>
                <w:lang w:val="en-US" w:eastAsia="zh-CN" w:bidi="ar-SA"/>
                <w14:textFill>
                  <w14:solidFill>
                    <w14:schemeClr w14:val="tx1"/>
                  </w14:solidFill>
                </w14:textFill>
              </w:rPr>
              <w:t>v—</w:t>
            </w:r>
            <w:r>
              <w:rPr>
                <w:rFonts w:hint="eastAsia"/>
                <w:bCs/>
                <w:color w:val="000000" w:themeColor="text1"/>
                <w:sz w:val="24"/>
                <w:szCs w:val="22"/>
                <w:highlight w:val="none"/>
                <w14:textFill>
                  <w14:solidFill>
                    <w14:schemeClr w14:val="tx1"/>
                  </w14:solidFill>
                </w14:textFill>
              </w:rPr>
              <w:t>集气罩收集时为控制点风速</w:t>
            </w:r>
            <w:r>
              <w:rPr>
                <w:rFonts w:hint="default" w:ascii="Times New Roman" w:hAnsi="Times New Roman" w:eastAsia="宋体" w:cs="Times New Roman"/>
                <w:bCs/>
                <w:color w:val="000000" w:themeColor="text1"/>
                <w:kern w:val="0"/>
                <w:sz w:val="24"/>
                <w:szCs w:val="22"/>
                <w:highlight w:val="none"/>
                <w:lang w:val="en-US" w:eastAsia="zh-CN" w:bidi="ar-SA"/>
                <w14:textFill>
                  <w14:solidFill>
                    <w14:schemeClr w14:val="tx1"/>
                  </w14:solidFill>
                </w14:textFill>
              </w:rPr>
              <w:t>m/s</w:t>
            </w:r>
            <w:r>
              <w:rPr>
                <w:rFonts w:hint="eastAsia" w:cs="Times New Roman"/>
                <w:bCs/>
                <w:color w:val="000000" w:themeColor="text1"/>
                <w:kern w:val="0"/>
                <w:sz w:val="24"/>
                <w:szCs w:val="22"/>
                <w:highlight w:val="none"/>
                <w:lang w:val="en-US" w:eastAsia="zh-CN" w:bidi="ar-SA"/>
                <w14:textFill>
                  <w14:solidFill>
                    <w14:schemeClr w14:val="tx1"/>
                  </w14:solidFill>
                </w14:textFill>
              </w:rPr>
              <w:t>；</w:t>
            </w:r>
          </w:p>
          <w:p w14:paraId="30C35B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根据建设单位提供的相关资料，本项目风量计算公式见下表：</w:t>
            </w:r>
          </w:p>
          <w:p w14:paraId="41A96D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0" w:firstLineChars="0"/>
              <w:jc w:val="center"/>
              <w:textAlignment w:val="auto"/>
              <w:rPr>
                <w:rFonts w:hint="default" w:ascii="Times New Roman" w:hAnsi="Times New Roman" w:eastAsia="宋体" w:cs="Times New Roman"/>
                <w:b/>
                <w:color w:val="000000" w:themeColor="text1"/>
                <w:sz w:val="24"/>
                <w:highlight w:val="none"/>
                <w14:textFill>
                  <w14:solidFill>
                    <w14:schemeClr w14:val="tx1"/>
                  </w14:solidFill>
                </w14:textFill>
              </w:rPr>
            </w:pPr>
            <w:r>
              <w:rPr>
                <w:rFonts w:hint="default" w:ascii="Times New Roman" w:hAnsi="Times New Roman" w:eastAsia="宋体" w:cs="Times New Roman"/>
                <w:b/>
                <w:color w:val="000000" w:themeColor="text1"/>
                <w:sz w:val="24"/>
                <w:highlight w:val="none"/>
                <w14:textFill>
                  <w14:solidFill>
                    <w14:schemeClr w14:val="tx1"/>
                  </w14:solidFill>
                </w14:textFill>
              </w:rPr>
              <w:t>表4-</w:t>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t>8</w:t>
            </w:r>
            <w:r>
              <w:rPr>
                <w:rFonts w:hint="default" w:ascii="Times New Roman" w:hAnsi="Times New Roman" w:eastAsia="宋体" w:cs="Times New Roman"/>
                <w:b/>
                <w:color w:val="000000" w:themeColor="text1"/>
                <w:sz w:val="24"/>
                <w:highlight w:val="none"/>
                <w14:textFill>
                  <w14:solidFill>
                    <w14:schemeClr w14:val="tx1"/>
                  </w14:solidFill>
                </w14:textFill>
              </w:rPr>
              <w:t xml:space="preserve"> </w:t>
            </w:r>
            <w:r>
              <w:rPr>
                <w:rFonts w:hint="eastAsia" w:ascii="Times New Roman" w:hAnsi="Times New Roman" w:cs="Times New Roman"/>
                <w:b/>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t>TA001设备</w:t>
            </w:r>
            <w:r>
              <w:rPr>
                <w:rFonts w:hint="default" w:ascii="Times New Roman" w:hAnsi="Times New Roman" w:eastAsia="宋体" w:cs="Times New Roman"/>
                <w:b/>
                <w:color w:val="000000" w:themeColor="text1"/>
                <w:sz w:val="24"/>
                <w:highlight w:val="none"/>
                <w14:textFill>
                  <w14:solidFill>
                    <w14:schemeClr w14:val="tx1"/>
                  </w14:solidFill>
                </w14:textFill>
              </w:rPr>
              <w:t>风量计算一览表</w:t>
            </w:r>
          </w:p>
          <w:tbl>
            <w:tblPr>
              <w:tblStyle w:val="38"/>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53"/>
              <w:gridCol w:w="853"/>
              <w:gridCol w:w="803"/>
              <w:gridCol w:w="1021"/>
              <w:gridCol w:w="1051"/>
              <w:gridCol w:w="1060"/>
              <w:gridCol w:w="1141"/>
              <w:gridCol w:w="779"/>
            </w:tblGrid>
            <w:tr w14:paraId="58F100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40" w:type="pct"/>
                  <w:gridSpan w:val="2"/>
                  <w:noWrap w:val="0"/>
                  <w:vAlign w:val="center"/>
                </w:tcPr>
                <w:p w14:paraId="1EA2AD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设备</w:t>
                  </w:r>
                </w:p>
              </w:tc>
              <w:tc>
                <w:tcPr>
                  <w:tcW w:w="474" w:type="pct"/>
                  <w:noWrap w:val="0"/>
                  <w:vAlign w:val="center"/>
                </w:tcPr>
                <w:p w14:paraId="7B502A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数量（套）</w:t>
                  </w:r>
                </w:p>
              </w:tc>
              <w:tc>
                <w:tcPr>
                  <w:tcW w:w="603" w:type="pct"/>
                  <w:noWrap w:val="0"/>
                  <w:vAlign w:val="center"/>
                </w:tcPr>
                <w:p w14:paraId="583591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F（m</w:t>
                  </w:r>
                  <w:r>
                    <w:rPr>
                      <w:rFonts w:hint="default" w:ascii="Times New Roman" w:hAnsi="Times New Roman" w:eastAsia="宋体" w:cs="Times New Roman"/>
                      <w:b/>
                      <w:bCs/>
                      <w:color w:val="000000" w:themeColor="text1"/>
                      <w:kern w:val="2"/>
                      <w:sz w:val="21"/>
                      <w:szCs w:val="21"/>
                      <w:highlight w:val="none"/>
                      <w:vertAlign w:val="superscript"/>
                      <w:lang w:val="en-US" w:eastAsia="zh-CN" w:bidi="ar-SA"/>
                      <w14:textFill>
                        <w14:solidFill>
                          <w14:schemeClr w14:val="tx1"/>
                        </w14:solidFill>
                      </w14:textFill>
                    </w:rPr>
                    <w:t>2</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w:t>
                  </w:r>
                </w:p>
              </w:tc>
              <w:tc>
                <w:tcPr>
                  <w:tcW w:w="621" w:type="pct"/>
                  <w:noWrap w:val="0"/>
                  <w:vAlign w:val="center"/>
                </w:tcPr>
                <w:p w14:paraId="73A743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V（m/s）</w:t>
                  </w:r>
                </w:p>
              </w:tc>
              <w:tc>
                <w:tcPr>
                  <w:tcW w:w="626" w:type="pct"/>
                  <w:noWrap w:val="0"/>
                  <w:vAlign w:val="center"/>
                </w:tcPr>
                <w:p w14:paraId="07C641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理论风量（m</w:t>
                  </w:r>
                  <w:r>
                    <w:rPr>
                      <w:rFonts w:hint="default" w:ascii="Times New Roman" w:hAnsi="Times New Roman" w:eastAsia="宋体" w:cs="Times New Roman"/>
                      <w:b/>
                      <w:bCs/>
                      <w:color w:val="000000" w:themeColor="text1"/>
                      <w:kern w:val="2"/>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/h）</w:t>
                  </w:r>
                </w:p>
              </w:tc>
              <w:tc>
                <w:tcPr>
                  <w:tcW w:w="674" w:type="pct"/>
                  <w:noWrap w:val="0"/>
                  <w:vAlign w:val="center"/>
                </w:tcPr>
                <w:p w14:paraId="5FCABD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设计风量（m</w:t>
                  </w:r>
                  <w:r>
                    <w:rPr>
                      <w:rFonts w:hint="default" w:ascii="Times New Roman" w:hAnsi="Times New Roman" w:eastAsia="宋体" w:cs="Times New Roman"/>
                      <w:b/>
                      <w:bCs/>
                      <w:color w:val="000000" w:themeColor="text1"/>
                      <w:kern w:val="2"/>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/h）</w:t>
                  </w:r>
                </w:p>
              </w:tc>
              <w:tc>
                <w:tcPr>
                  <w:tcW w:w="460" w:type="pct"/>
                  <w:noWrap w:val="0"/>
                  <w:vAlign w:val="center"/>
                </w:tcPr>
                <w:p w14:paraId="1DCEE7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是否满足</w:t>
                  </w:r>
                </w:p>
              </w:tc>
            </w:tr>
            <w:tr w14:paraId="171506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35" w:type="pct"/>
                  <w:noWrap w:val="0"/>
                  <w:vAlign w:val="center"/>
                </w:tcPr>
                <w:p w14:paraId="62EC1E26">
                  <w:pPr>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油压机</w:t>
                  </w:r>
                </w:p>
              </w:tc>
              <w:tc>
                <w:tcPr>
                  <w:tcW w:w="504" w:type="pct"/>
                  <w:noWrap w:val="0"/>
                  <w:vAlign w:val="center"/>
                </w:tcPr>
                <w:p w14:paraId="52B7DAAB">
                  <w:pPr>
                    <w:pStyle w:val="34"/>
                    <w:keepNext w:val="0"/>
                    <w:keepLines w:val="0"/>
                    <w:widowControl/>
                    <w:suppressLineNumbers w:val="0"/>
                    <w:tabs>
                      <w:tab w:val="left" w:pos="0"/>
                    </w:tabs>
                    <w:adjustRightInd w:val="0"/>
                    <w:snapToGrid w:val="0"/>
                    <w:spacing w:before="0" w:beforeAutospacing="0" w:after="0" w:afterAutospacing="0" w:line="240" w:lineRule="exact"/>
                    <w:ind w:left="0" w:leftChars="0" w:right="0" w:rightChars="0" w:firstLine="0" w:firstLineChars="0"/>
                    <w:jc w:val="center"/>
                    <w:rPr>
                      <w:rFonts w:hint="default" w:ascii="Times New Roman" w:hAnsi="Times New Roman" w:eastAsia="宋体" w:cs="Times New Roman"/>
                      <w:snapToGrid/>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lang w:val="en-US" w:eastAsia="zh-CN" w:bidi="ar"/>
                      <w14:textFill>
                        <w14:solidFill>
                          <w14:schemeClr w14:val="tx1"/>
                        </w14:solidFill>
                      </w14:textFill>
                    </w:rPr>
                    <w:t>集气罩</w:t>
                  </w:r>
                </w:p>
              </w:tc>
              <w:tc>
                <w:tcPr>
                  <w:tcW w:w="474" w:type="pct"/>
                  <w:noWrap w:val="0"/>
                  <w:vAlign w:val="center"/>
                </w:tcPr>
                <w:p w14:paraId="10FFD071">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w:t>
                  </w:r>
                </w:p>
              </w:tc>
              <w:tc>
                <w:tcPr>
                  <w:tcW w:w="603" w:type="pct"/>
                  <w:noWrap w:val="0"/>
                  <w:vAlign w:val="center"/>
                </w:tcPr>
                <w:p w14:paraId="3B04571A">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w:t>
                  </w:r>
                </w:p>
              </w:tc>
              <w:tc>
                <w:tcPr>
                  <w:tcW w:w="621" w:type="pct"/>
                  <w:noWrap w:val="0"/>
                  <w:vAlign w:val="center"/>
                </w:tcPr>
                <w:p w14:paraId="41676DF1">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0.6</w:t>
                  </w:r>
                </w:p>
              </w:tc>
              <w:tc>
                <w:tcPr>
                  <w:tcW w:w="626" w:type="pct"/>
                  <w:noWrap w:val="0"/>
                  <w:vAlign w:val="center"/>
                </w:tcPr>
                <w:p w14:paraId="69D0E14D">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2592</w:t>
                  </w:r>
                </w:p>
              </w:tc>
              <w:tc>
                <w:tcPr>
                  <w:tcW w:w="674" w:type="pct"/>
                  <w:noWrap w:val="0"/>
                  <w:vAlign w:val="center"/>
                </w:tcPr>
                <w:p w14:paraId="290FA5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3</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000</w:t>
                  </w:r>
                </w:p>
              </w:tc>
              <w:tc>
                <w:tcPr>
                  <w:tcW w:w="460" w:type="pct"/>
                  <w:noWrap w:val="0"/>
                  <w:vAlign w:val="center"/>
                </w:tcPr>
                <w:p w14:paraId="6C1942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是</w:t>
                  </w:r>
                </w:p>
              </w:tc>
            </w:tr>
          </w:tbl>
          <w:p w14:paraId="50644EA1">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本项目TA001设备风量为</w:t>
            </w:r>
            <w:r>
              <w:rPr>
                <w:rFonts w:hint="eastAsia" w:cs="Times New Roman"/>
                <w:color w:val="000000" w:themeColor="text1"/>
                <w:kern w:val="0"/>
                <w:sz w:val="24"/>
                <w:szCs w:val="20"/>
                <w:highlight w:val="none"/>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000m</w:t>
            </w:r>
            <w:r>
              <w:rPr>
                <w:rFonts w:hint="default" w:ascii="Times New Roman" w:hAnsi="Times New Roman" w:eastAsia="宋体" w:cs="Times New Roman"/>
                <w:color w:val="000000" w:themeColor="text1"/>
                <w:kern w:val="0"/>
                <w:sz w:val="24"/>
                <w:szCs w:val="20"/>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/h，能确保废气的有效收集</w:t>
            </w:r>
            <w:r>
              <w:rPr>
                <w:color w:val="000000" w:themeColor="text1"/>
                <w:sz w:val="24"/>
                <w:highlight w:val="none"/>
                <w14:textFill>
                  <w14:solidFill>
                    <w14:schemeClr w14:val="tx1"/>
                  </w14:solidFill>
                </w14:textFill>
              </w:rPr>
              <w:t>。</w:t>
            </w:r>
          </w:p>
          <w:p w14:paraId="11EF95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bCs/>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4"/>
                <w:highlight w:val="none"/>
                <w:lang w:val="en-US" w:eastAsia="zh-CN"/>
                <w14:textFill>
                  <w14:solidFill>
                    <w14:schemeClr w14:val="tx1"/>
                  </w14:solidFill>
                </w14:textFill>
              </w:rPr>
              <w:t>TA00</w:t>
            </w:r>
            <w:r>
              <w:rPr>
                <w:rFonts w:hint="eastAsia" w:cs="Times New Roman"/>
                <w:bCs/>
                <w:color w:val="000000" w:themeColor="text1"/>
                <w:sz w:val="24"/>
                <w:highlight w:val="none"/>
                <w:lang w:val="en-US" w:eastAsia="zh-CN"/>
                <w14:textFill>
                  <w14:solidFill>
                    <w14:schemeClr w14:val="tx1"/>
                  </w14:solidFill>
                </w14:textFill>
              </w:rPr>
              <w:t>2</w:t>
            </w:r>
            <w:r>
              <w:rPr>
                <w:rFonts w:hint="default" w:ascii="Times New Roman" w:hAnsi="Times New Roman" w:eastAsia="宋体" w:cs="Times New Roman"/>
                <w:bCs/>
                <w:color w:val="000000" w:themeColor="text1"/>
                <w:sz w:val="24"/>
                <w:highlight w:val="none"/>
                <w:lang w:val="en-US" w:eastAsia="zh-CN"/>
                <w14:textFill>
                  <w14:solidFill>
                    <w14:schemeClr w14:val="tx1"/>
                  </w14:solidFill>
                </w14:textFill>
              </w:rPr>
              <w:t>：</w:t>
            </w:r>
          </w:p>
          <w:p w14:paraId="157544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bCs/>
                <w:color w:val="000000" w:themeColor="text1"/>
                <w:kern w:val="0"/>
                <w:sz w:val="24"/>
                <w:szCs w:val="22"/>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0"/>
                <w:sz w:val="24"/>
                <w:szCs w:val="22"/>
                <w:highlight w:val="none"/>
                <w:lang w:val="en-US" w:eastAsia="zh-CN" w:bidi="ar-SA"/>
                <w14:textFill>
                  <w14:solidFill>
                    <w14:schemeClr w14:val="tx1"/>
                  </w14:solidFill>
                </w14:textFill>
              </w:rPr>
              <w:t>根据《环境工程设计手册》中的有关公式，排气量Q（m</w:t>
            </w:r>
            <w:r>
              <w:rPr>
                <w:rFonts w:hint="default" w:ascii="Times New Roman" w:hAnsi="Times New Roman" w:eastAsia="宋体" w:cs="Times New Roman"/>
                <w:bCs/>
                <w:color w:val="000000" w:themeColor="text1"/>
                <w:kern w:val="0"/>
                <w:sz w:val="24"/>
                <w:szCs w:val="22"/>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Cs/>
                <w:color w:val="000000" w:themeColor="text1"/>
                <w:kern w:val="0"/>
                <w:sz w:val="24"/>
                <w:szCs w:val="22"/>
                <w:highlight w:val="none"/>
                <w:lang w:val="en-US" w:eastAsia="zh-CN" w:bidi="ar-SA"/>
                <w14:textFill>
                  <w14:solidFill>
                    <w14:schemeClr w14:val="tx1"/>
                  </w14:solidFill>
                </w14:textFill>
              </w:rPr>
              <w:t>/h）可通过下式计算：</w:t>
            </w:r>
          </w:p>
          <w:p w14:paraId="2DCE693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center"/>
              <w:textAlignment w:val="auto"/>
              <w:rPr>
                <w:rFonts w:hint="default" w:ascii="Times New Roman" w:hAnsi="Times New Roman" w:eastAsia="宋体" w:cs="Times New Roman"/>
                <w:bCs/>
                <w:color w:val="000000" w:themeColor="text1"/>
                <w:kern w:val="0"/>
                <w:sz w:val="24"/>
                <w:szCs w:val="22"/>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0"/>
                <w:sz w:val="24"/>
                <w:szCs w:val="22"/>
                <w:highlight w:val="none"/>
                <w:lang w:val="en-US" w:eastAsia="zh-CN" w:bidi="ar-SA"/>
                <w14:textFill>
                  <w14:solidFill>
                    <w14:schemeClr w14:val="tx1"/>
                  </w14:solidFill>
                </w14:textFill>
              </w:rPr>
              <w:t>Q=3600Fv</w:t>
            </w:r>
          </w:p>
          <w:p w14:paraId="04DDE4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bCs/>
                <w:color w:val="000000" w:themeColor="text1"/>
                <w:kern w:val="0"/>
                <w:sz w:val="24"/>
                <w:szCs w:val="22"/>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0"/>
                <w:sz w:val="24"/>
                <w:szCs w:val="22"/>
                <w:highlight w:val="none"/>
                <w:lang w:val="en-US" w:eastAsia="zh-CN" w:bidi="ar-SA"/>
                <w14:textFill>
                  <w14:solidFill>
                    <w14:schemeClr w14:val="tx1"/>
                  </w14:solidFill>
                </w14:textFill>
              </w:rPr>
              <w:t>式中：F—</w:t>
            </w:r>
            <w:r>
              <w:rPr>
                <w:rFonts w:hint="eastAsia"/>
                <w:bCs/>
                <w:color w:val="000000" w:themeColor="text1"/>
                <w:kern w:val="0"/>
                <w:sz w:val="24"/>
                <w:szCs w:val="22"/>
                <w:highlight w:val="none"/>
                <w14:textFill>
                  <w14:solidFill>
                    <w14:schemeClr w14:val="tx1"/>
                  </w14:solidFill>
                </w14:textFill>
              </w:rPr>
              <w:t>集气罩收集时为集气罩</w:t>
            </w:r>
            <w:r>
              <w:rPr>
                <w:rFonts w:hint="default"/>
                <w:bCs/>
                <w:color w:val="000000" w:themeColor="text1"/>
                <w:kern w:val="0"/>
                <w:sz w:val="24"/>
                <w:szCs w:val="22"/>
                <w:highlight w:val="none"/>
                <w14:textFill>
                  <w14:solidFill>
                    <w14:schemeClr w14:val="tx1"/>
                  </w14:solidFill>
                </w14:textFill>
              </w:rPr>
              <w:t>面积</w:t>
            </w:r>
            <w:r>
              <w:rPr>
                <w:rFonts w:hint="default" w:ascii="Times New Roman" w:hAnsi="Times New Roman" w:eastAsia="宋体" w:cs="Times New Roman"/>
                <w:bCs/>
                <w:color w:val="000000" w:themeColor="text1"/>
                <w:kern w:val="0"/>
                <w:sz w:val="24"/>
                <w:szCs w:val="22"/>
                <w:highlight w:val="none"/>
                <w:lang w:val="en-US" w:eastAsia="zh-CN" w:bidi="ar-SA"/>
                <w14:textFill>
                  <w14:solidFill>
                    <w14:schemeClr w14:val="tx1"/>
                  </w14:solidFill>
                </w14:textFill>
              </w:rPr>
              <w:t>m</w:t>
            </w:r>
            <w:r>
              <w:rPr>
                <w:rFonts w:hint="default" w:ascii="Times New Roman" w:hAnsi="Times New Roman" w:eastAsia="宋体" w:cs="Times New Roman"/>
                <w:bCs/>
                <w:color w:val="000000" w:themeColor="text1"/>
                <w:kern w:val="0"/>
                <w:sz w:val="24"/>
                <w:szCs w:val="22"/>
                <w:highlight w:val="none"/>
                <w:vertAlign w:val="superscript"/>
                <w:lang w:val="en-US" w:eastAsia="zh-CN" w:bidi="ar-SA"/>
                <w14:textFill>
                  <w14:solidFill>
                    <w14:schemeClr w14:val="tx1"/>
                  </w14:solidFill>
                </w14:textFill>
              </w:rPr>
              <w:t>2</w:t>
            </w:r>
            <w:r>
              <w:rPr>
                <w:rFonts w:hint="default" w:ascii="Times New Roman" w:hAnsi="Times New Roman" w:eastAsia="宋体" w:cs="Times New Roman"/>
                <w:bCs/>
                <w:color w:val="000000" w:themeColor="text1"/>
                <w:kern w:val="0"/>
                <w:sz w:val="24"/>
                <w:szCs w:val="22"/>
                <w:highlight w:val="none"/>
                <w:lang w:val="en-US" w:eastAsia="zh-CN" w:bidi="ar-SA"/>
                <w14:textFill>
                  <w14:solidFill>
                    <w14:schemeClr w14:val="tx1"/>
                  </w14:solidFill>
                </w14:textFill>
              </w:rPr>
              <w:t>；</w:t>
            </w:r>
          </w:p>
          <w:p w14:paraId="1775B4E5">
            <w:pPr>
              <w:pStyle w:val="2"/>
              <w:keepNext w:val="0"/>
              <w:keepLines w:val="0"/>
              <w:pageBreakBefore w:val="0"/>
              <w:suppressLineNumbers w:val="0"/>
              <w:kinsoku/>
              <w:wordWrap/>
              <w:overflowPunct/>
              <w:topLinePunct w:val="0"/>
              <w:autoSpaceDE/>
              <w:autoSpaceDN/>
              <w:bidi w:val="0"/>
              <w:snapToGrid w:val="0"/>
              <w:spacing w:beforeAutospacing="0" w:afterAutospacing="0" w:line="440" w:lineRule="exact"/>
              <w:ind w:left="0" w:firstLine="1200" w:firstLineChars="50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0"/>
                <w:sz w:val="24"/>
                <w:szCs w:val="22"/>
                <w:highlight w:val="none"/>
                <w:lang w:val="en-US" w:eastAsia="zh-CN" w:bidi="ar-SA"/>
                <w14:textFill>
                  <w14:solidFill>
                    <w14:schemeClr w14:val="tx1"/>
                  </w14:solidFill>
                </w14:textFill>
              </w:rPr>
              <w:t>v—</w:t>
            </w:r>
            <w:r>
              <w:rPr>
                <w:rFonts w:hint="eastAsia"/>
                <w:bCs/>
                <w:color w:val="000000" w:themeColor="text1"/>
                <w:sz w:val="24"/>
                <w:szCs w:val="22"/>
                <w:highlight w:val="none"/>
                <w14:textFill>
                  <w14:solidFill>
                    <w14:schemeClr w14:val="tx1"/>
                  </w14:solidFill>
                </w14:textFill>
              </w:rPr>
              <w:t>集气罩收集时为控制点风速</w:t>
            </w:r>
            <w:r>
              <w:rPr>
                <w:rFonts w:hint="default" w:ascii="Times New Roman" w:hAnsi="Times New Roman" w:eastAsia="宋体" w:cs="Times New Roman"/>
                <w:bCs/>
                <w:color w:val="000000" w:themeColor="text1"/>
                <w:kern w:val="0"/>
                <w:sz w:val="24"/>
                <w:szCs w:val="22"/>
                <w:highlight w:val="none"/>
                <w:lang w:val="en-US" w:eastAsia="zh-CN" w:bidi="ar-SA"/>
                <w14:textFill>
                  <w14:solidFill>
                    <w14:schemeClr w14:val="tx1"/>
                  </w14:solidFill>
                </w14:textFill>
              </w:rPr>
              <w:t>m/s</w:t>
            </w:r>
            <w:r>
              <w:rPr>
                <w:rFonts w:hint="eastAsia" w:cs="Times New Roman"/>
                <w:bCs/>
                <w:color w:val="000000" w:themeColor="text1"/>
                <w:kern w:val="0"/>
                <w:sz w:val="24"/>
                <w:szCs w:val="22"/>
                <w:highlight w:val="none"/>
                <w:lang w:val="en-US" w:eastAsia="zh-CN" w:bidi="ar-SA"/>
                <w14:textFill>
                  <w14:solidFill>
                    <w14:schemeClr w14:val="tx1"/>
                  </w14:solidFill>
                </w14:textFill>
              </w:rPr>
              <w:t>；</w:t>
            </w:r>
          </w:p>
          <w:p w14:paraId="3926E6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根据建设单位提供的相关资料，本项目风量计算公式见下表：</w:t>
            </w:r>
          </w:p>
          <w:p w14:paraId="1D9C749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0" w:firstLineChars="0"/>
              <w:jc w:val="center"/>
              <w:textAlignment w:val="auto"/>
              <w:rPr>
                <w:rFonts w:hint="default" w:ascii="Times New Roman" w:hAnsi="Times New Roman" w:eastAsia="宋体" w:cs="Times New Roman"/>
                <w:b/>
                <w:color w:val="000000" w:themeColor="text1"/>
                <w:sz w:val="24"/>
                <w:highlight w:val="none"/>
                <w14:textFill>
                  <w14:solidFill>
                    <w14:schemeClr w14:val="tx1"/>
                  </w14:solidFill>
                </w14:textFill>
              </w:rPr>
            </w:pPr>
            <w:r>
              <w:rPr>
                <w:rFonts w:hint="default" w:ascii="Times New Roman" w:hAnsi="Times New Roman" w:eastAsia="宋体" w:cs="Times New Roman"/>
                <w:b/>
                <w:color w:val="000000" w:themeColor="text1"/>
                <w:sz w:val="24"/>
                <w:highlight w:val="none"/>
                <w14:textFill>
                  <w14:solidFill>
                    <w14:schemeClr w14:val="tx1"/>
                  </w14:solidFill>
                </w14:textFill>
              </w:rPr>
              <w:t>表4-</w:t>
            </w:r>
            <w:r>
              <w:rPr>
                <w:rFonts w:hint="eastAsia" w:cs="Times New Roman"/>
                <w:b/>
                <w:color w:val="000000" w:themeColor="text1"/>
                <w:sz w:val="24"/>
                <w:highlight w:val="none"/>
                <w:lang w:val="en-US" w:eastAsia="zh-CN"/>
                <w14:textFill>
                  <w14:solidFill>
                    <w14:schemeClr w14:val="tx1"/>
                  </w14:solidFill>
                </w14:textFill>
              </w:rPr>
              <w:t>9</w:t>
            </w:r>
            <w:r>
              <w:rPr>
                <w:rFonts w:hint="default" w:ascii="Times New Roman" w:hAnsi="Times New Roman" w:eastAsia="宋体" w:cs="Times New Roman"/>
                <w:b/>
                <w:color w:val="000000" w:themeColor="text1"/>
                <w:sz w:val="24"/>
                <w:highlight w:val="none"/>
                <w14:textFill>
                  <w14:solidFill>
                    <w14:schemeClr w14:val="tx1"/>
                  </w14:solidFill>
                </w14:textFill>
              </w:rPr>
              <w:t xml:space="preserve"> </w:t>
            </w:r>
            <w:r>
              <w:rPr>
                <w:rFonts w:hint="eastAsia" w:ascii="Times New Roman" w:hAnsi="Times New Roman" w:cs="Times New Roman"/>
                <w:b/>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t>TA001设备</w:t>
            </w:r>
            <w:r>
              <w:rPr>
                <w:rFonts w:hint="default" w:ascii="Times New Roman" w:hAnsi="Times New Roman" w:eastAsia="宋体" w:cs="Times New Roman"/>
                <w:b/>
                <w:color w:val="000000" w:themeColor="text1"/>
                <w:sz w:val="24"/>
                <w:highlight w:val="none"/>
                <w14:textFill>
                  <w14:solidFill>
                    <w14:schemeClr w14:val="tx1"/>
                  </w14:solidFill>
                </w14:textFill>
              </w:rPr>
              <w:t>风量计算一览表</w:t>
            </w:r>
          </w:p>
          <w:tbl>
            <w:tblPr>
              <w:tblStyle w:val="38"/>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53"/>
              <w:gridCol w:w="853"/>
              <w:gridCol w:w="803"/>
              <w:gridCol w:w="1021"/>
              <w:gridCol w:w="1051"/>
              <w:gridCol w:w="1060"/>
              <w:gridCol w:w="1141"/>
              <w:gridCol w:w="779"/>
            </w:tblGrid>
            <w:tr w14:paraId="78C5C3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40" w:type="pct"/>
                  <w:gridSpan w:val="2"/>
                  <w:noWrap w:val="0"/>
                  <w:vAlign w:val="center"/>
                </w:tcPr>
                <w:p w14:paraId="269F25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设备</w:t>
                  </w:r>
                </w:p>
              </w:tc>
              <w:tc>
                <w:tcPr>
                  <w:tcW w:w="474" w:type="pct"/>
                  <w:noWrap w:val="0"/>
                  <w:vAlign w:val="center"/>
                </w:tcPr>
                <w:p w14:paraId="3F8A62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数量（套）</w:t>
                  </w:r>
                </w:p>
              </w:tc>
              <w:tc>
                <w:tcPr>
                  <w:tcW w:w="603" w:type="pct"/>
                  <w:noWrap w:val="0"/>
                  <w:vAlign w:val="center"/>
                </w:tcPr>
                <w:p w14:paraId="6CD731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F（m</w:t>
                  </w:r>
                  <w:r>
                    <w:rPr>
                      <w:rFonts w:hint="default" w:ascii="Times New Roman" w:hAnsi="Times New Roman" w:eastAsia="宋体" w:cs="Times New Roman"/>
                      <w:b/>
                      <w:bCs/>
                      <w:color w:val="000000" w:themeColor="text1"/>
                      <w:kern w:val="2"/>
                      <w:sz w:val="21"/>
                      <w:szCs w:val="21"/>
                      <w:highlight w:val="none"/>
                      <w:vertAlign w:val="superscript"/>
                      <w:lang w:val="en-US" w:eastAsia="zh-CN" w:bidi="ar-SA"/>
                      <w14:textFill>
                        <w14:solidFill>
                          <w14:schemeClr w14:val="tx1"/>
                        </w14:solidFill>
                      </w14:textFill>
                    </w:rPr>
                    <w:t>2</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w:t>
                  </w:r>
                </w:p>
              </w:tc>
              <w:tc>
                <w:tcPr>
                  <w:tcW w:w="621" w:type="pct"/>
                  <w:noWrap w:val="0"/>
                  <w:vAlign w:val="center"/>
                </w:tcPr>
                <w:p w14:paraId="53A552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V（m/s）</w:t>
                  </w:r>
                </w:p>
              </w:tc>
              <w:tc>
                <w:tcPr>
                  <w:tcW w:w="626" w:type="pct"/>
                  <w:noWrap w:val="0"/>
                  <w:vAlign w:val="center"/>
                </w:tcPr>
                <w:p w14:paraId="76AEC5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理论风量（m</w:t>
                  </w:r>
                  <w:r>
                    <w:rPr>
                      <w:rFonts w:hint="default" w:ascii="Times New Roman" w:hAnsi="Times New Roman" w:eastAsia="宋体" w:cs="Times New Roman"/>
                      <w:b/>
                      <w:bCs/>
                      <w:color w:val="000000" w:themeColor="text1"/>
                      <w:kern w:val="2"/>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/h）</w:t>
                  </w:r>
                </w:p>
              </w:tc>
              <w:tc>
                <w:tcPr>
                  <w:tcW w:w="674" w:type="pct"/>
                  <w:noWrap w:val="0"/>
                  <w:vAlign w:val="center"/>
                </w:tcPr>
                <w:p w14:paraId="575AFFA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设计风量（m</w:t>
                  </w:r>
                  <w:r>
                    <w:rPr>
                      <w:rFonts w:hint="default" w:ascii="Times New Roman" w:hAnsi="Times New Roman" w:eastAsia="宋体" w:cs="Times New Roman"/>
                      <w:b/>
                      <w:bCs/>
                      <w:color w:val="000000" w:themeColor="text1"/>
                      <w:kern w:val="2"/>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/h）</w:t>
                  </w:r>
                </w:p>
              </w:tc>
              <w:tc>
                <w:tcPr>
                  <w:tcW w:w="460" w:type="pct"/>
                  <w:noWrap w:val="0"/>
                  <w:vAlign w:val="center"/>
                </w:tcPr>
                <w:p w14:paraId="0782A3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是否满足</w:t>
                  </w:r>
                </w:p>
              </w:tc>
            </w:tr>
            <w:tr w14:paraId="55CEEC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35" w:type="pct"/>
                  <w:noWrap w:val="0"/>
                  <w:vAlign w:val="center"/>
                </w:tcPr>
                <w:p w14:paraId="510C0515">
                  <w:pPr>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塑料注射成型机</w:t>
                  </w:r>
                </w:p>
              </w:tc>
              <w:tc>
                <w:tcPr>
                  <w:tcW w:w="504" w:type="pct"/>
                  <w:noWrap w:val="0"/>
                  <w:vAlign w:val="center"/>
                </w:tcPr>
                <w:p w14:paraId="7DD2D4E2">
                  <w:pPr>
                    <w:pStyle w:val="34"/>
                    <w:keepNext w:val="0"/>
                    <w:keepLines w:val="0"/>
                    <w:widowControl/>
                    <w:suppressLineNumbers w:val="0"/>
                    <w:tabs>
                      <w:tab w:val="left" w:pos="0"/>
                    </w:tabs>
                    <w:adjustRightInd w:val="0"/>
                    <w:snapToGrid w:val="0"/>
                    <w:spacing w:before="0" w:beforeAutospacing="0" w:after="0" w:afterAutospacing="0" w:line="240" w:lineRule="exact"/>
                    <w:ind w:left="0" w:leftChars="0" w:right="0" w:rightChars="0" w:firstLine="0" w:firstLineChars="0"/>
                    <w:jc w:val="center"/>
                    <w:rPr>
                      <w:rFonts w:hint="default" w:ascii="Times New Roman" w:hAnsi="Times New Roman" w:eastAsia="宋体" w:cs="Times New Roman"/>
                      <w:snapToGrid/>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lang w:val="en-US" w:eastAsia="zh-CN" w:bidi="ar"/>
                      <w14:textFill>
                        <w14:solidFill>
                          <w14:schemeClr w14:val="tx1"/>
                        </w14:solidFill>
                      </w14:textFill>
                    </w:rPr>
                    <w:t>集气罩</w:t>
                  </w:r>
                </w:p>
              </w:tc>
              <w:tc>
                <w:tcPr>
                  <w:tcW w:w="474" w:type="pct"/>
                  <w:noWrap w:val="0"/>
                  <w:vAlign w:val="center"/>
                </w:tcPr>
                <w:p w14:paraId="6993FD48">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w:t>
                  </w:r>
                </w:p>
              </w:tc>
              <w:tc>
                <w:tcPr>
                  <w:tcW w:w="603" w:type="pct"/>
                  <w:noWrap w:val="0"/>
                  <w:vAlign w:val="center"/>
                </w:tcPr>
                <w:p w14:paraId="773AA3EA">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w:t>
                  </w:r>
                </w:p>
              </w:tc>
              <w:tc>
                <w:tcPr>
                  <w:tcW w:w="621" w:type="pct"/>
                  <w:noWrap w:val="0"/>
                  <w:vAlign w:val="center"/>
                </w:tcPr>
                <w:p w14:paraId="2D10358E">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0.6</w:t>
                  </w:r>
                </w:p>
              </w:tc>
              <w:tc>
                <w:tcPr>
                  <w:tcW w:w="626" w:type="pct"/>
                  <w:noWrap w:val="0"/>
                  <w:vAlign w:val="center"/>
                </w:tcPr>
                <w:p w14:paraId="44899DA6">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3456</w:t>
                  </w:r>
                </w:p>
              </w:tc>
              <w:tc>
                <w:tcPr>
                  <w:tcW w:w="674" w:type="pct"/>
                  <w:noWrap w:val="0"/>
                  <w:vAlign w:val="center"/>
                </w:tcPr>
                <w:p w14:paraId="2E27B1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4</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000</w:t>
                  </w:r>
                </w:p>
              </w:tc>
              <w:tc>
                <w:tcPr>
                  <w:tcW w:w="460" w:type="pct"/>
                  <w:noWrap w:val="0"/>
                  <w:vAlign w:val="center"/>
                </w:tcPr>
                <w:p w14:paraId="54E906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是</w:t>
                  </w:r>
                </w:p>
              </w:tc>
            </w:tr>
          </w:tbl>
          <w:p w14:paraId="7B2BBBE2">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本项目TA00</w:t>
            </w:r>
            <w:r>
              <w:rPr>
                <w:rFonts w:hint="eastAsia" w:cs="Times New Roman"/>
                <w:color w:val="000000" w:themeColor="text1"/>
                <w:kern w:val="0"/>
                <w:sz w:val="24"/>
                <w:szCs w:val="20"/>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设备风量为</w:t>
            </w:r>
            <w:r>
              <w:rPr>
                <w:rFonts w:hint="eastAsia" w:cs="Times New Roman"/>
                <w:color w:val="000000" w:themeColor="text1"/>
                <w:kern w:val="0"/>
                <w:sz w:val="24"/>
                <w:szCs w:val="20"/>
                <w:highlight w:val="none"/>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000m</w:t>
            </w:r>
            <w:r>
              <w:rPr>
                <w:rFonts w:hint="default" w:ascii="Times New Roman" w:hAnsi="Times New Roman" w:eastAsia="宋体" w:cs="Times New Roman"/>
                <w:color w:val="000000" w:themeColor="text1"/>
                <w:kern w:val="0"/>
                <w:sz w:val="24"/>
                <w:szCs w:val="20"/>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/h，能确保废气的有效收集</w:t>
            </w:r>
            <w:r>
              <w:rPr>
                <w:color w:val="000000" w:themeColor="text1"/>
                <w:sz w:val="24"/>
                <w:highlight w:val="none"/>
                <w14:textFill>
                  <w14:solidFill>
                    <w14:schemeClr w14:val="tx1"/>
                  </w14:solidFill>
                </w14:textFill>
              </w:rPr>
              <w:t>。</w:t>
            </w:r>
          </w:p>
          <w:p w14:paraId="71709FE2">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（4）废气处理装置工作原</w:t>
            </w:r>
            <w:bookmarkStart w:id="9" w:name="OLE_LINK22"/>
            <w:r>
              <w:rPr>
                <w:color w:val="000000" w:themeColor="text1"/>
                <w:sz w:val="24"/>
                <w:highlight w:val="none"/>
                <w14:textFill>
                  <w14:solidFill>
                    <w14:schemeClr w14:val="tx1"/>
                  </w14:solidFill>
                </w14:textFill>
              </w:rPr>
              <w:t>理</w:t>
            </w:r>
            <w:bookmarkEnd w:id="9"/>
          </w:p>
          <w:p w14:paraId="2471D908">
            <w:pPr>
              <w:adjustRightInd w:val="0"/>
              <w:snapToGrid w:val="0"/>
              <w:spacing w:line="440" w:lineRule="exact"/>
              <w:ind w:firstLine="482" w:firstLineChars="200"/>
              <w:rPr>
                <w:rFonts w:hint="default" w:ascii="Times New Roman" w:hAnsi="Times New Roman" w:cs="Times New Roman"/>
                <w:color w:val="000000" w:themeColor="text1"/>
                <w:sz w:val="24"/>
                <w:highlight w:val="none"/>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过滤棉</w:t>
            </w:r>
            <w:r>
              <w:rPr>
                <w:rFonts w:hint="default" w:ascii="Times New Roman" w:hAnsi="Times New Roman" w:cs="Times New Roman"/>
                <w:b/>
                <w:bCs/>
                <w:color w:val="000000" w:themeColor="text1"/>
                <w:sz w:val="24"/>
                <w:highlight w:val="none"/>
                <w14:textFill>
                  <w14:solidFill>
                    <w14:schemeClr w14:val="tx1"/>
                  </w14:solidFill>
                </w14:textFill>
              </w:rPr>
              <w:t>原理：</w:t>
            </w:r>
            <w:r>
              <w:rPr>
                <w:rFonts w:hint="default" w:ascii="Times New Roman" w:hAnsi="Times New Roman" w:cs="Times New Roman"/>
                <w:color w:val="000000" w:themeColor="text1"/>
                <w:sz w:val="24"/>
                <w:highlight w:val="none"/>
                <w14:textFill>
                  <w14:solidFill>
                    <w14:schemeClr w14:val="tx1"/>
                  </w14:solidFill>
                </w14:textFill>
              </w:rPr>
              <w:t>依赖材料的纤维结构、孔径分布及表面特性。当流体（气体或液体）通过过滤棉时，颗粒物因惯性碰撞、直接拦截或布朗扩散作用被截留在纤维表面或内部孔隙中。其材料通常选用聚酯纤维、玻璃纤维或复合纤维，通过三维立体网状结构，既能保证高孔隙率以降低阻力，又能通过细化纤维直径提升拦截效率。</w:t>
            </w:r>
            <w:r>
              <w:rPr>
                <w:rFonts w:hint="eastAsia" w:cs="Times New Roman"/>
                <w:color w:val="000000" w:themeColor="text1"/>
                <w:sz w:val="24"/>
                <w:highlight w:val="none"/>
                <w:lang w:val="en-US" w:eastAsia="zh-CN"/>
                <w14:textFill>
                  <w14:solidFill>
                    <w14:schemeClr w14:val="tx1"/>
                  </w14:solidFill>
                </w14:textFill>
              </w:rPr>
              <w:t>本项目</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颗粒物</w:t>
            </w:r>
            <w:r>
              <w:rPr>
                <w:rFonts w:hint="default" w:ascii="Times New Roman" w:hAnsi="Times New Roman" w:cs="Times New Roman"/>
                <w:b w:val="0"/>
                <w:bCs w:val="0"/>
                <w:color w:val="000000" w:themeColor="text1"/>
                <w:sz w:val="24"/>
                <w:highlight w:val="none"/>
                <w14:textFill>
                  <w14:solidFill>
                    <w14:schemeClr w14:val="tx1"/>
                  </w14:solidFill>
                </w14:textFill>
              </w:rPr>
              <w:t>处理效率</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为90</w:t>
            </w:r>
            <w:r>
              <w:rPr>
                <w:rFonts w:hint="default" w:ascii="Times New Roman" w:hAnsi="Times New Roman" w:cs="Times New Roman"/>
                <w:b w:val="0"/>
                <w:bCs w:val="0"/>
                <w:color w:val="000000" w:themeColor="text1"/>
                <w:sz w:val="24"/>
                <w:highlight w:val="none"/>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w:t>
            </w:r>
          </w:p>
          <w:p w14:paraId="58255EEB">
            <w:pPr>
              <w:adjustRightInd w:val="0"/>
              <w:snapToGrid w:val="0"/>
              <w:spacing w:line="440" w:lineRule="exact"/>
              <w:ind w:firstLine="482" w:firstLineChars="200"/>
              <w:rPr>
                <w:rFonts w:hint="default" w:ascii="Times New Roman" w:hAnsi="Times New Roman" w:cs="Times New Roman"/>
                <w:b w:val="0"/>
                <w:bCs w:val="0"/>
                <w:color w:val="000000" w:themeColor="text1"/>
                <w:sz w:val="24"/>
                <w:highlight w:val="none"/>
                <w14:textFill>
                  <w14:solidFill>
                    <w14:schemeClr w14:val="tx1"/>
                  </w14:solidFill>
                </w14:textFill>
              </w:rPr>
            </w:pPr>
            <w:r>
              <w:rPr>
                <w:rFonts w:hint="default" w:ascii="Times New Roman" w:hAnsi="Times New Roman" w:cs="Times New Roman"/>
                <w:b/>
                <w:bCs/>
                <w:color w:val="000000" w:themeColor="text1"/>
                <w:sz w:val="24"/>
                <w:highlight w:val="none"/>
                <w14:textFill>
                  <w14:solidFill>
                    <w14:schemeClr w14:val="tx1"/>
                  </w14:solidFill>
                </w14:textFill>
              </w:rPr>
              <w:t>活性炭吸附原理：</w:t>
            </w:r>
            <w:r>
              <w:rPr>
                <w:rFonts w:hint="default" w:ascii="Times New Roman" w:hAnsi="Times New Roman" w:cs="Times New Roman"/>
                <w:color w:val="000000" w:themeColor="text1"/>
                <w:sz w:val="24"/>
                <w:highlight w:val="none"/>
                <w14:textFill>
                  <w14:solidFill>
                    <w14:schemeClr w14:val="tx1"/>
                  </w14:solidFill>
                </w14:textFill>
              </w:rPr>
              <w:t>活性炭吸附是</w:t>
            </w:r>
            <w:r>
              <w:rPr>
                <w:rFonts w:hint="default" w:ascii="Times New Roman" w:hAnsi="Times New Roman" w:cs="Times New Roman"/>
                <w:color w:val="000000" w:themeColor="text1"/>
                <w:sz w:val="24"/>
                <w:highlight w:val="none"/>
                <w:lang w:eastAsia="zh-CN"/>
                <w14:textFill>
                  <w14:solidFill>
                    <w14:schemeClr w14:val="tx1"/>
                  </w14:solidFill>
                </w14:textFill>
              </w:rPr>
              <w:t>一种</w:t>
            </w:r>
            <w:r>
              <w:rPr>
                <w:rFonts w:hint="default" w:ascii="Times New Roman" w:hAnsi="Times New Roman" w:cs="Times New Roman"/>
                <w:color w:val="000000" w:themeColor="text1"/>
                <w:sz w:val="24"/>
                <w:highlight w:val="none"/>
                <w14:textFill>
                  <w14:solidFill>
                    <w14:schemeClr w14:val="tx1"/>
                  </w14:solidFill>
                </w14:textFill>
              </w:rPr>
              <w:t>常用的吸附方法，主要利用高孔隙率、高比表面积的吸附剂，借由物理性吸附（可逆反应）或化学性键结（不可逆反应）作用，将有机气体分子自废气中分离，以达成净化废气的目的。由于</w:t>
            </w:r>
            <w:r>
              <w:rPr>
                <w:rFonts w:hint="default" w:ascii="Times New Roman" w:hAnsi="Times New Roman" w:cs="Times New Roman"/>
                <w:color w:val="000000" w:themeColor="text1"/>
                <w:sz w:val="24"/>
                <w:highlight w:val="none"/>
                <w:lang w:eastAsia="zh-CN"/>
                <w14:textFill>
                  <w14:solidFill>
                    <w14:schemeClr w14:val="tx1"/>
                  </w14:solidFill>
                </w14:textFill>
              </w:rPr>
              <w:t>一般</w:t>
            </w:r>
            <w:r>
              <w:rPr>
                <w:rFonts w:hint="default" w:ascii="Times New Roman" w:hAnsi="Times New Roman" w:cs="Times New Roman"/>
                <w:color w:val="000000" w:themeColor="text1"/>
                <w:sz w:val="24"/>
                <w:highlight w:val="none"/>
                <w14:textFill>
                  <w14:solidFill>
                    <w14:schemeClr w14:val="tx1"/>
                  </w14:solidFill>
                </w14:textFill>
              </w:rPr>
              <w:t>多采用物理性吸附，随操作时间增加，吸附剂将逐渐趋于饱和现象，此时则</w:t>
            </w:r>
            <w:r>
              <w:rPr>
                <w:rFonts w:hint="default" w:ascii="Times New Roman" w:hAnsi="Times New Roman" w:cs="Times New Roman"/>
                <w:color w:val="000000" w:themeColor="text1"/>
                <w:sz w:val="24"/>
                <w:highlight w:val="none"/>
                <w:lang w:eastAsia="zh-CN"/>
                <w14:textFill>
                  <w14:solidFill>
                    <w14:schemeClr w14:val="tx1"/>
                  </w14:solidFill>
                </w14:textFill>
              </w:rPr>
              <w:t>需</w:t>
            </w:r>
            <w:r>
              <w:rPr>
                <w:rFonts w:hint="default" w:ascii="Times New Roman" w:hAnsi="Times New Roman" w:cs="Times New Roman"/>
                <w:color w:val="000000" w:themeColor="text1"/>
                <w:sz w:val="24"/>
                <w:highlight w:val="none"/>
                <w14:textFill>
                  <w14:solidFill>
                    <w14:schemeClr w14:val="tx1"/>
                  </w14:solidFill>
                </w14:textFill>
              </w:rPr>
              <w:t>进行脱附再生或吸附剂更换工作。因活性炭表面有大量微孔，其中绝大部分孔径小于500A（1A=10</w:t>
            </w:r>
            <w:r>
              <w:rPr>
                <w:rFonts w:hint="default" w:ascii="Times New Roman" w:hAnsi="Times New Roman" w:cs="Times New Roman"/>
                <w:color w:val="000000" w:themeColor="text1"/>
                <w:sz w:val="24"/>
                <w:highlight w:val="none"/>
                <w:vertAlign w:val="superscript"/>
                <w14:textFill>
                  <w14:solidFill>
                    <w14:schemeClr w14:val="tx1"/>
                  </w14:solidFill>
                </w14:textFill>
              </w:rPr>
              <w:t>-10</w:t>
            </w:r>
            <w:r>
              <w:rPr>
                <w:rFonts w:hint="default" w:ascii="Times New Roman" w:hAnsi="Times New Roman" w:cs="Times New Roman"/>
                <w:color w:val="000000" w:themeColor="text1"/>
                <w:sz w:val="24"/>
                <w:highlight w:val="none"/>
                <w14:textFill>
                  <w14:solidFill>
                    <w14:schemeClr w14:val="tx1"/>
                  </w14:solidFill>
                </w14:textFill>
              </w:rPr>
              <w:t>m），单位材料微孔的总内表面积称</w:t>
            </w:r>
            <w:r>
              <w:rPr>
                <w:rFonts w:hint="eastAsia"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比表面积</w:t>
            </w:r>
            <w:r>
              <w:rPr>
                <w:rFonts w:hint="eastAsia"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，比表面积可高达700～2300m</w:t>
            </w:r>
            <w:r>
              <w:rPr>
                <w:rFonts w:hint="default" w:ascii="Times New Roman" w:hAnsi="Times New Roman" w:cs="Times New Roman"/>
                <w:color w:val="000000" w:themeColor="text1"/>
                <w:sz w:val="24"/>
                <w:highlight w:val="none"/>
                <w:vertAlign w:val="superscript"/>
                <w14:textFill>
                  <w14:solidFill>
                    <w14:schemeClr w14:val="tx1"/>
                  </w14:solidFill>
                </w14:textFill>
              </w:rPr>
              <w:t>2</w:t>
            </w:r>
            <w:r>
              <w:rPr>
                <w:rFonts w:hint="default" w:ascii="Times New Roman" w:hAnsi="Times New Roman" w:cs="Times New Roman"/>
                <w:color w:val="000000" w:themeColor="text1"/>
                <w:sz w:val="24"/>
                <w:highlight w:val="none"/>
                <w14:textFill>
                  <w14:solidFill>
                    <w14:schemeClr w14:val="tx1"/>
                  </w14:solidFill>
                </w14:textFill>
              </w:rPr>
              <w:t>/g，常被用来作为吸附有机废气的吸附剂。空气中的有害气体称</w:t>
            </w:r>
            <w:r>
              <w:rPr>
                <w:rFonts w:hint="eastAsia"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吸附质</w:t>
            </w:r>
            <w:r>
              <w:rPr>
                <w:rFonts w:hint="eastAsia"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，活性炭为</w:t>
            </w:r>
            <w:r>
              <w:rPr>
                <w:rFonts w:hint="eastAsia"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吸附剂</w:t>
            </w:r>
            <w:r>
              <w:rPr>
                <w:rFonts w:hint="eastAsia"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由于分子间的引力，吸附质粘到微孔内表面，从而使空气得到净化。活性炭材料分颗粒炭、纤维炭，传统的颗粒活性炭有煤质炭、木质炭、椰壳炭、骨炭。纤维活性炭由含碳有机纤维制成，它比颗粒活性炭孔径小（&lt;50A）、吸附容量大、吸附快、再生快。在有机废气处理过程中，活性炭常被用来吸附烷烃、烯烃、芳香烃、酮、醛、氯代烃、酯以及挥发性有机化合物（非甲烷总烃）</w:t>
            </w:r>
            <w:r>
              <w:rPr>
                <w:rFonts w:hint="default" w:ascii="Times New Roman" w:hAnsi="Times New Roman" w:cs="Times New Roman"/>
                <w:color w:val="000000" w:themeColor="text1"/>
                <w:sz w:val="24"/>
                <w:highlight w:val="none"/>
                <w:lang w:eastAsia="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二</w:t>
            </w:r>
            <w:r>
              <w:rPr>
                <w:rFonts w:hint="default" w:ascii="Times New Roman" w:hAnsi="Times New Roman" w:cs="Times New Roman"/>
                <w:color w:val="000000" w:themeColor="text1"/>
                <w:sz w:val="24"/>
                <w:highlight w:val="none"/>
                <w:lang w:val="en-US" w:eastAsia="zh-CN"/>
                <w14:textFill>
                  <w14:solidFill>
                    <w14:schemeClr w14:val="tx1"/>
                  </w14:solidFill>
                </w14:textFill>
              </w:rPr>
              <w:t>级活性炭装置处理</w:t>
            </w:r>
            <w:r>
              <w:rPr>
                <w:rFonts w:hint="default" w:ascii="Times New Roman" w:hAnsi="Times New Roman" w:eastAsia="宋体" w:cs="Times New Roman"/>
                <w:color w:val="000000" w:themeColor="text1"/>
                <w:sz w:val="24"/>
                <w:highlight w:val="none"/>
                <w14:textFill>
                  <w14:solidFill>
                    <w14:schemeClr w14:val="tx1"/>
                  </w14:solidFill>
                </w14:textFill>
              </w:rPr>
              <w:t>效率达</w:t>
            </w:r>
            <w:r>
              <w:rPr>
                <w:rFonts w:hint="eastAsia" w:cs="Times New Roman"/>
                <w:color w:val="000000" w:themeColor="text1"/>
                <w:sz w:val="24"/>
                <w:highlight w:val="none"/>
                <w:lang w:val="en-US" w:eastAsia="zh-CN"/>
                <w14:textFill>
                  <w14:solidFill>
                    <w14:schemeClr w14:val="tx1"/>
                  </w14:solidFill>
                </w14:textFill>
              </w:rPr>
              <w:t>90</w:t>
            </w:r>
            <w:r>
              <w:rPr>
                <w:rFonts w:hint="default" w:ascii="Times New Roman" w:hAnsi="Times New Roman" w:eastAsia="宋体" w:cs="Times New Roman"/>
                <w:color w:val="000000" w:themeColor="text1"/>
                <w:sz w:val="24"/>
                <w:highlight w:val="none"/>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本项目</w:t>
            </w:r>
            <w:r>
              <w:rPr>
                <w:rFonts w:hint="eastAsia" w:cs="Times New Roman"/>
                <w:b w:val="0"/>
                <w:bCs w:val="0"/>
                <w:color w:val="000000" w:themeColor="text1"/>
                <w:sz w:val="24"/>
                <w:highlight w:val="none"/>
                <w:lang w:val="en-US" w:eastAsia="zh-CN"/>
                <w14:textFill>
                  <w14:solidFill>
                    <w14:schemeClr w14:val="tx1"/>
                  </w14:solidFill>
                </w14:textFill>
              </w:rPr>
              <w:t>非甲烷总烃</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废气</w:t>
            </w:r>
            <w:r>
              <w:rPr>
                <w:rFonts w:hint="default" w:ascii="Times New Roman" w:hAnsi="Times New Roman" w:cs="Times New Roman"/>
                <w:b w:val="0"/>
                <w:bCs w:val="0"/>
                <w:color w:val="000000" w:themeColor="text1"/>
                <w:sz w:val="24"/>
                <w:highlight w:val="none"/>
                <w14:textFill>
                  <w14:solidFill>
                    <w14:schemeClr w14:val="tx1"/>
                  </w14:solidFill>
                </w14:textFill>
              </w:rPr>
              <w:t>处理效率</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为</w:t>
            </w:r>
            <w:r>
              <w:rPr>
                <w:rFonts w:hint="eastAsia" w:cs="Times New Roman"/>
                <w:color w:val="000000" w:themeColor="text1"/>
                <w:sz w:val="24"/>
                <w:highlight w:val="none"/>
                <w:lang w:val="en-US" w:eastAsia="zh-CN"/>
                <w14:textFill>
                  <w14:solidFill>
                    <w14:schemeClr w14:val="tx1"/>
                  </w14:solidFill>
                </w14:textFill>
              </w:rPr>
              <w:t>90</w:t>
            </w:r>
            <w:r>
              <w:rPr>
                <w:rFonts w:hint="default" w:ascii="Times New Roman" w:hAnsi="Times New Roman" w:cs="Times New Roman"/>
                <w:b w:val="0"/>
                <w:bCs w:val="0"/>
                <w:color w:val="000000" w:themeColor="text1"/>
                <w:sz w:val="24"/>
                <w:highlight w:val="none"/>
                <w14:textFill>
                  <w14:solidFill>
                    <w14:schemeClr w14:val="tx1"/>
                  </w14:solidFill>
                </w14:textFill>
              </w:rPr>
              <w:t>%。</w:t>
            </w:r>
          </w:p>
          <w:p w14:paraId="098B6E6E">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企业拟使用的废气设施吸附参数与文相符性分析如下表。</w:t>
            </w:r>
          </w:p>
          <w:p w14:paraId="2F3C9EFD">
            <w:pPr>
              <w:pStyle w:val="125"/>
              <w:numPr>
                <w:ilvl w:val="0"/>
                <w:numId w:val="0"/>
              </w:numPr>
              <w:spacing w:line="440" w:lineRule="exact"/>
              <w:rPr>
                <w:rFonts w:hint="default"/>
                <w:color w:val="000000" w:themeColor="text1"/>
                <w:sz w:val="24"/>
                <w:highlight w:val="none"/>
                <w14:textFill>
                  <w14:solidFill>
                    <w14:schemeClr w14:val="tx1"/>
                  </w14:solidFill>
                </w14:textFill>
              </w:rPr>
            </w:pPr>
            <w:r>
              <w:rPr>
                <w:rFonts w:hint="default"/>
                <w:color w:val="000000" w:themeColor="text1"/>
                <w:sz w:val="24"/>
                <w:highlight w:val="none"/>
                <w14:textFill>
                  <w14:solidFill>
                    <w14:schemeClr w14:val="tx1"/>
                  </w14:solidFill>
                </w14:textFill>
              </w:rPr>
              <w:t>表4-</w:t>
            </w:r>
            <w:r>
              <w:rPr>
                <w:rFonts w:hint="eastAsia"/>
                <w:color w:val="000000" w:themeColor="text1"/>
                <w:sz w:val="24"/>
                <w:highlight w:val="none"/>
                <w:lang w:val="en-US" w:eastAsia="zh-CN"/>
                <w14:textFill>
                  <w14:solidFill>
                    <w14:schemeClr w14:val="tx1"/>
                  </w14:solidFill>
                </w14:textFill>
              </w:rPr>
              <w:t xml:space="preserve">10  </w:t>
            </w:r>
            <w:r>
              <w:rPr>
                <w:rFonts w:hint="default"/>
                <w:color w:val="000000" w:themeColor="text1"/>
                <w:sz w:val="24"/>
                <w:highlight w:val="none"/>
                <w14:textFill>
                  <w14:solidFill>
                    <w14:schemeClr w14:val="tx1"/>
                  </w14:solidFill>
                </w14:textFill>
              </w:rPr>
              <w:t>吸附参数表与文件相符性分析（箱式）</w:t>
            </w:r>
          </w:p>
          <w:tbl>
            <w:tblPr>
              <w:tblStyle w:val="38"/>
              <w:tblW w:w="8471" w:type="dxa"/>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458"/>
              <w:gridCol w:w="895"/>
              <w:gridCol w:w="2008"/>
              <w:gridCol w:w="3134"/>
              <w:gridCol w:w="1155"/>
              <w:gridCol w:w="821"/>
            </w:tblGrid>
            <w:tr w14:paraId="0B808D9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tcBorders>
                    <w:tl2br w:val="nil"/>
                    <w:tr2bl w:val="nil"/>
                  </w:tcBorders>
                  <w:vAlign w:val="center"/>
                </w:tcPr>
                <w:p w14:paraId="4A330D6E">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序号</w:t>
                  </w:r>
                </w:p>
              </w:tc>
              <w:tc>
                <w:tcPr>
                  <w:tcW w:w="2903" w:type="dxa"/>
                  <w:gridSpan w:val="2"/>
                  <w:tcBorders>
                    <w:tl2br w:val="nil"/>
                    <w:tr2bl w:val="nil"/>
                  </w:tcBorders>
                  <w:vAlign w:val="center"/>
                </w:tcPr>
                <w:p w14:paraId="23970390">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参数</w:t>
                  </w:r>
                </w:p>
              </w:tc>
              <w:tc>
                <w:tcPr>
                  <w:tcW w:w="3134" w:type="dxa"/>
                  <w:tcBorders>
                    <w:tl2br w:val="nil"/>
                    <w:tr2bl w:val="nil"/>
                  </w:tcBorders>
                  <w:vAlign w:val="center"/>
                </w:tcPr>
                <w:p w14:paraId="7370738A">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参数</w:t>
                  </w:r>
                </w:p>
              </w:tc>
              <w:tc>
                <w:tcPr>
                  <w:tcW w:w="1155" w:type="dxa"/>
                  <w:tcBorders>
                    <w:tl2br w:val="nil"/>
                    <w:tr2bl w:val="nil"/>
                  </w:tcBorders>
                  <w:vAlign w:val="center"/>
                </w:tcPr>
                <w:p w14:paraId="3C0D793B">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文件要求</w:t>
                  </w:r>
                </w:p>
              </w:tc>
              <w:tc>
                <w:tcPr>
                  <w:tcW w:w="821" w:type="dxa"/>
                  <w:tcBorders>
                    <w:tl2br w:val="nil"/>
                    <w:tr2bl w:val="nil"/>
                  </w:tcBorders>
                  <w:vAlign w:val="center"/>
                </w:tcPr>
                <w:p w14:paraId="6BF0AF43">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相符性</w:t>
                  </w:r>
                </w:p>
              </w:tc>
            </w:tr>
            <w:tr w14:paraId="60EEA31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restart"/>
                  <w:tcBorders>
                    <w:tl2br w:val="nil"/>
                    <w:tr2bl w:val="nil"/>
                  </w:tcBorders>
                  <w:vAlign w:val="center"/>
                </w:tcPr>
                <w:p w14:paraId="02D04818">
                  <w:pPr>
                    <w:snapToGrid w:val="0"/>
                    <w:spacing w:line="240" w:lineRule="exact"/>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w:t>
                  </w:r>
                </w:p>
              </w:tc>
              <w:tc>
                <w:tcPr>
                  <w:tcW w:w="895" w:type="dxa"/>
                  <w:vMerge w:val="restart"/>
                  <w:tcBorders>
                    <w:tl2br w:val="nil"/>
                    <w:tr2bl w:val="nil"/>
                  </w:tcBorders>
                  <w:vAlign w:val="center"/>
                </w:tcPr>
                <w:p w14:paraId="49E4B04C">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TA001</w:t>
                  </w:r>
                  <w:r>
                    <w:rPr>
                      <w:rFonts w:hint="eastAsia"/>
                      <w:color w:val="000000" w:themeColor="text1"/>
                      <w:szCs w:val="21"/>
                      <w:highlight w:val="none"/>
                      <w:lang w:val="en-US" w:eastAsia="zh-CN"/>
                      <w14:textFill>
                        <w14:solidFill>
                          <w14:schemeClr w14:val="tx1"/>
                        </w14:solidFill>
                      </w14:textFill>
                    </w:rPr>
                    <w:t>二</w:t>
                  </w:r>
                  <w:r>
                    <w:rPr>
                      <w:rFonts w:hint="eastAsia"/>
                      <w:color w:val="000000" w:themeColor="text1"/>
                      <w:szCs w:val="21"/>
                      <w:highlight w:val="none"/>
                      <w14:textFill>
                        <w14:solidFill>
                          <w14:schemeClr w14:val="tx1"/>
                        </w14:solidFill>
                      </w14:textFill>
                    </w:rPr>
                    <w:t>级</w:t>
                  </w:r>
                  <w:r>
                    <w:rPr>
                      <w:color w:val="000000" w:themeColor="text1"/>
                      <w:szCs w:val="21"/>
                      <w:highlight w:val="none"/>
                      <w14:textFill>
                        <w14:solidFill>
                          <w14:schemeClr w14:val="tx1"/>
                        </w14:solidFill>
                      </w14:textFill>
                    </w:rPr>
                    <w:t>活性炭</w:t>
                  </w:r>
                </w:p>
              </w:tc>
              <w:tc>
                <w:tcPr>
                  <w:tcW w:w="2008" w:type="dxa"/>
                  <w:tcBorders>
                    <w:tl2br w:val="nil"/>
                    <w:tr2bl w:val="nil"/>
                  </w:tcBorders>
                  <w:vAlign w:val="center"/>
                </w:tcPr>
                <w:p w14:paraId="5AC44D9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风量（m</w:t>
                  </w:r>
                  <w:r>
                    <w:rPr>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/h）</w:t>
                  </w:r>
                </w:p>
              </w:tc>
              <w:tc>
                <w:tcPr>
                  <w:tcW w:w="3134" w:type="dxa"/>
                  <w:tcBorders>
                    <w:tl2br w:val="nil"/>
                    <w:tr2bl w:val="nil"/>
                  </w:tcBorders>
                  <w:vAlign w:val="center"/>
                </w:tcPr>
                <w:p w14:paraId="69449271">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30</w:t>
                  </w:r>
                  <w:r>
                    <w:rPr>
                      <w:rFonts w:hint="eastAsia"/>
                      <w:color w:val="000000" w:themeColor="text1"/>
                      <w:szCs w:val="21"/>
                      <w:highlight w:val="none"/>
                      <w14:textFill>
                        <w14:solidFill>
                          <w14:schemeClr w14:val="tx1"/>
                        </w14:solidFill>
                      </w14:textFill>
                    </w:rPr>
                    <w:t>00</w:t>
                  </w:r>
                </w:p>
              </w:tc>
              <w:tc>
                <w:tcPr>
                  <w:tcW w:w="1155" w:type="dxa"/>
                  <w:tcBorders>
                    <w:tl2br w:val="nil"/>
                    <w:tr2bl w:val="nil"/>
                  </w:tcBorders>
                  <w:vAlign w:val="center"/>
                </w:tcPr>
                <w:p w14:paraId="1DBCC005">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821" w:type="dxa"/>
                  <w:tcBorders>
                    <w:tl2br w:val="nil"/>
                    <w:tr2bl w:val="nil"/>
                  </w:tcBorders>
                  <w:vAlign w:val="center"/>
                </w:tcPr>
                <w:p w14:paraId="53F23436">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2DDBE94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0451541E">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7AED16A5">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0CACC980">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活性炭种类</w:t>
                  </w:r>
                </w:p>
              </w:tc>
              <w:tc>
                <w:tcPr>
                  <w:tcW w:w="3134" w:type="dxa"/>
                  <w:tcBorders>
                    <w:tl2br w:val="nil"/>
                    <w:tr2bl w:val="nil"/>
                  </w:tcBorders>
                  <w:vAlign w:val="center"/>
                </w:tcPr>
                <w:p w14:paraId="62864B3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颗粒活性炭</w:t>
                  </w:r>
                </w:p>
              </w:tc>
              <w:tc>
                <w:tcPr>
                  <w:tcW w:w="1155" w:type="dxa"/>
                  <w:tcBorders>
                    <w:tl2br w:val="nil"/>
                    <w:tr2bl w:val="nil"/>
                  </w:tcBorders>
                  <w:vAlign w:val="center"/>
                </w:tcPr>
                <w:p w14:paraId="298098C2">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821" w:type="dxa"/>
                  <w:tcBorders>
                    <w:tl2br w:val="nil"/>
                    <w:tr2bl w:val="nil"/>
                  </w:tcBorders>
                  <w:vAlign w:val="center"/>
                </w:tcPr>
                <w:p w14:paraId="7F59E0DD">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7DC0C36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c>
                <w:tcPr>
                  <w:tcW w:w="458" w:type="dxa"/>
                  <w:vMerge w:val="continue"/>
                  <w:tcBorders>
                    <w:tl2br w:val="nil"/>
                    <w:tr2bl w:val="nil"/>
                  </w:tcBorders>
                  <w:vAlign w:val="center"/>
                </w:tcPr>
                <w:p w14:paraId="0D1FB8D3">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3C5236DA">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1BEB416F">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箱体尺寸</w:t>
                  </w:r>
                </w:p>
              </w:tc>
              <w:tc>
                <w:tcPr>
                  <w:tcW w:w="3134" w:type="dxa"/>
                  <w:tcBorders>
                    <w:tl2br w:val="nil"/>
                    <w:tr2bl w:val="nil"/>
                  </w:tcBorders>
                  <w:vAlign w:val="center"/>
                </w:tcPr>
                <w:p w14:paraId="2C47629E">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10</w:t>
                  </w:r>
                  <w:r>
                    <w:rPr>
                      <w:rFonts w:hint="eastAsia"/>
                      <w:color w:val="000000" w:themeColor="text1"/>
                      <w:szCs w:val="21"/>
                      <w:highlight w:val="none"/>
                      <w14:textFill>
                        <w14:solidFill>
                          <w14:schemeClr w14:val="tx1"/>
                        </w14:solidFill>
                      </w14:textFill>
                    </w:rPr>
                    <w:t>0</w:t>
                  </w:r>
                  <w:r>
                    <w:rPr>
                      <w:color w:val="000000" w:themeColor="text1"/>
                      <w:szCs w:val="21"/>
                      <w:highlight w:val="none"/>
                      <w14:textFill>
                        <w14:solidFill>
                          <w14:schemeClr w14:val="tx1"/>
                        </w14:solidFill>
                      </w14:textFill>
                    </w:rPr>
                    <w:t>0mm×</w:t>
                  </w:r>
                  <w:r>
                    <w:rPr>
                      <w:rFonts w:hint="eastAsia"/>
                      <w:color w:val="000000" w:themeColor="text1"/>
                      <w:szCs w:val="21"/>
                      <w:highlight w:val="none"/>
                      <w:lang w:val="en-US" w:eastAsia="zh-CN"/>
                      <w14:textFill>
                        <w14:solidFill>
                          <w14:schemeClr w14:val="tx1"/>
                        </w14:solidFill>
                      </w14:textFill>
                    </w:rPr>
                    <w:t>100</w:t>
                  </w:r>
                  <w:r>
                    <w:rPr>
                      <w:color w:val="000000" w:themeColor="text1"/>
                      <w:szCs w:val="21"/>
                      <w:highlight w:val="none"/>
                      <w14:textFill>
                        <w14:solidFill>
                          <w14:schemeClr w14:val="tx1"/>
                        </w14:solidFill>
                      </w14:textFill>
                    </w:rPr>
                    <w:t>0mm×</w:t>
                  </w:r>
                  <w:r>
                    <w:rPr>
                      <w:rFonts w:hint="eastAsia"/>
                      <w:color w:val="000000" w:themeColor="text1"/>
                      <w:szCs w:val="21"/>
                      <w:highlight w:val="none"/>
                      <w:lang w:val="en-US" w:eastAsia="zh-CN"/>
                      <w14:textFill>
                        <w14:solidFill>
                          <w14:schemeClr w14:val="tx1"/>
                        </w14:solidFill>
                      </w14:textFill>
                    </w:rPr>
                    <w:t>10</w:t>
                  </w:r>
                  <w:r>
                    <w:rPr>
                      <w:color w:val="000000" w:themeColor="text1"/>
                      <w:szCs w:val="21"/>
                      <w:highlight w:val="none"/>
                      <w14:textFill>
                        <w14:solidFill>
                          <w14:schemeClr w14:val="tx1"/>
                        </w14:solidFill>
                      </w14:textFill>
                    </w:rPr>
                    <w:t>00mm</w:t>
                  </w:r>
                </w:p>
              </w:tc>
              <w:tc>
                <w:tcPr>
                  <w:tcW w:w="1155" w:type="dxa"/>
                  <w:tcBorders>
                    <w:tl2br w:val="nil"/>
                    <w:tr2bl w:val="nil"/>
                  </w:tcBorders>
                  <w:vAlign w:val="center"/>
                </w:tcPr>
                <w:p w14:paraId="0DE649BF">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821" w:type="dxa"/>
                  <w:tcBorders>
                    <w:tl2br w:val="nil"/>
                    <w:tr2bl w:val="nil"/>
                  </w:tcBorders>
                  <w:vAlign w:val="center"/>
                </w:tcPr>
                <w:p w14:paraId="67091464">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41DA81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5D806630">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3280C575">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1AD81AE0">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活性炭尺寸</w:t>
                  </w:r>
                </w:p>
              </w:tc>
              <w:tc>
                <w:tcPr>
                  <w:tcW w:w="3134" w:type="dxa"/>
                  <w:tcBorders>
                    <w:tl2br w:val="nil"/>
                    <w:tr2bl w:val="nil"/>
                  </w:tcBorders>
                  <w:vAlign w:val="center"/>
                </w:tcPr>
                <w:p w14:paraId="550FDBF6">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L</w:t>
                  </w:r>
                  <w:r>
                    <w:rPr>
                      <w:rFonts w:hint="eastAsia"/>
                      <w:color w:val="000000" w:themeColor="text1"/>
                      <w:szCs w:val="21"/>
                      <w:highlight w:val="none"/>
                      <w:lang w:val="en-US" w:eastAsia="zh-CN"/>
                      <w14:textFill>
                        <w14:solidFill>
                          <w14:schemeClr w14:val="tx1"/>
                        </w14:solidFill>
                      </w14:textFill>
                    </w:rPr>
                    <w:t>9</w:t>
                  </w:r>
                  <w:r>
                    <w:rPr>
                      <w:rFonts w:hint="eastAsia"/>
                      <w:color w:val="000000" w:themeColor="text1"/>
                      <w:szCs w:val="21"/>
                      <w:highlight w:val="none"/>
                      <w14:textFill>
                        <w14:solidFill>
                          <w14:schemeClr w14:val="tx1"/>
                        </w14:solidFill>
                      </w14:textFill>
                    </w:rPr>
                    <w:t>00</w:t>
                  </w:r>
                  <w:r>
                    <w:rPr>
                      <w:color w:val="000000" w:themeColor="text1"/>
                      <w:szCs w:val="21"/>
                      <w:highlight w:val="none"/>
                      <w14:textFill>
                        <w14:solidFill>
                          <w14:schemeClr w14:val="tx1"/>
                        </w14:solidFill>
                      </w14:textFill>
                    </w:rPr>
                    <w:t>mm×W</w:t>
                  </w:r>
                  <w:r>
                    <w:rPr>
                      <w:rFonts w:hint="eastAsia"/>
                      <w:color w:val="000000" w:themeColor="text1"/>
                      <w:szCs w:val="21"/>
                      <w:highlight w:val="none"/>
                      <w:lang w:val="en-US" w:eastAsia="zh-CN"/>
                      <w14:textFill>
                        <w14:solidFill>
                          <w14:schemeClr w14:val="tx1"/>
                        </w14:solidFill>
                      </w14:textFill>
                    </w:rPr>
                    <w:t>8</w:t>
                  </w:r>
                  <w:r>
                    <w:rPr>
                      <w:rFonts w:hint="eastAsia"/>
                      <w:color w:val="000000" w:themeColor="text1"/>
                      <w:szCs w:val="21"/>
                      <w:highlight w:val="none"/>
                      <w14:textFill>
                        <w14:solidFill>
                          <w14:schemeClr w14:val="tx1"/>
                        </w14:solidFill>
                      </w14:textFill>
                    </w:rPr>
                    <w:t>00</w:t>
                  </w:r>
                  <w:r>
                    <w:rPr>
                      <w:color w:val="000000" w:themeColor="text1"/>
                      <w:szCs w:val="21"/>
                      <w:highlight w:val="none"/>
                      <w14:textFill>
                        <w14:solidFill>
                          <w14:schemeClr w14:val="tx1"/>
                        </w14:solidFill>
                      </w14:textFill>
                    </w:rPr>
                    <w:t>mm×H</w:t>
                  </w:r>
                  <w:r>
                    <w:rPr>
                      <w:rFonts w:hint="eastAsia"/>
                      <w:color w:val="000000" w:themeColor="text1"/>
                      <w:szCs w:val="21"/>
                      <w:highlight w:val="none"/>
                      <w:lang w:val="en-US" w:eastAsia="zh-CN"/>
                      <w14:textFill>
                        <w14:solidFill>
                          <w14:schemeClr w14:val="tx1"/>
                        </w14:solidFill>
                      </w14:textFill>
                    </w:rPr>
                    <w:t>4</w:t>
                  </w:r>
                  <w:r>
                    <w:rPr>
                      <w:color w:val="000000" w:themeColor="text1"/>
                      <w:szCs w:val="21"/>
                      <w:highlight w:val="none"/>
                      <w14:textFill>
                        <w14:solidFill>
                          <w14:schemeClr w14:val="tx1"/>
                        </w14:solidFill>
                      </w14:textFill>
                    </w:rPr>
                    <w:t>00mm</w:t>
                  </w:r>
                  <w:r>
                    <w:rPr>
                      <w:rFonts w:hint="eastAsia"/>
                      <w:color w:val="000000" w:themeColor="text1"/>
                      <w:szCs w:val="21"/>
                      <w:highlight w:val="none"/>
                      <w:lang w:val="en-US" w:eastAsia="zh-CN"/>
                      <w14:textFill>
                        <w14:solidFill>
                          <w14:schemeClr w14:val="tx1"/>
                        </w14:solidFill>
                      </w14:textFill>
                    </w:rPr>
                    <w:t>*2</w:t>
                  </w:r>
                </w:p>
              </w:tc>
              <w:tc>
                <w:tcPr>
                  <w:tcW w:w="1155" w:type="dxa"/>
                  <w:tcBorders>
                    <w:tl2br w:val="nil"/>
                    <w:tr2bl w:val="nil"/>
                  </w:tcBorders>
                  <w:vAlign w:val="center"/>
                </w:tcPr>
                <w:p w14:paraId="3E8F7E5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821" w:type="dxa"/>
                  <w:tcBorders>
                    <w:tl2br w:val="nil"/>
                    <w:tr2bl w:val="nil"/>
                  </w:tcBorders>
                  <w:vAlign w:val="center"/>
                </w:tcPr>
                <w:p w14:paraId="25D22132">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2384156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074F8F77">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384BFC01">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4281F480">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活性炭碘值（mg/g）</w:t>
                  </w:r>
                </w:p>
              </w:tc>
              <w:tc>
                <w:tcPr>
                  <w:tcW w:w="3134" w:type="dxa"/>
                  <w:tcBorders>
                    <w:tl2br w:val="nil"/>
                    <w:tr2bl w:val="nil"/>
                  </w:tcBorders>
                  <w:vAlign w:val="center"/>
                </w:tcPr>
                <w:p w14:paraId="7E266596">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800</w:t>
                  </w:r>
                </w:p>
              </w:tc>
              <w:tc>
                <w:tcPr>
                  <w:tcW w:w="1155" w:type="dxa"/>
                  <w:tcBorders>
                    <w:tl2br w:val="nil"/>
                    <w:tr2bl w:val="nil"/>
                  </w:tcBorders>
                  <w:vAlign w:val="center"/>
                </w:tcPr>
                <w:p w14:paraId="750DF3E2">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800</w:t>
                  </w:r>
                </w:p>
              </w:tc>
              <w:tc>
                <w:tcPr>
                  <w:tcW w:w="821" w:type="dxa"/>
                  <w:tcBorders>
                    <w:tl2br w:val="nil"/>
                    <w:tr2bl w:val="nil"/>
                  </w:tcBorders>
                  <w:vAlign w:val="center"/>
                </w:tcPr>
                <w:p w14:paraId="211298B5">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24464A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77B7D9BA">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23F68DCD">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35F1C4EC">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四氯化碳吸附率</w:t>
                  </w:r>
                  <w:r>
                    <w:rPr>
                      <w:color w:val="000000" w:themeColor="text1"/>
                      <w:szCs w:val="21"/>
                      <w:highlight w:val="none"/>
                      <w14:textFill>
                        <w14:solidFill>
                          <w14:schemeClr w14:val="tx1"/>
                        </w14:solidFill>
                      </w14:textFill>
                    </w:rPr>
                    <w:t>（%）</w:t>
                  </w:r>
                </w:p>
              </w:tc>
              <w:tc>
                <w:tcPr>
                  <w:tcW w:w="3134" w:type="dxa"/>
                  <w:tcBorders>
                    <w:tl2br w:val="nil"/>
                    <w:tr2bl w:val="nil"/>
                  </w:tcBorders>
                  <w:vAlign w:val="center"/>
                </w:tcPr>
                <w:p w14:paraId="2E3A2556">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40</w:t>
                  </w:r>
                </w:p>
              </w:tc>
              <w:tc>
                <w:tcPr>
                  <w:tcW w:w="1155" w:type="dxa"/>
                  <w:tcBorders>
                    <w:tl2br w:val="nil"/>
                    <w:tr2bl w:val="nil"/>
                  </w:tcBorders>
                  <w:vAlign w:val="center"/>
                </w:tcPr>
                <w:p w14:paraId="6C05DE71">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40</w:t>
                  </w:r>
                </w:p>
              </w:tc>
              <w:tc>
                <w:tcPr>
                  <w:tcW w:w="821" w:type="dxa"/>
                  <w:tcBorders>
                    <w:tl2br w:val="nil"/>
                    <w:tr2bl w:val="nil"/>
                  </w:tcBorders>
                  <w:vAlign w:val="center"/>
                </w:tcPr>
                <w:p w14:paraId="6AE9A0B3">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7636D1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6788D58B">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37C601E6">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353CEF1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比表面积（m²/g）</w:t>
                  </w:r>
                </w:p>
              </w:tc>
              <w:tc>
                <w:tcPr>
                  <w:tcW w:w="3134" w:type="dxa"/>
                  <w:tcBorders>
                    <w:tl2br w:val="nil"/>
                    <w:tr2bl w:val="nil"/>
                  </w:tcBorders>
                  <w:vAlign w:val="center"/>
                </w:tcPr>
                <w:p w14:paraId="3DF91411">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1100</w:t>
                  </w:r>
                </w:p>
              </w:tc>
              <w:tc>
                <w:tcPr>
                  <w:tcW w:w="1155" w:type="dxa"/>
                  <w:tcBorders>
                    <w:tl2br w:val="nil"/>
                    <w:tr2bl w:val="nil"/>
                  </w:tcBorders>
                  <w:vAlign w:val="center"/>
                </w:tcPr>
                <w:p w14:paraId="733AB7D7">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≥750</w:t>
                  </w:r>
                </w:p>
              </w:tc>
              <w:tc>
                <w:tcPr>
                  <w:tcW w:w="821" w:type="dxa"/>
                  <w:tcBorders>
                    <w:tl2br w:val="nil"/>
                    <w:tr2bl w:val="nil"/>
                  </w:tcBorders>
                  <w:vAlign w:val="center"/>
                </w:tcPr>
                <w:p w14:paraId="4E48D0C0">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494459C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0" w:hRule="atLeast"/>
              </w:trPr>
              <w:tc>
                <w:tcPr>
                  <w:tcW w:w="458" w:type="dxa"/>
                  <w:vMerge w:val="continue"/>
                  <w:tcBorders>
                    <w:tl2br w:val="nil"/>
                    <w:tr2bl w:val="nil"/>
                  </w:tcBorders>
                  <w:vAlign w:val="center"/>
                </w:tcPr>
                <w:p w14:paraId="69033233">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38428807">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2C20D9C1">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过滤风速（m/s）</w:t>
                  </w:r>
                </w:p>
              </w:tc>
              <w:tc>
                <w:tcPr>
                  <w:tcW w:w="3134" w:type="dxa"/>
                  <w:tcBorders>
                    <w:tl2br w:val="nil"/>
                    <w:tr2bl w:val="nil"/>
                  </w:tcBorders>
                  <w:vAlign w:val="center"/>
                </w:tcPr>
                <w:p w14:paraId="39466AE3">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0.58</w:t>
                  </w:r>
                </w:p>
              </w:tc>
              <w:tc>
                <w:tcPr>
                  <w:tcW w:w="1155" w:type="dxa"/>
                  <w:tcBorders>
                    <w:tl2br w:val="nil"/>
                    <w:tr2bl w:val="nil"/>
                  </w:tcBorders>
                  <w:vAlign w:val="center"/>
                </w:tcPr>
                <w:p w14:paraId="32DFF185">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&lt;</w:t>
                  </w:r>
                  <w:r>
                    <w:rPr>
                      <w:color w:val="000000" w:themeColor="text1"/>
                      <w:szCs w:val="21"/>
                      <w:highlight w:val="none"/>
                      <w14:textFill>
                        <w14:solidFill>
                          <w14:schemeClr w14:val="tx1"/>
                        </w14:solidFill>
                      </w14:textFill>
                    </w:rPr>
                    <w:t>0.6</w:t>
                  </w:r>
                </w:p>
              </w:tc>
              <w:tc>
                <w:tcPr>
                  <w:tcW w:w="821" w:type="dxa"/>
                  <w:tcBorders>
                    <w:tl2br w:val="nil"/>
                    <w:tr2bl w:val="nil"/>
                  </w:tcBorders>
                  <w:vAlign w:val="center"/>
                </w:tcPr>
                <w:p w14:paraId="0EBC4AC2">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774B482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98" w:hRule="atLeast"/>
              </w:trPr>
              <w:tc>
                <w:tcPr>
                  <w:tcW w:w="458" w:type="dxa"/>
                  <w:vMerge w:val="continue"/>
                  <w:tcBorders>
                    <w:tl2br w:val="nil"/>
                    <w:tr2bl w:val="nil"/>
                  </w:tcBorders>
                  <w:vAlign w:val="center"/>
                </w:tcPr>
                <w:p w14:paraId="3D19547C">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0D230909">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2ECDC790">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停留时间（s）</w:t>
                  </w:r>
                </w:p>
              </w:tc>
              <w:tc>
                <w:tcPr>
                  <w:tcW w:w="3134" w:type="dxa"/>
                  <w:tcBorders>
                    <w:tl2br w:val="nil"/>
                    <w:tr2bl w:val="nil"/>
                  </w:tcBorders>
                  <w:vAlign w:val="center"/>
                </w:tcPr>
                <w:p w14:paraId="6EA4479B">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w:t>
                  </w:r>
                  <w:r>
                    <w:rPr>
                      <w:rFonts w:hint="eastAsia"/>
                      <w:color w:val="000000" w:themeColor="text1"/>
                      <w:szCs w:val="21"/>
                      <w:highlight w:val="none"/>
                      <w:lang w:val="en-US" w:eastAsia="zh-CN"/>
                      <w14:textFill>
                        <w14:solidFill>
                          <w14:schemeClr w14:val="tx1"/>
                        </w14:solidFill>
                      </w14:textFill>
                    </w:rPr>
                    <w:t>69</w:t>
                  </w:r>
                </w:p>
              </w:tc>
              <w:tc>
                <w:tcPr>
                  <w:tcW w:w="1155" w:type="dxa"/>
                  <w:tcBorders>
                    <w:tl2br w:val="nil"/>
                    <w:tr2bl w:val="nil"/>
                  </w:tcBorders>
                  <w:vAlign w:val="center"/>
                </w:tcPr>
                <w:p w14:paraId="6747981E">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821" w:type="dxa"/>
                  <w:tcBorders>
                    <w:tl2br w:val="nil"/>
                    <w:tr2bl w:val="nil"/>
                  </w:tcBorders>
                  <w:vAlign w:val="center"/>
                </w:tcPr>
                <w:p w14:paraId="2FD350CD">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38BE0BF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231C9BF3">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45FE610D">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368ED07E">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活性炭密度（kg/m³）</w:t>
                  </w:r>
                </w:p>
              </w:tc>
              <w:tc>
                <w:tcPr>
                  <w:tcW w:w="3134" w:type="dxa"/>
                  <w:tcBorders>
                    <w:tl2br w:val="nil"/>
                    <w:tr2bl w:val="nil"/>
                  </w:tcBorders>
                  <w:vAlign w:val="center"/>
                </w:tcPr>
                <w:p w14:paraId="3CB0201E">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500</w:t>
                  </w:r>
                </w:p>
              </w:tc>
              <w:tc>
                <w:tcPr>
                  <w:tcW w:w="1155" w:type="dxa"/>
                  <w:tcBorders>
                    <w:tl2br w:val="nil"/>
                    <w:tr2bl w:val="nil"/>
                  </w:tcBorders>
                  <w:vAlign w:val="center"/>
                </w:tcPr>
                <w:p w14:paraId="75B91AB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821" w:type="dxa"/>
                  <w:tcBorders>
                    <w:tl2br w:val="nil"/>
                    <w:tr2bl w:val="nil"/>
                  </w:tcBorders>
                  <w:vAlign w:val="center"/>
                </w:tcPr>
                <w:p w14:paraId="58AC31E8">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553D016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7B985023">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01A9EC02">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5A3CE77B">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水分含量（%）</w:t>
                  </w:r>
                </w:p>
              </w:tc>
              <w:tc>
                <w:tcPr>
                  <w:tcW w:w="3134" w:type="dxa"/>
                  <w:tcBorders>
                    <w:tl2br w:val="nil"/>
                    <w:tr2bl w:val="nil"/>
                  </w:tcBorders>
                  <w:vAlign w:val="center"/>
                </w:tcPr>
                <w:p w14:paraId="736C2C20">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w:t>
                  </w:r>
                </w:p>
              </w:tc>
              <w:tc>
                <w:tcPr>
                  <w:tcW w:w="1155" w:type="dxa"/>
                  <w:tcBorders>
                    <w:tl2br w:val="nil"/>
                    <w:tr2bl w:val="nil"/>
                  </w:tcBorders>
                  <w:vAlign w:val="center"/>
                </w:tcPr>
                <w:p w14:paraId="2B19B6D1">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10</w:t>
                  </w:r>
                </w:p>
              </w:tc>
              <w:tc>
                <w:tcPr>
                  <w:tcW w:w="821" w:type="dxa"/>
                  <w:tcBorders>
                    <w:tl2br w:val="nil"/>
                    <w:tr2bl w:val="nil"/>
                  </w:tcBorders>
                  <w:vAlign w:val="center"/>
                </w:tcPr>
                <w:p w14:paraId="5B7B8B26">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4710D4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58B942FC">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2BBA6672">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47A0045F">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耐磨强度</w:t>
                  </w:r>
                  <w:r>
                    <w:rPr>
                      <w:color w:val="000000" w:themeColor="text1"/>
                      <w:szCs w:val="21"/>
                      <w:highlight w:val="none"/>
                      <w14:textFill>
                        <w14:solidFill>
                          <w14:schemeClr w14:val="tx1"/>
                        </w14:solidFill>
                      </w14:textFill>
                    </w:rPr>
                    <w:t>（%）</w:t>
                  </w:r>
                </w:p>
              </w:tc>
              <w:tc>
                <w:tcPr>
                  <w:tcW w:w="3134" w:type="dxa"/>
                  <w:tcBorders>
                    <w:tl2br w:val="nil"/>
                    <w:tr2bl w:val="nil"/>
                  </w:tcBorders>
                  <w:vAlign w:val="center"/>
                </w:tcPr>
                <w:p w14:paraId="0CA6EB98">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90</w:t>
                  </w:r>
                </w:p>
              </w:tc>
              <w:tc>
                <w:tcPr>
                  <w:tcW w:w="1155" w:type="dxa"/>
                  <w:tcBorders>
                    <w:tl2br w:val="nil"/>
                    <w:tr2bl w:val="nil"/>
                  </w:tcBorders>
                  <w:vAlign w:val="center"/>
                </w:tcPr>
                <w:p w14:paraId="53B6707F">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90</w:t>
                  </w:r>
                </w:p>
              </w:tc>
              <w:tc>
                <w:tcPr>
                  <w:tcW w:w="821" w:type="dxa"/>
                  <w:tcBorders>
                    <w:tl2br w:val="nil"/>
                    <w:tr2bl w:val="nil"/>
                  </w:tcBorders>
                  <w:vAlign w:val="center"/>
                </w:tcPr>
                <w:p w14:paraId="056AAA65">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4F46432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5015BA86">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4D0E2ED3">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65A94EDD">
                  <w:pPr>
                    <w:snapToGrid w:val="0"/>
                    <w:spacing w:line="240" w:lineRule="exact"/>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着火点（</w:t>
                  </w:r>
                  <w:r>
                    <w:rPr>
                      <w:rFonts w:hint="eastAsia" w:ascii="宋体" w:hAnsi="宋体" w:cs="宋体"/>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w:t>
                  </w:r>
                </w:p>
              </w:tc>
              <w:tc>
                <w:tcPr>
                  <w:tcW w:w="3134" w:type="dxa"/>
                  <w:tcBorders>
                    <w:tl2br w:val="nil"/>
                    <w:tr2bl w:val="nil"/>
                  </w:tcBorders>
                  <w:vAlign w:val="center"/>
                </w:tcPr>
                <w:p w14:paraId="27C51062">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350</w:t>
                  </w:r>
                </w:p>
              </w:tc>
              <w:tc>
                <w:tcPr>
                  <w:tcW w:w="1155" w:type="dxa"/>
                  <w:tcBorders>
                    <w:tl2br w:val="nil"/>
                    <w:tr2bl w:val="nil"/>
                  </w:tcBorders>
                  <w:vAlign w:val="center"/>
                </w:tcPr>
                <w:p w14:paraId="4002C7D5">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350</w:t>
                  </w:r>
                </w:p>
              </w:tc>
              <w:tc>
                <w:tcPr>
                  <w:tcW w:w="821" w:type="dxa"/>
                  <w:tcBorders>
                    <w:tl2br w:val="nil"/>
                    <w:tr2bl w:val="nil"/>
                  </w:tcBorders>
                  <w:vAlign w:val="center"/>
                </w:tcPr>
                <w:p w14:paraId="5055FA64">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5023811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3C8D4B82">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222A9D8D">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1C4B5821">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灰分含量</w:t>
                  </w:r>
                  <w:r>
                    <w:rPr>
                      <w:color w:val="000000" w:themeColor="text1"/>
                      <w:szCs w:val="21"/>
                      <w:highlight w:val="none"/>
                      <w14:textFill>
                        <w14:solidFill>
                          <w14:schemeClr w14:val="tx1"/>
                        </w14:solidFill>
                      </w14:textFill>
                    </w:rPr>
                    <w:t>（%）</w:t>
                  </w:r>
                </w:p>
              </w:tc>
              <w:tc>
                <w:tcPr>
                  <w:tcW w:w="3134" w:type="dxa"/>
                  <w:tcBorders>
                    <w:tl2br w:val="nil"/>
                    <w:tr2bl w:val="nil"/>
                  </w:tcBorders>
                  <w:vAlign w:val="center"/>
                </w:tcPr>
                <w:p w14:paraId="44E666F6">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10</w:t>
                  </w:r>
                </w:p>
              </w:tc>
              <w:tc>
                <w:tcPr>
                  <w:tcW w:w="1155" w:type="dxa"/>
                  <w:tcBorders>
                    <w:tl2br w:val="nil"/>
                    <w:tr2bl w:val="nil"/>
                  </w:tcBorders>
                  <w:vAlign w:val="center"/>
                </w:tcPr>
                <w:p w14:paraId="49174C75">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15</w:t>
                  </w:r>
                </w:p>
              </w:tc>
              <w:tc>
                <w:tcPr>
                  <w:tcW w:w="821" w:type="dxa"/>
                  <w:tcBorders>
                    <w:tl2br w:val="nil"/>
                    <w:tr2bl w:val="nil"/>
                  </w:tcBorders>
                  <w:vAlign w:val="center"/>
                </w:tcPr>
                <w:p w14:paraId="754B2194">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5662F34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7BFC69D7">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72B8789C">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664EFE3D">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横向抗压强度</w:t>
                  </w:r>
                </w:p>
              </w:tc>
              <w:tc>
                <w:tcPr>
                  <w:tcW w:w="3134" w:type="dxa"/>
                  <w:tcBorders>
                    <w:tl2br w:val="nil"/>
                    <w:tr2bl w:val="nil"/>
                  </w:tcBorders>
                  <w:vAlign w:val="center"/>
                </w:tcPr>
                <w:p w14:paraId="06C15DA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≥0.9MPa</w:t>
                  </w:r>
                </w:p>
              </w:tc>
              <w:tc>
                <w:tcPr>
                  <w:tcW w:w="1155" w:type="dxa"/>
                  <w:tcBorders>
                    <w:tl2br w:val="nil"/>
                    <w:tr2bl w:val="nil"/>
                  </w:tcBorders>
                  <w:vAlign w:val="center"/>
                </w:tcPr>
                <w:p w14:paraId="307BD72E">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≥0.9MPa</w:t>
                  </w:r>
                </w:p>
              </w:tc>
              <w:tc>
                <w:tcPr>
                  <w:tcW w:w="821" w:type="dxa"/>
                  <w:tcBorders>
                    <w:tl2br w:val="nil"/>
                    <w:tr2bl w:val="nil"/>
                  </w:tcBorders>
                  <w:vAlign w:val="center"/>
                </w:tcPr>
                <w:p w14:paraId="6A30015D">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2E6164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2F4F2777">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6B5E1F60">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1F5F9FA7">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纵向强度</w:t>
                  </w:r>
                </w:p>
              </w:tc>
              <w:tc>
                <w:tcPr>
                  <w:tcW w:w="3134" w:type="dxa"/>
                  <w:tcBorders>
                    <w:tl2br w:val="nil"/>
                    <w:tr2bl w:val="nil"/>
                  </w:tcBorders>
                  <w:vAlign w:val="center"/>
                </w:tcPr>
                <w:p w14:paraId="6BC5A548">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≥0.4MP</w:t>
                  </w:r>
                </w:p>
              </w:tc>
              <w:tc>
                <w:tcPr>
                  <w:tcW w:w="1155" w:type="dxa"/>
                  <w:tcBorders>
                    <w:tl2br w:val="nil"/>
                    <w:tr2bl w:val="nil"/>
                  </w:tcBorders>
                  <w:vAlign w:val="center"/>
                </w:tcPr>
                <w:p w14:paraId="420DE19E">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≥0.4MP</w:t>
                  </w:r>
                </w:p>
              </w:tc>
              <w:tc>
                <w:tcPr>
                  <w:tcW w:w="821" w:type="dxa"/>
                  <w:tcBorders>
                    <w:tl2br w:val="nil"/>
                    <w:tr2bl w:val="nil"/>
                  </w:tcBorders>
                  <w:vAlign w:val="center"/>
                </w:tcPr>
                <w:p w14:paraId="640F846F">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1D0A8A3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3C3ED4EA">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3725C585">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5B930A67">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动态吸附量（%）</w:t>
                  </w:r>
                </w:p>
              </w:tc>
              <w:tc>
                <w:tcPr>
                  <w:tcW w:w="3134" w:type="dxa"/>
                  <w:tcBorders>
                    <w:tl2br w:val="nil"/>
                    <w:tr2bl w:val="nil"/>
                  </w:tcBorders>
                  <w:vAlign w:val="center"/>
                </w:tcPr>
                <w:p w14:paraId="4483A281">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10</w:t>
                  </w:r>
                </w:p>
              </w:tc>
              <w:tc>
                <w:tcPr>
                  <w:tcW w:w="1155" w:type="dxa"/>
                  <w:tcBorders>
                    <w:tl2br w:val="nil"/>
                    <w:tr2bl w:val="nil"/>
                  </w:tcBorders>
                  <w:vAlign w:val="center"/>
                </w:tcPr>
                <w:p w14:paraId="6DD13936">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821" w:type="dxa"/>
                  <w:tcBorders>
                    <w:tl2br w:val="nil"/>
                    <w:tr2bl w:val="nil"/>
                  </w:tcBorders>
                  <w:vAlign w:val="center"/>
                </w:tcPr>
                <w:p w14:paraId="6EB73903">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291CDA1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0D71D815">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249E90A8">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7FB181CB">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一次装填量（kg）</w:t>
                  </w:r>
                </w:p>
              </w:tc>
              <w:tc>
                <w:tcPr>
                  <w:tcW w:w="3134" w:type="dxa"/>
                  <w:tcBorders>
                    <w:tl2br w:val="nil"/>
                    <w:tr2bl w:val="nil"/>
                  </w:tcBorders>
                  <w:vAlign w:val="center"/>
                </w:tcPr>
                <w:p w14:paraId="52016E71">
                  <w:pPr>
                    <w:snapToGrid w:val="0"/>
                    <w:spacing w:line="240" w:lineRule="exact"/>
                    <w:jc w:val="center"/>
                    <w:rPr>
                      <w:rFonts w:hint="default"/>
                      <w:color w:val="000000" w:themeColor="text1"/>
                      <w:szCs w:val="21"/>
                      <w:highlight w:val="none"/>
                      <w:lang w:val="en-US"/>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576二级</w:t>
                  </w:r>
                </w:p>
              </w:tc>
              <w:tc>
                <w:tcPr>
                  <w:tcW w:w="1155" w:type="dxa"/>
                  <w:tcBorders>
                    <w:tl2br w:val="nil"/>
                    <w:tr2bl w:val="nil"/>
                  </w:tcBorders>
                  <w:vAlign w:val="center"/>
                </w:tcPr>
                <w:p w14:paraId="1B80C6A8">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821" w:type="dxa"/>
                  <w:tcBorders>
                    <w:tl2br w:val="nil"/>
                    <w:tr2bl w:val="nil"/>
                  </w:tcBorders>
                  <w:vAlign w:val="center"/>
                </w:tcPr>
                <w:p w14:paraId="762F6125">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309A36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54416F51">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075D6636">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4B9A8FBE">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更换频次</w:t>
                  </w:r>
                </w:p>
              </w:tc>
              <w:tc>
                <w:tcPr>
                  <w:tcW w:w="3134" w:type="dxa"/>
                  <w:tcBorders>
                    <w:tl2br w:val="nil"/>
                    <w:tr2bl w:val="nil"/>
                  </w:tcBorders>
                  <w:vAlign w:val="center"/>
                </w:tcPr>
                <w:p w14:paraId="7DEB9254">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90</w:t>
                  </w:r>
                  <w:r>
                    <w:rPr>
                      <w:color w:val="000000" w:themeColor="text1"/>
                      <w:szCs w:val="21"/>
                      <w:highlight w:val="none"/>
                      <w14:textFill>
                        <w14:solidFill>
                          <w14:schemeClr w14:val="tx1"/>
                        </w14:solidFill>
                      </w14:textFill>
                    </w:rPr>
                    <w:t>天/次</w:t>
                  </w:r>
                </w:p>
              </w:tc>
              <w:tc>
                <w:tcPr>
                  <w:tcW w:w="1155" w:type="dxa"/>
                  <w:tcBorders>
                    <w:tl2br w:val="nil"/>
                    <w:tr2bl w:val="nil"/>
                  </w:tcBorders>
                  <w:vAlign w:val="center"/>
                </w:tcPr>
                <w:p w14:paraId="341DA00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821" w:type="dxa"/>
                  <w:tcBorders>
                    <w:tl2br w:val="nil"/>
                    <w:tr2bl w:val="nil"/>
                  </w:tcBorders>
                  <w:vAlign w:val="center"/>
                </w:tcPr>
                <w:p w14:paraId="11913706">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1817ADA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6989FF90">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2947BDDE">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205AA9D4">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进气温度</w:t>
                  </w:r>
                </w:p>
              </w:tc>
              <w:tc>
                <w:tcPr>
                  <w:tcW w:w="3134" w:type="dxa"/>
                  <w:tcBorders>
                    <w:tl2br w:val="nil"/>
                    <w:tr2bl w:val="nil"/>
                  </w:tcBorders>
                  <w:vAlign w:val="center"/>
                </w:tcPr>
                <w:p w14:paraId="17A944B7">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25</w:t>
                  </w:r>
                </w:p>
              </w:tc>
              <w:tc>
                <w:tcPr>
                  <w:tcW w:w="1155" w:type="dxa"/>
                  <w:tcBorders>
                    <w:tl2br w:val="nil"/>
                    <w:tr2bl w:val="nil"/>
                  </w:tcBorders>
                  <w:vAlign w:val="center"/>
                </w:tcPr>
                <w:p w14:paraId="7B59EB09">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&lt;</w:t>
                  </w:r>
                  <w:r>
                    <w:rPr>
                      <w:rFonts w:hint="eastAsia"/>
                      <w:color w:val="000000" w:themeColor="text1"/>
                      <w:szCs w:val="21"/>
                      <w:highlight w:val="none"/>
                      <w14:textFill>
                        <w14:solidFill>
                          <w14:schemeClr w14:val="tx1"/>
                        </w14:solidFill>
                      </w14:textFill>
                    </w:rPr>
                    <w:t>40</w:t>
                  </w:r>
                  <w:r>
                    <w:rPr>
                      <w:rFonts w:hint="eastAsia" w:ascii="宋体" w:hAnsi="宋体" w:cs="宋体"/>
                      <w:color w:val="000000" w:themeColor="text1"/>
                      <w:szCs w:val="21"/>
                      <w:highlight w:val="none"/>
                      <w14:textFill>
                        <w14:solidFill>
                          <w14:schemeClr w14:val="tx1"/>
                        </w14:solidFill>
                      </w14:textFill>
                    </w:rPr>
                    <w:t>℃</w:t>
                  </w:r>
                </w:p>
              </w:tc>
              <w:tc>
                <w:tcPr>
                  <w:tcW w:w="821" w:type="dxa"/>
                  <w:tcBorders>
                    <w:tl2br w:val="nil"/>
                    <w:tr2bl w:val="nil"/>
                  </w:tcBorders>
                  <w:vAlign w:val="center"/>
                </w:tcPr>
                <w:p w14:paraId="7C852328">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4B8D605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restart"/>
                  <w:tcBorders>
                    <w:tl2br w:val="nil"/>
                    <w:tr2bl w:val="nil"/>
                  </w:tcBorders>
                  <w:vAlign w:val="center"/>
                </w:tcPr>
                <w:p w14:paraId="0E92E9B8">
                  <w:pPr>
                    <w:snapToGrid w:val="0"/>
                    <w:spacing w:line="240" w:lineRule="exact"/>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w:t>
                  </w:r>
                </w:p>
              </w:tc>
              <w:tc>
                <w:tcPr>
                  <w:tcW w:w="895" w:type="dxa"/>
                  <w:vMerge w:val="restart"/>
                  <w:tcBorders>
                    <w:tl2br w:val="nil"/>
                    <w:tr2bl w:val="nil"/>
                  </w:tcBorders>
                  <w:vAlign w:val="center"/>
                </w:tcPr>
                <w:p w14:paraId="1685A90B">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TA00</w:t>
                  </w:r>
                  <w:r>
                    <w:rPr>
                      <w:rFonts w:hint="eastAsia"/>
                      <w:color w:val="000000" w:themeColor="text1"/>
                      <w:szCs w:val="21"/>
                      <w:highlight w:val="none"/>
                      <w:lang w:val="en-US" w:eastAsia="zh-CN"/>
                      <w14:textFill>
                        <w14:solidFill>
                          <w14:schemeClr w14:val="tx1"/>
                        </w14:solidFill>
                      </w14:textFill>
                    </w:rPr>
                    <w:t>2二</w:t>
                  </w:r>
                  <w:r>
                    <w:rPr>
                      <w:rFonts w:hint="eastAsia"/>
                      <w:color w:val="000000" w:themeColor="text1"/>
                      <w:szCs w:val="21"/>
                      <w:highlight w:val="none"/>
                      <w14:textFill>
                        <w14:solidFill>
                          <w14:schemeClr w14:val="tx1"/>
                        </w14:solidFill>
                      </w14:textFill>
                    </w:rPr>
                    <w:t>级</w:t>
                  </w:r>
                  <w:r>
                    <w:rPr>
                      <w:color w:val="000000" w:themeColor="text1"/>
                      <w:szCs w:val="21"/>
                      <w:highlight w:val="none"/>
                      <w14:textFill>
                        <w14:solidFill>
                          <w14:schemeClr w14:val="tx1"/>
                        </w14:solidFill>
                      </w14:textFill>
                    </w:rPr>
                    <w:t>活性炭</w:t>
                  </w:r>
                </w:p>
              </w:tc>
              <w:tc>
                <w:tcPr>
                  <w:tcW w:w="2008" w:type="dxa"/>
                  <w:tcBorders>
                    <w:tl2br w:val="nil"/>
                    <w:tr2bl w:val="nil"/>
                  </w:tcBorders>
                  <w:vAlign w:val="center"/>
                </w:tcPr>
                <w:p w14:paraId="5542BFE4">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风量（m</w:t>
                  </w:r>
                  <w:r>
                    <w:rPr>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/h）</w:t>
                  </w:r>
                </w:p>
              </w:tc>
              <w:tc>
                <w:tcPr>
                  <w:tcW w:w="3134" w:type="dxa"/>
                  <w:tcBorders>
                    <w:tl2br w:val="nil"/>
                    <w:tr2bl w:val="nil"/>
                  </w:tcBorders>
                  <w:vAlign w:val="center"/>
                </w:tcPr>
                <w:p w14:paraId="4EE54190">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40</w:t>
                  </w:r>
                  <w:r>
                    <w:rPr>
                      <w:rFonts w:hint="eastAsia"/>
                      <w:color w:val="000000" w:themeColor="text1"/>
                      <w:szCs w:val="21"/>
                      <w:highlight w:val="none"/>
                      <w14:textFill>
                        <w14:solidFill>
                          <w14:schemeClr w14:val="tx1"/>
                        </w14:solidFill>
                      </w14:textFill>
                    </w:rPr>
                    <w:t>00</w:t>
                  </w:r>
                </w:p>
              </w:tc>
              <w:tc>
                <w:tcPr>
                  <w:tcW w:w="1155" w:type="dxa"/>
                  <w:tcBorders>
                    <w:tl2br w:val="nil"/>
                    <w:tr2bl w:val="nil"/>
                  </w:tcBorders>
                  <w:vAlign w:val="center"/>
                </w:tcPr>
                <w:p w14:paraId="472DB95F">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821" w:type="dxa"/>
                  <w:tcBorders>
                    <w:tl2br w:val="nil"/>
                    <w:tr2bl w:val="nil"/>
                  </w:tcBorders>
                  <w:vAlign w:val="center"/>
                </w:tcPr>
                <w:p w14:paraId="7CD73303">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10DFF02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2A224CB6">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67B86A46">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624B376A">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活性炭种类</w:t>
                  </w:r>
                </w:p>
              </w:tc>
              <w:tc>
                <w:tcPr>
                  <w:tcW w:w="3134" w:type="dxa"/>
                  <w:tcBorders>
                    <w:tl2br w:val="nil"/>
                    <w:tr2bl w:val="nil"/>
                  </w:tcBorders>
                  <w:vAlign w:val="center"/>
                </w:tcPr>
                <w:p w14:paraId="229CA21A">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颗粒活性炭</w:t>
                  </w:r>
                </w:p>
              </w:tc>
              <w:tc>
                <w:tcPr>
                  <w:tcW w:w="1155" w:type="dxa"/>
                  <w:tcBorders>
                    <w:tl2br w:val="nil"/>
                    <w:tr2bl w:val="nil"/>
                  </w:tcBorders>
                  <w:vAlign w:val="center"/>
                </w:tcPr>
                <w:p w14:paraId="58ED3145">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821" w:type="dxa"/>
                  <w:tcBorders>
                    <w:tl2br w:val="nil"/>
                    <w:tr2bl w:val="nil"/>
                  </w:tcBorders>
                  <w:vAlign w:val="center"/>
                </w:tcPr>
                <w:p w14:paraId="00ED2CA1">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0F94CB6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751858A7">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18C8225C">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5124CA81">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箱体尺寸</w:t>
                  </w:r>
                </w:p>
              </w:tc>
              <w:tc>
                <w:tcPr>
                  <w:tcW w:w="3134" w:type="dxa"/>
                  <w:tcBorders>
                    <w:tl2br w:val="nil"/>
                    <w:tr2bl w:val="nil"/>
                  </w:tcBorders>
                  <w:vAlign w:val="center"/>
                </w:tcPr>
                <w:p w14:paraId="256414FE">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13</w:t>
                  </w:r>
                  <w:r>
                    <w:rPr>
                      <w:rFonts w:hint="eastAsia"/>
                      <w:color w:val="000000" w:themeColor="text1"/>
                      <w:szCs w:val="21"/>
                      <w:highlight w:val="none"/>
                      <w14:textFill>
                        <w14:solidFill>
                          <w14:schemeClr w14:val="tx1"/>
                        </w14:solidFill>
                      </w14:textFill>
                    </w:rPr>
                    <w:t>0</w:t>
                  </w:r>
                  <w:r>
                    <w:rPr>
                      <w:color w:val="000000" w:themeColor="text1"/>
                      <w:szCs w:val="21"/>
                      <w:highlight w:val="none"/>
                      <w14:textFill>
                        <w14:solidFill>
                          <w14:schemeClr w14:val="tx1"/>
                        </w14:solidFill>
                      </w14:textFill>
                    </w:rPr>
                    <w:t>0mm×</w:t>
                  </w:r>
                  <w:r>
                    <w:rPr>
                      <w:rFonts w:hint="eastAsia"/>
                      <w:color w:val="000000" w:themeColor="text1"/>
                      <w:szCs w:val="21"/>
                      <w:highlight w:val="none"/>
                      <w:lang w:val="en-US" w:eastAsia="zh-CN"/>
                      <w14:textFill>
                        <w14:solidFill>
                          <w14:schemeClr w14:val="tx1"/>
                        </w14:solidFill>
                      </w14:textFill>
                    </w:rPr>
                    <w:t>10</w:t>
                  </w:r>
                  <w:r>
                    <w:rPr>
                      <w:rFonts w:hint="eastAsia"/>
                      <w:color w:val="000000" w:themeColor="text1"/>
                      <w:szCs w:val="21"/>
                      <w:highlight w:val="none"/>
                      <w14:textFill>
                        <w14:solidFill>
                          <w14:schemeClr w14:val="tx1"/>
                        </w14:solidFill>
                      </w14:textFill>
                    </w:rPr>
                    <w:t>0</w:t>
                  </w:r>
                  <w:r>
                    <w:rPr>
                      <w:color w:val="000000" w:themeColor="text1"/>
                      <w:szCs w:val="21"/>
                      <w:highlight w:val="none"/>
                      <w14:textFill>
                        <w14:solidFill>
                          <w14:schemeClr w14:val="tx1"/>
                        </w14:solidFill>
                      </w14:textFill>
                    </w:rPr>
                    <w:t>0mm×</w:t>
                  </w:r>
                  <w:r>
                    <w:rPr>
                      <w:rFonts w:hint="eastAsia"/>
                      <w:color w:val="000000" w:themeColor="text1"/>
                      <w:szCs w:val="21"/>
                      <w:highlight w:val="none"/>
                      <w:lang w:val="en-US" w:eastAsia="zh-CN"/>
                      <w14:textFill>
                        <w14:solidFill>
                          <w14:schemeClr w14:val="tx1"/>
                        </w14:solidFill>
                      </w14:textFill>
                    </w:rPr>
                    <w:t>10</w:t>
                  </w:r>
                  <w:r>
                    <w:rPr>
                      <w:color w:val="000000" w:themeColor="text1"/>
                      <w:szCs w:val="21"/>
                      <w:highlight w:val="none"/>
                      <w14:textFill>
                        <w14:solidFill>
                          <w14:schemeClr w14:val="tx1"/>
                        </w14:solidFill>
                      </w14:textFill>
                    </w:rPr>
                    <w:t>00mm</w:t>
                  </w:r>
                </w:p>
              </w:tc>
              <w:tc>
                <w:tcPr>
                  <w:tcW w:w="1155" w:type="dxa"/>
                  <w:tcBorders>
                    <w:tl2br w:val="nil"/>
                    <w:tr2bl w:val="nil"/>
                  </w:tcBorders>
                  <w:vAlign w:val="center"/>
                </w:tcPr>
                <w:p w14:paraId="7A0C169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821" w:type="dxa"/>
                  <w:tcBorders>
                    <w:tl2br w:val="nil"/>
                    <w:tr2bl w:val="nil"/>
                  </w:tcBorders>
                  <w:vAlign w:val="center"/>
                </w:tcPr>
                <w:p w14:paraId="1BDA7D4F">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68F30D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49B57EDA">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76BB139A">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7B417BC5">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活性炭尺寸</w:t>
                  </w:r>
                </w:p>
              </w:tc>
              <w:tc>
                <w:tcPr>
                  <w:tcW w:w="3134" w:type="dxa"/>
                  <w:tcBorders>
                    <w:tl2br w:val="nil"/>
                    <w:tr2bl w:val="nil"/>
                  </w:tcBorders>
                  <w:vAlign w:val="center"/>
                </w:tcPr>
                <w:p w14:paraId="40F0C501">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L</w:t>
                  </w:r>
                  <w:r>
                    <w:rPr>
                      <w:rFonts w:hint="eastAsia"/>
                      <w:color w:val="000000" w:themeColor="text1"/>
                      <w:szCs w:val="21"/>
                      <w:highlight w:val="none"/>
                      <w:lang w:val="en-US" w:eastAsia="zh-CN"/>
                      <w14:textFill>
                        <w14:solidFill>
                          <w14:schemeClr w14:val="tx1"/>
                        </w14:solidFill>
                      </w14:textFill>
                    </w:rPr>
                    <w:t>12</w:t>
                  </w:r>
                  <w:r>
                    <w:rPr>
                      <w:rFonts w:hint="eastAsia"/>
                      <w:color w:val="000000" w:themeColor="text1"/>
                      <w:szCs w:val="21"/>
                      <w:highlight w:val="none"/>
                      <w14:textFill>
                        <w14:solidFill>
                          <w14:schemeClr w14:val="tx1"/>
                        </w14:solidFill>
                      </w14:textFill>
                    </w:rPr>
                    <w:t>00</w:t>
                  </w:r>
                  <w:r>
                    <w:rPr>
                      <w:color w:val="000000" w:themeColor="text1"/>
                      <w:szCs w:val="21"/>
                      <w:highlight w:val="none"/>
                      <w14:textFill>
                        <w14:solidFill>
                          <w14:schemeClr w14:val="tx1"/>
                        </w14:solidFill>
                      </w14:textFill>
                    </w:rPr>
                    <w:t>mm×W</w:t>
                  </w:r>
                  <w:r>
                    <w:rPr>
                      <w:rFonts w:hint="eastAsia"/>
                      <w:color w:val="000000" w:themeColor="text1"/>
                      <w:szCs w:val="21"/>
                      <w:highlight w:val="none"/>
                      <w:lang w:val="en-US" w:eastAsia="zh-CN"/>
                      <w14:textFill>
                        <w14:solidFill>
                          <w14:schemeClr w14:val="tx1"/>
                        </w14:solidFill>
                      </w14:textFill>
                    </w:rPr>
                    <w:t>8</w:t>
                  </w:r>
                  <w:r>
                    <w:rPr>
                      <w:rFonts w:hint="eastAsia"/>
                      <w:color w:val="000000" w:themeColor="text1"/>
                      <w:szCs w:val="21"/>
                      <w:highlight w:val="none"/>
                      <w14:textFill>
                        <w14:solidFill>
                          <w14:schemeClr w14:val="tx1"/>
                        </w14:solidFill>
                      </w14:textFill>
                    </w:rPr>
                    <w:t>00</w:t>
                  </w:r>
                  <w:r>
                    <w:rPr>
                      <w:color w:val="000000" w:themeColor="text1"/>
                      <w:szCs w:val="21"/>
                      <w:highlight w:val="none"/>
                      <w14:textFill>
                        <w14:solidFill>
                          <w14:schemeClr w14:val="tx1"/>
                        </w14:solidFill>
                      </w14:textFill>
                    </w:rPr>
                    <w:t>mm×H</w:t>
                  </w:r>
                  <w:r>
                    <w:rPr>
                      <w:rFonts w:hint="eastAsia"/>
                      <w:color w:val="000000" w:themeColor="text1"/>
                      <w:szCs w:val="21"/>
                      <w:highlight w:val="none"/>
                      <w:lang w:val="en-US" w:eastAsia="zh-CN"/>
                      <w14:textFill>
                        <w14:solidFill>
                          <w14:schemeClr w14:val="tx1"/>
                        </w14:solidFill>
                      </w14:textFill>
                    </w:rPr>
                    <w:t>4</w:t>
                  </w:r>
                  <w:r>
                    <w:rPr>
                      <w:color w:val="000000" w:themeColor="text1"/>
                      <w:szCs w:val="21"/>
                      <w:highlight w:val="none"/>
                      <w14:textFill>
                        <w14:solidFill>
                          <w14:schemeClr w14:val="tx1"/>
                        </w14:solidFill>
                      </w14:textFill>
                    </w:rPr>
                    <w:t>00mm</w:t>
                  </w:r>
                  <w:r>
                    <w:rPr>
                      <w:rFonts w:hint="eastAsia"/>
                      <w:color w:val="000000" w:themeColor="text1"/>
                      <w:szCs w:val="21"/>
                      <w:highlight w:val="none"/>
                      <w:lang w:val="en-US" w:eastAsia="zh-CN"/>
                      <w14:textFill>
                        <w14:solidFill>
                          <w14:schemeClr w14:val="tx1"/>
                        </w14:solidFill>
                      </w14:textFill>
                    </w:rPr>
                    <w:t>*2</w:t>
                  </w:r>
                </w:p>
              </w:tc>
              <w:tc>
                <w:tcPr>
                  <w:tcW w:w="1155" w:type="dxa"/>
                  <w:tcBorders>
                    <w:tl2br w:val="nil"/>
                    <w:tr2bl w:val="nil"/>
                  </w:tcBorders>
                  <w:vAlign w:val="center"/>
                </w:tcPr>
                <w:p w14:paraId="36DC2EBD">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821" w:type="dxa"/>
                  <w:tcBorders>
                    <w:tl2br w:val="nil"/>
                    <w:tr2bl w:val="nil"/>
                  </w:tcBorders>
                  <w:vAlign w:val="center"/>
                </w:tcPr>
                <w:p w14:paraId="74B64164">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27C8B1F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2128F1D7">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0E130EE1">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4F8FAA5A">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活性炭碘值（mg/g）</w:t>
                  </w:r>
                </w:p>
              </w:tc>
              <w:tc>
                <w:tcPr>
                  <w:tcW w:w="3134" w:type="dxa"/>
                  <w:tcBorders>
                    <w:tl2br w:val="nil"/>
                    <w:tr2bl w:val="nil"/>
                  </w:tcBorders>
                  <w:vAlign w:val="center"/>
                </w:tcPr>
                <w:p w14:paraId="090C3800">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800</w:t>
                  </w:r>
                </w:p>
              </w:tc>
              <w:tc>
                <w:tcPr>
                  <w:tcW w:w="1155" w:type="dxa"/>
                  <w:tcBorders>
                    <w:tl2br w:val="nil"/>
                    <w:tr2bl w:val="nil"/>
                  </w:tcBorders>
                  <w:vAlign w:val="center"/>
                </w:tcPr>
                <w:p w14:paraId="09B40C47">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800</w:t>
                  </w:r>
                </w:p>
              </w:tc>
              <w:tc>
                <w:tcPr>
                  <w:tcW w:w="821" w:type="dxa"/>
                  <w:tcBorders>
                    <w:tl2br w:val="nil"/>
                    <w:tr2bl w:val="nil"/>
                  </w:tcBorders>
                  <w:vAlign w:val="center"/>
                </w:tcPr>
                <w:p w14:paraId="704BC9A1">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022F4A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c>
                <w:tcPr>
                  <w:tcW w:w="458" w:type="dxa"/>
                  <w:vMerge w:val="continue"/>
                  <w:tcBorders>
                    <w:tl2br w:val="nil"/>
                    <w:tr2bl w:val="nil"/>
                  </w:tcBorders>
                  <w:vAlign w:val="center"/>
                </w:tcPr>
                <w:p w14:paraId="6EDCC464">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38DDE7AA">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7FA8D724">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四氯化碳吸附率</w:t>
                  </w:r>
                  <w:r>
                    <w:rPr>
                      <w:color w:val="000000" w:themeColor="text1"/>
                      <w:szCs w:val="21"/>
                      <w:highlight w:val="none"/>
                      <w14:textFill>
                        <w14:solidFill>
                          <w14:schemeClr w14:val="tx1"/>
                        </w14:solidFill>
                      </w14:textFill>
                    </w:rPr>
                    <w:t>（%）</w:t>
                  </w:r>
                </w:p>
              </w:tc>
              <w:tc>
                <w:tcPr>
                  <w:tcW w:w="3134" w:type="dxa"/>
                  <w:tcBorders>
                    <w:tl2br w:val="nil"/>
                    <w:tr2bl w:val="nil"/>
                  </w:tcBorders>
                  <w:vAlign w:val="center"/>
                </w:tcPr>
                <w:p w14:paraId="658B3650">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40</w:t>
                  </w:r>
                </w:p>
              </w:tc>
              <w:tc>
                <w:tcPr>
                  <w:tcW w:w="1155" w:type="dxa"/>
                  <w:tcBorders>
                    <w:tl2br w:val="nil"/>
                    <w:tr2bl w:val="nil"/>
                  </w:tcBorders>
                  <w:vAlign w:val="center"/>
                </w:tcPr>
                <w:p w14:paraId="150221DB">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40</w:t>
                  </w:r>
                </w:p>
              </w:tc>
              <w:tc>
                <w:tcPr>
                  <w:tcW w:w="821" w:type="dxa"/>
                  <w:tcBorders>
                    <w:tl2br w:val="nil"/>
                    <w:tr2bl w:val="nil"/>
                  </w:tcBorders>
                  <w:vAlign w:val="center"/>
                </w:tcPr>
                <w:p w14:paraId="325ACEFD">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4138FC8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6F7C0FCB">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7ED6FAD4">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7CBC912B">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比表面积（m²/g）</w:t>
                  </w:r>
                </w:p>
              </w:tc>
              <w:tc>
                <w:tcPr>
                  <w:tcW w:w="3134" w:type="dxa"/>
                  <w:tcBorders>
                    <w:tl2br w:val="nil"/>
                    <w:tr2bl w:val="nil"/>
                  </w:tcBorders>
                  <w:vAlign w:val="center"/>
                </w:tcPr>
                <w:p w14:paraId="0C7D129D">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1100</w:t>
                  </w:r>
                </w:p>
              </w:tc>
              <w:tc>
                <w:tcPr>
                  <w:tcW w:w="1155" w:type="dxa"/>
                  <w:tcBorders>
                    <w:tl2br w:val="nil"/>
                    <w:tr2bl w:val="nil"/>
                  </w:tcBorders>
                  <w:vAlign w:val="center"/>
                </w:tcPr>
                <w:p w14:paraId="4D4E3DBD">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≥750</w:t>
                  </w:r>
                </w:p>
              </w:tc>
              <w:tc>
                <w:tcPr>
                  <w:tcW w:w="821" w:type="dxa"/>
                  <w:tcBorders>
                    <w:tl2br w:val="nil"/>
                    <w:tr2bl w:val="nil"/>
                  </w:tcBorders>
                  <w:vAlign w:val="center"/>
                </w:tcPr>
                <w:p w14:paraId="6E39FD4E">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6CB7140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0" w:hRule="atLeast"/>
              </w:trPr>
              <w:tc>
                <w:tcPr>
                  <w:tcW w:w="458" w:type="dxa"/>
                  <w:vMerge w:val="continue"/>
                  <w:tcBorders>
                    <w:tl2br w:val="nil"/>
                    <w:tr2bl w:val="nil"/>
                  </w:tcBorders>
                  <w:vAlign w:val="center"/>
                </w:tcPr>
                <w:p w14:paraId="0B0477F1">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32F44324">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299E6091">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过滤风速（m/s）</w:t>
                  </w:r>
                </w:p>
              </w:tc>
              <w:tc>
                <w:tcPr>
                  <w:tcW w:w="3134" w:type="dxa"/>
                  <w:tcBorders>
                    <w:tl2br w:val="nil"/>
                    <w:tr2bl w:val="nil"/>
                  </w:tcBorders>
                  <w:vAlign w:val="center"/>
                </w:tcPr>
                <w:p w14:paraId="2653ECB7">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0.58</w:t>
                  </w:r>
                </w:p>
              </w:tc>
              <w:tc>
                <w:tcPr>
                  <w:tcW w:w="1155" w:type="dxa"/>
                  <w:tcBorders>
                    <w:tl2br w:val="nil"/>
                    <w:tr2bl w:val="nil"/>
                  </w:tcBorders>
                  <w:vAlign w:val="center"/>
                </w:tcPr>
                <w:p w14:paraId="40AF30F1">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&lt;</w:t>
                  </w:r>
                  <w:r>
                    <w:rPr>
                      <w:color w:val="000000" w:themeColor="text1"/>
                      <w:szCs w:val="21"/>
                      <w:highlight w:val="none"/>
                      <w14:textFill>
                        <w14:solidFill>
                          <w14:schemeClr w14:val="tx1"/>
                        </w14:solidFill>
                      </w14:textFill>
                    </w:rPr>
                    <w:t>0.6</w:t>
                  </w:r>
                </w:p>
              </w:tc>
              <w:tc>
                <w:tcPr>
                  <w:tcW w:w="821" w:type="dxa"/>
                  <w:tcBorders>
                    <w:tl2br w:val="nil"/>
                    <w:tr2bl w:val="nil"/>
                  </w:tcBorders>
                  <w:vAlign w:val="center"/>
                </w:tcPr>
                <w:p w14:paraId="7839A97D">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07A70C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98" w:hRule="atLeast"/>
              </w:trPr>
              <w:tc>
                <w:tcPr>
                  <w:tcW w:w="458" w:type="dxa"/>
                  <w:vMerge w:val="continue"/>
                  <w:tcBorders>
                    <w:tl2br w:val="nil"/>
                    <w:tr2bl w:val="nil"/>
                  </w:tcBorders>
                  <w:vAlign w:val="center"/>
                </w:tcPr>
                <w:p w14:paraId="685B90EF">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64527C64">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0A85035C">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停留时间（s）</w:t>
                  </w:r>
                </w:p>
              </w:tc>
              <w:tc>
                <w:tcPr>
                  <w:tcW w:w="3134" w:type="dxa"/>
                  <w:tcBorders>
                    <w:tl2br w:val="nil"/>
                    <w:tr2bl w:val="nil"/>
                  </w:tcBorders>
                  <w:vAlign w:val="center"/>
                </w:tcPr>
                <w:p w14:paraId="0DAE398F">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w:t>
                  </w:r>
                  <w:r>
                    <w:rPr>
                      <w:rFonts w:hint="eastAsia"/>
                      <w:color w:val="000000" w:themeColor="text1"/>
                      <w:szCs w:val="21"/>
                      <w:highlight w:val="none"/>
                      <w:lang w:val="en-US" w:eastAsia="zh-CN"/>
                      <w14:textFill>
                        <w14:solidFill>
                          <w14:schemeClr w14:val="tx1"/>
                        </w14:solidFill>
                      </w14:textFill>
                    </w:rPr>
                    <w:t>69</w:t>
                  </w:r>
                </w:p>
              </w:tc>
              <w:tc>
                <w:tcPr>
                  <w:tcW w:w="1155" w:type="dxa"/>
                  <w:tcBorders>
                    <w:tl2br w:val="nil"/>
                    <w:tr2bl w:val="nil"/>
                  </w:tcBorders>
                  <w:vAlign w:val="center"/>
                </w:tcPr>
                <w:p w14:paraId="25E3DEDD">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821" w:type="dxa"/>
                  <w:tcBorders>
                    <w:tl2br w:val="nil"/>
                    <w:tr2bl w:val="nil"/>
                  </w:tcBorders>
                  <w:vAlign w:val="center"/>
                </w:tcPr>
                <w:p w14:paraId="4130427E">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25A7DC8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6A426686">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3251EF03">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297DC176">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活性炭密度（kg/m³）</w:t>
                  </w:r>
                </w:p>
              </w:tc>
              <w:tc>
                <w:tcPr>
                  <w:tcW w:w="3134" w:type="dxa"/>
                  <w:tcBorders>
                    <w:tl2br w:val="nil"/>
                    <w:tr2bl w:val="nil"/>
                  </w:tcBorders>
                  <w:vAlign w:val="center"/>
                </w:tcPr>
                <w:p w14:paraId="3AA43FC4">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500</w:t>
                  </w:r>
                </w:p>
              </w:tc>
              <w:tc>
                <w:tcPr>
                  <w:tcW w:w="1155" w:type="dxa"/>
                  <w:tcBorders>
                    <w:tl2br w:val="nil"/>
                    <w:tr2bl w:val="nil"/>
                  </w:tcBorders>
                  <w:vAlign w:val="center"/>
                </w:tcPr>
                <w:p w14:paraId="0F293DE5">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821" w:type="dxa"/>
                  <w:tcBorders>
                    <w:tl2br w:val="nil"/>
                    <w:tr2bl w:val="nil"/>
                  </w:tcBorders>
                  <w:vAlign w:val="center"/>
                </w:tcPr>
                <w:p w14:paraId="71690262">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62356B5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55AA1D7F">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6AAB7E30">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788C10CF">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水分含量（%）</w:t>
                  </w:r>
                </w:p>
              </w:tc>
              <w:tc>
                <w:tcPr>
                  <w:tcW w:w="3134" w:type="dxa"/>
                  <w:tcBorders>
                    <w:tl2br w:val="nil"/>
                    <w:tr2bl w:val="nil"/>
                  </w:tcBorders>
                  <w:vAlign w:val="center"/>
                </w:tcPr>
                <w:p w14:paraId="652592A5">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w:t>
                  </w:r>
                </w:p>
              </w:tc>
              <w:tc>
                <w:tcPr>
                  <w:tcW w:w="1155" w:type="dxa"/>
                  <w:tcBorders>
                    <w:tl2br w:val="nil"/>
                    <w:tr2bl w:val="nil"/>
                  </w:tcBorders>
                  <w:vAlign w:val="center"/>
                </w:tcPr>
                <w:p w14:paraId="445D55BA">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10</w:t>
                  </w:r>
                </w:p>
              </w:tc>
              <w:tc>
                <w:tcPr>
                  <w:tcW w:w="821" w:type="dxa"/>
                  <w:tcBorders>
                    <w:tl2br w:val="nil"/>
                    <w:tr2bl w:val="nil"/>
                  </w:tcBorders>
                  <w:vAlign w:val="center"/>
                </w:tcPr>
                <w:p w14:paraId="158623B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744713C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3648F2FF">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4F122AE7">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35E3B481">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耐磨强度</w:t>
                  </w:r>
                  <w:r>
                    <w:rPr>
                      <w:color w:val="000000" w:themeColor="text1"/>
                      <w:szCs w:val="21"/>
                      <w:highlight w:val="none"/>
                      <w14:textFill>
                        <w14:solidFill>
                          <w14:schemeClr w14:val="tx1"/>
                        </w14:solidFill>
                      </w14:textFill>
                    </w:rPr>
                    <w:t>（%）</w:t>
                  </w:r>
                </w:p>
              </w:tc>
              <w:tc>
                <w:tcPr>
                  <w:tcW w:w="3134" w:type="dxa"/>
                  <w:tcBorders>
                    <w:tl2br w:val="nil"/>
                    <w:tr2bl w:val="nil"/>
                  </w:tcBorders>
                  <w:vAlign w:val="center"/>
                </w:tcPr>
                <w:p w14:paraId="7B36D61A">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90</w:t>
                  </w:r>
                </w:p>
              </w:tc>
              <w:tc>
                <w:tcPr>
                  <w:tcW w:w="1155" w:type="dxa"/>
                  <w:tcBorders>
                    <w:tl2br w:val="nil"/>
                    <w:tr2bl w:val="nil"/>
                  </w:tcBorders>
                  <w:vAlign w:val="center"/>
                </w:tcPr>
                <w:p w14:paraId="1EB5DA8A">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90</w:t>
                  </w:r>
                </w:p>
              </w:tc>
              <w:tc>
                <w:tcPr>
                  <w:tcW w:w="821" w:type="dxa"/>
                  <w:tcBorders>
                    <w:tl2br w:val="nil"/>
                    <w:tr2bl w:val="nil"/>
                  </w:tcBorders>
                  <w:vAlign w:val="center"/>
                </w:tcPr>
                <w:p w14:paraId="3E405713">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4729B1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0AB7F14D">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024783F6">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2C6C5BC6">
                  <w:pPr>
                    <w:snapToGrid w:val="0"/>
                    <w:spacing w:line="240" w:lineRule="exact"/>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着火点（</w:t>
                  </w:r>
                  <w:r>
                    <w:rPr>
                      <w:rFonts w:hint="eastAsia" w:ascii="宋体" w:hAnsi="宋体" w:cs="宋体"/>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w:t>
                  </w:r>
                </w:p>
              </w:tc>
              <w:tc>
                <w:tcPr>
                  <w:tcW w:w="3134" w:type="dxa"/>
                  <w:tcBorders>
                    <w:tl2br w:val="nil"/>
                    <w:tr2bl w:val="nil"/>
                  </w:tcBorders>
                  <w:vAlign w:val="center"/>
                </w:tcPr>
                <w:p w14:paraId="74222CE7">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350</w:t>
                  </w:r>
                </w:p>
              </w:tc>
              <w:tc>
                <w:tcPr>
                  <w:tcW w:w="1155" w:type="dxa"/>
                  <w:tcBorders>
                    <w:tl2br w:val="nil"/>
                    <w:tr2bl w:val="nil"/>
                  </w:tcBorders>
                  <w:vAlign w:val="center"/>
                </w:tcPr>
                <w:p w14:paraId="4DDF9634">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350</w:t>
                  </w:r>
                </w:p>
              </w:tc>
              <w:tc>
                <w:tcPr>
                  <w:tcW w:w="821" w:type="dxa"/>
                  <w:tcBorders>
                    <w:tl2br w:val="nil"/>
                    <w:tr2bl w:val="nil"/>
                  </w:tcBorders>
                  <w:vAlign w:val="center"/>
                </w:tcPr>
                <w:p w14:paraId="40DC703B">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26FEF89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3EBF2B96">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143596D7">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1435CF34">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灰分含量</w:t>
                  </w:r>
                  <w:r>
                    <w:rPr>
                      <w:color w:val="000000" w:themeColor="text1"/>
                      <w:szCs w:val="21"/>
                      <w:highlight w:val="none"/>
                      <w14:textFill>
                        <w14:solidFill>
                          <w14:schemeClr w14:val="tx1"/>
                        </w14:solidFill>
                      </w14:textFill>
                    </w:rPr>
                    <w:t>（%）</w:t>
                  </w:r>
                </w:p>
              </w:tc>
              <w:tc>
                <w:tcPr>
                  <w:tcW w:w="3134" w:type="dxa"/>
                  <w:tcBorders>
                    <w:tl2br w:val="nil"/>
                    <w:tr2bl w:val="nil"/>
                  </w:tcBorders>
                  <w:vAlign w:val="center"/>
                </w:tcPr>
                <w:p w14:paraId="533A55C3">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10</w:t>
                  </w:r>
                </w:p>
              </w:tc>
              <w:tc>
                <w:tcPr>
                  <w:tcW w:w="1155" w:type="dxa"/>
                  <w:tcBorders>
                    <w:tl2br w:val="nil"/>
                    <w:tr2bl w:val="nil"/>
                  </w:tcBorders>
                  <w:vAlign w:val="center"/>
                </w:tcPr>
                <w:p w14:paraId="178B322A">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15</w:t>
                  </w:r>
                </w:p>
              </w:tc>
              <w:tc>
                <w:tcPr>
                  <w:tcW w:w="821" w:type="dxa"/>
                  <w:tcBorders>
                    <w:tl2br w:val="nil"/>
                    <w:tr2bl w:val="nil"/>
                  </w:tcBorders>
                  <w:vAlign w:val="center"/>
                </w:tcPr>
                <w:p w14:paraId="5C2545CD">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7C7FB6F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66013F80">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4BE9DC43">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4D1A6B5A">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横向抗压强度</w:t>
                  </w:r>
                </w:p>
              </w:tc>
              <w:tc>
                <w:tcPr>
                  <w:tcW w:w="3134" w:type="dxa"/>
                  <w:tcBorders>
                    <w:tl2br w:val="nil"/>
                    <w:tr2bl w:val="nil"/>
                  </w:tcBorders>
                  <w:vAlign w:val="center"/>
                </w:tcPr>
                <w:p w14:paraId="65AB51AC">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≥0.9MPa</w:t>
                  </w:r>
                </w:p>
              </w:tc>
              <w:tc>
                <w:tcPr>
                  <w:tcW w:w="1155" w:type="dxa"/>
                  <w:tcBorders>
                    <w:tl2br w:val="nil"/>
                    <w:tr2bl w:val="nil"/>
                  </w:tcBorders>
                  <w:vAlign w:val="center"/>
                </w:tcPr>
                <w:p w14:paraId="04905290">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≥0.9MPa</w:t>
                  </w:r>
                </w:p>
              </w:tc>
              <w:tc>
                <w:tcPr>
                  <w:tcW w:w="821" w:type="dxa"/>
                  <w:tcBorders>
                    <w:tl2br w:val="nil"/>
                    <w:tr2bl w:val="nil"/>
                  </w:tcBorders>
                  <w:vAlign w:val="center"/>
                </w:tcPr>
                <w:p w14:paraId="4C18D3A5">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66B3F3B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0C02C445">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3BE2EB71">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0B7B59C2">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纵向强度</w:t>
                  </w:r>
                </w:p>
              </w:tc>
              <w:tc>
                <w:tcPr>
                  <w:tcW w:w="3134" w:type="dxa"/>
                  <w:tcBorders>
                    <w:tl2br w:val="nil"/>
                    <w:tr2bl w:val="nil"/>
                  </w:tcBorders>
                  <w:vAlign w:val="center"/>
                </w:tcPr>
                <w:p w14:paraId="0F3C56F7">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≥0.4MP</w:t>
                  </w:r>
                </w:p>
              </w:tc>
              <w:tc>
                <w:tcPr>
                  <w:tcW w:w="1155" w:type="dxa"/>
                  <w:tcBorders>
                    <w:tl2br w:val="nil"/>
                    <w:tr2bl w:val="nil"/>
                  </w:tcBorders>
                  <w:vAlign w:val="center"/>
                </w:tcPr>
                <w:p w14:paraId="404FE25B">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≥0.4MP</w:t>
                  </w:r>
                </w:p>
              </w:tc>
              <w:tc>
                <w:tcPr>
                  <w:tcW w:w="821" w:type="dxa"/>
                  <w:tcBorders>
                    <w:tl2br w:val="nil"/>
                    <w:tr2bl w:val="nil"/>
                  </w:tcBorders>
                  <w:vAlign w:val="center"/>
                </w:tcPr>
                <w:p w14:paraId="2AD3DCB4">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r w14:paraId="55ABE90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1A1EDAFF">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43B0CD90">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378121BC">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动态吸附量（%）</w:t>
                  </w:r>
                </w:p>
              </w:tc>
              <w:tc>
                <w:tcPr>
                  <w:tcW w:w="3134" w:type="dxa"/>
                  <w:tcBorders>
                    <w:tl2br w:val="nil"/>
                    <w:tr2bl w:val="nil"/>
                  </w:tcBorders>
                  <w:vAlign w:val="center"/>
                </w:tcPr>
                <w:p w14:paraId="543EB86F">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10</w:t>
                  </w:r>
                </w:p>
              </w:tc>
              <w:tc>
                <w:tcPr>
                  <w:tcW w:w="1155" w:type="dxa"/>
                  <w:tcBorders>
                    <w:tl2br w:val="nil"/>
                    <w:tr2bl w:val="nil"/>
                  </w:tcBorders>
                  <w:vAlign w:val="center"/>
                </w:tcPr>
                <w:p w14:paraId="79B4D45D">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821" w:type="dxa"/>
                  <w:tcBorders>
                    <w:tl2br w:val="nil"/>
                    <w:tr2bl w:val="nil"/>
                  </w:tcBorders>
                  <w:vAlign w:val="center"/>
                </w:tcPr>
                <w:p w14:paraId="06D14097">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09CF95A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223F8835">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524781E0">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0625ABEF">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一次装填量（kg）</w:t>
                  </w:r>
                </w:p>
              </w:tc>
              <w:tc>
                <w:tcPr>
                  <w:tcW w:w="3134" w:type="dxa"/>
                  <w:tcBorders>
                    <w:tl2br w:val="nil"/>
                    <w:tr2bl w:val="nil"/>
                  </w:tcBorders>
                  <w:vAlign w:val="center"/>
                </w:tcPr>
                <w:p w14:paraId="2B7773C0">
                  <w:pPr>
                    <w:snapToGrid w:val="0"/>
                    <w:spacing w:line="240" w:lineRule="exact"/>
                    <w:jc w:val="center"/>
                    <w:rPr>
                      <w:rFonts w:hint="default"/>
                      <w:color w:val="000000" w:themeColor="text1"/>
                      <w:szCs w:val="21"/>
                      <w:highlight w:val="none"/>
                      <w:lang w:val="en-US"/>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768二级</w:t>
                  </w:r>
                </w:p>
              </w:tc>
              <w:tc>
                <w:tcPr>
                  <w:tcW w:w="1155" w:type="dxa"/>
                  <w:tcBorders>
                    <w:tl2br w:val="nil"/>
                    <w:tr2bl w:val="nil"/>
                  </w:tcBorders>
                  <w:vAlign w:val="center"/>
                </w:tcPr>
                <w:p w14:paraId="201A496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821" w:type="dxa"/>
                  <w:tcBorders>
                    <w:tl2br w:val="nil"/>
                    <w:tr2bl w:val="nil"/>
                  </w:tcBorders>
                  <w:vAlign w:val="center"/>
                </w:tcPr>
                <w:p w14:paraId="31944FE2">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6C08D7F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32F14B1D">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73A19DD0">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0EA9C997">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更换频次</w:t>
                  </w:r>
                </w:p>
              </w:tc>
              <w:tc>
                <w:tcPr>
                  <w:tcW w:w="3134" w:type="dxa"/>
                  <w:tcBorders>
                    <w:tl2br w:val="nil"/>
                    <w:tr2bl w:val="nil"/>
                  </w:tcBorders>
                  <w:vAlign w:val="center"/>
                </w:tcPr>
                <w:p w14:paraId="7C7F9634">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90</w:t>
                  </w:r>
                  <w:r>
                    <w:rPr>
                      <w:color w:val="000000" w:themeColor="text1"/>
                      <w:szCs w:val="21"/>
                      <w:highlight w:val="none"/>
                      <w14:textFill>
                        <w14:solidFill>
                          <w14:schemeClr w14:val="tx1"/>
                        </w14:solidFill>
                      </w14:textFill>
                    </w:rPr>
                    <w:t>天/次</w:t>
                  </w:r>
                </w:p>
              </w:tc>
              <w:tc>
                <w:tcPr>
                  <w:tcW w:w="1155" w:type="dxa"/>
                  <w:tcBorders>
                    <w:tl2br w:val="nil"/>
                    <w:tr2bl w:val="nil"/>
                  </w:tcBorders>
                  <w:vAlign w:val="center"/>
                </w:tcPr>
                <w:p w14:paraId="64CC1A44">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821" w:type="dxa"/>
                  <w:tcBorders>
                    <w:tl2br w:val="nil"/>
                    <w:tr2bl w:val="nil"/>
                  </w:tcBorders>
                  <w:vAlign w:val="center"/>
                </w:tcPr>
                <w:p w14:paraId="1942383A">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78689ED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58" w:type="dxa"/>
                  <w:vMerge w:val="continue"/>
                  <w:tcBorders>
                    <w:tl2br w:val="nil"/>
                    <w:tr2bl w:val="nil"/>
                  </w:tcBorders>
                  <w:vAlign w:val="center"/>
                </w:tcPr>
                <w:p w14:paraId="343E2948">
                  <w:pPr>
                    <w:snapToGrid w:val="0"/>
                    <w:spacing w:line="240" w:lineRule="exact"/>
                    <w:jc w:val="center"/>
                    <w:rPr>
                      <w:color w:val="000000" w:themeColor="text1"/>
                      <w:szCs w:val="21"/>
                      <w:highlight w:val="none"/>
                      <w14:textFill>
                        <w14:solidFill>
                          <w14:schemeClr w14:val="tx1"/>
                        </w14:solidFill>
                      </w14:textFill>
                    </w:rPr>
                  </w:pPr>
                </w:p>
              </w:tc>
              <w:tc>
                <w:tcPr>
                  <w:tcW w:w="895" w:type="dxa"/>
                  <w:vMerge w:val="continue"/>
                  <w:tcBorders>
                    <w:tl2br w:val="nil"/>
                    <w:tr2bl w:val="nil"/>
                  </w:tcBorders>
                  <w:vAlign w:val="center"/>
                </w:tcPr>
                <w:p w14:paraId="14FE7DB9">
                  <w:pPr>
                    <w:snapToGrid w:val="0"/>
                    <w:spacing w:line="240" w:lineRule="exact"/>
                    <w:jc w:val="center"/>
                    <w:rPr>
                      <w:color w:val="000000" w:themeColor="text1"/>
                      <w:szCs w:val="21"/>
                      <w:highlight w:val="none"/>
                      <w14:textFill>
                        <w14:solidFill>
                          <w14:schemeClr w14:val="tx1"/>
                        </w14:solidFill>
                      </w14:textFill>
                    </w:rPr>
                  </w:pPr>
                </w:p>
              </w:tc>
              <w:tc>
                <w:tcPr>
                  <w:tcW w:w="2008" w:type="dxa"/>
                  <w:tcBorders>
                    <w:tl2br w:val="nil"/>
                    <w:tr2bl w:val="nil"/>
                  </w:tcBorders>
                  <w:vAlign w:val="center"/>
                </w:tcPr>
                <w:p w14:paraId="7E7FDDE5">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进气温度</w:t>
                  </w:r>
                </w:p>
              </w:tc>
              <w:tc>
                <w:tcPr>
                  <w:tcW w:w="3134" w:type="dxa"/>
                  <w:tcBorders>
                    <w:tl2br w:val="nil"/>
                    <w:tr2bl w:val="nil"/>
                  </w:tcBorders>
                  <w:vAlign w:val="center"/>
                </w:tcPr>
                <w:p w14:paraId="4444688D">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25</w:t>
                  </w:r>
                </w:p>
              </w:tc>
              <w:tc>
                <w:tcPr>
                  <w:tcW w:w="1155" w:type="dxa"/>
                  <w:tcBorders>
                    <w:tl2br w:val="nil"/>
                    <w:tr2bl w:val="nil"/>
                  </w:tcBorders>
                  <w:vAlign w:val="center"/>
                </w:tcPr>
                <w:p w14:paraId="431395C1">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&lt;</w:t>
                  </w:r>
                  <w:r>
                    <w:rPr>
                      <w:rFonts w:hint="eastAsia"/>
                      <w:color w:val="000000" w:themeColor="text1"/>
                      <w:szCs w:val="21"/>
                      <w:highlight w:val="none"/>
                      <w14:textFill>
                        <w14:solidFill>
                          <w14:schemeClr w14:val="tx1"/>
                        </w14:solidFill>
                      </w14:textFill>
                    </w:rPr>
                    <w:t>40</w:t>
                  </w:r>
                  <w:r>
                    <w:rPr>
                      <w:rFonts w:hint="eastAsia" w:ascii="宋体" w:hAnsi="宋体" w:cs="宋体"/>
                      <w:color w:val="000000" w:themeColor="text1"/>
                      <w:szCs w:val="21"/>
                      <w:highlight w:val="none"/>
                      <w14:textFill>
                        <w14:solidFill>
                          <w14:schemeClr w14:val="tx1"/>
                        </w14:solidFill>
                      </w14:textFill>
                    </w:rPr>
                    <w:t>℃</w:t>
                  </w:r>
                </w:p>
              </w:tc>
              <w:tc>
                <w:tcPr>
                  <w:tcW w:w="821" w:type="dxa"/>
                  <w:tcBorders>
                    <w:tl2br w:val="nil"/>
                    <w:tr2bl w:val="nil"/>
                  </w:tcBorders>
                  <w:vAlign w:val="center"/>
                </w:tcPr>
                <w:p w14:paraId="52F16BE5">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相符</w:t>
                  </w:r>
                </w:p>
              </w:tc>
            </w:tr>
          </w:tbl>
          <w:p w14:paraId="57B25DA0">
            <w:pPr>
              <w:adjustRightInd w:val="0"/>
              <w:snapToGrid w:val="0"/>
              <w:spacing w:line="440" w:lineRule="exact"/>
              <w:ind w:firstLine="480" w:firstLineChars="200"/>
              <w:rPr>
                <w:rFonts w:hint="default" w:ascii="Times New Roman" w:hAnsi="Times New Roman" w:cs="Times New Roman"/>
                <w:color w:val="000000" w:themeColor="text1"/>
                <w:sz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highlight w:val="none"/>
                <w:lang w:val="en-US" w:eastAsia="zh-CN"/>
                <w14:textFill>
                  <w14:solidFill>
                    <w14:schemeClr w14:val="tx1"/>
                  </w14:solidFill>
                </w14:textFill>
              </w:rPr>
              <w:t>硫化成型</w:t>
            </w:r>
            <w:r>
              <w:rPr>
                <w:rFonts w:hint="default" w:ascii="Times New Roman" w:hAnsi="Times New Roman" w:cs="Times New Roman"/>
                <w:color w:val="000000" w:themeColor="text1"/>
                <w:sz w:val="24"/>
                <w:highlight w:val="none"/>
                <w:lang w:val="en-US" w:eastAsia="zh-CN"/>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注射成型</w:t>
            </w:r>
            <w:r>
              <w:rPr>
                <w:rFonts w:hint="default" w:ascii="Times New Roman" w:hAnsi="Times New Roman" w:cs="Times New Roman"/>
                <w:color w:val="000000" w:themeColor="text1"/>
                <w:sz w:val="24"/>
                <w:highlight w:val="none"/>
                <w:lang w:val="en-US" w:eastAsia="zh-CN"/>
                <w14:textFill>
                  <w14:solidFill>
                    <w14:schemeClr w14:val="tx1"/>
                  </w14:solidFill>
                </w14:textFill>
              </w:rPr>
              <w:t>等工序温度相对较低，其废气温度</w:t>
            </w:r>
            <w:r>
              <w:rPr>
                <w:rFonts w:hint="eastAsia" w:ascii="Times New Roman" w:hAnsi="Times New Roman" w:cs="Times New Roman"/>
                <w:color w:val="000000" w:themeColor="text1"/>
                <w:sz w:val="24"/>
                <w:highlight w:val="none"/>
                <w:lang w:val="en-US" w:eastAsia="zh-CN"/>
                <w14:textFill>
                  <w14:solidFill>
                    <w14:schemeClr w14:val="tx1"/>
                  </w14:solidFill>
                </w14:textFill>
              </w:rPr>
              <w:t>约</w:t>
            </w:r>
            <w:r>
              <w:rPr>
                <w:rFonts w:hint="default" w:ascii="Times New Roman" w:hAnsi="Times New Roman" w:cs="Times New Roman"/>
                <w:color w:val="000000" w:themeColor="text1"/>
                <w:sz w:val="24"/>
                <w:highlight w:val="none"/>
                <w:lang w:val="en-US" w:eastAsia="zh-CN"/>
                <w14:textFill>
                  <w14:solidFill>
                    <w14:schemeClr w14:val="tx1"/>
                  </w14:solidFill>
                </w14:textFill>
              </w:rPr>
              <w:t>55</w:t>
            </w:r>
            <w:r>
              <w:rPr>
                <w:rFonts w:hint="eastAsia" w:ascii="Times New Roman" w:hAnsi="Times New Roman" w:cs="Times New Roman"/>
                <w:color w:val="000000" w:themeColor="text1"/>
                <w:sz w:val="24"/>
                <w:highlight w:val="none"/>
                <w:lang w:val="en-US" w:eastAsia="zh-CN"/>
                <w14:textFill>
                  <w14:solidFill>
                    <w14:schemeClr w14:val="tx1"/>
                  </w14:solidFill>
                </w14:textFill>
              </w:rPr>
              <w:t>-65</w:t>
            </w:r>
            <w:r>
              <w:rPr>
                <w:rFonts w:hint="default" w:ascii="Times New Roman" w:hAnsi="Times New Roman" w:cs="Times New Roman"/>
                <w:color w:val="000000" w:themeColor="text1"/>
                <w:sz w:val="24"/>
                <w:highlight w:val="none"/>
                <w:lang w:val="en-US" w:eastAsia="zh-CN"/>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气在管道内流动时，会通过管壁向环境散热，在废气管道上</w:t>
            </w:r>
            <w:r>
              <w:rPr>
                <w:rFonts w:hint="eastAsia" w:cs="Times New Roman"/>
                <w:color w:val="000000" w:themeColor="text1"/>
                <w:sz w:val="24"/>
                <w:highlight w:val="none"/>
                <w:lang w:val="en-US" w:eastAsia="zh-CN"/>
                <w14:textFill>
                  <w14:solidFill>
                    <w14:schemeClr w14:val="tx1"/>
                  </w14:solidFill>
                </w14:textFill>
              </w:rPr>
              <w:t>安装通风扇</w:t>
            </w:r>
            <w:r>
              <w:rPr>
                <w:rFonts w:hint="default" w:ascii="Times New Roman" w:hAnsi="Times New Roman" w:cs="Times New Roman"/>
                <w:color w:val="000000" w:themeColor="text1"/>
                <w:sz w:val="24"/>
                <w:highlight w:val="none"/>
                <w14:textFill>
                  <w14:solidFill>
                    <w14:schemeClr w14:val="tx1"/>
                  </w14:solidFill>
                </w14:textFill>
              </w:rPr>
              <w:t>，利用空气对流快速换热，确保将废气</w:t>
            </w:r>
            <w:r>
              <w:rPr>
                <w:rFonts w:hint="eastAsia" w:ascii="Times New Roman" w:hAnsi="Times New Roman" w:cs="Times New Roman"/>
                <w:color w:val="000000" w:themeColor="text1"/>
                <w:sz w:val="24"/>
                <w:highlight w:val="none"/>
                <w:lang w:val="en-US" w:eastAsia="zh-CN"/>
                <w14:textFill>
                  <w14:solidFill>
                    <w14:schemeClr w14:val="tx1"/>
                  </w14:solidFill>
                </w14:textFill>
              </w:rPr>
              <w:t>温度</w:t>
            </w:r>
            <w:r>
              <w:rPr>
                <w:rFonts w:hint="default" w:ascii="Times New Roman" w:hAnsi="Times New Roman" w:cs="Times New Roman"/>
                <w:color w:val="000000" w:themeColor="text1"/>
                <w:sz w:val="24"/>
                <w:highlight w:val="none"/>
                <w14:textFill>
                  <w14:solidFill>
                    <w14:schemeClr w14:val="tx1"/>
                  </w14:solidFill>
                </w14:textFill>
              </w:rPr>
              <w:t>降至活性炭要求的40℃以下。</w:t>
            </w:r>
          </w:p>
          <w:p w14:paraId="2B89D5FC">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本项目选用的颗粒活性炭均符合《关于深入开展涉VOCs治理重点工作核查的通知》（苏环办〔2022〕218号）</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《工业有机废气治理用活性炭通用技术要求》</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DB32/T5030-2025</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文件中</w:t>
            </w:r>
            <w:r>
              <w:rPr>
                <w:color w:val="000000" w:themeColor="text1"/>
                <w:sz w:val="24"/>
                <w:highlight w:val="none"/>
                <w:lang w:val="zh-CN"/>
                <w14:textFill>
                  <w14:solidFill>
                    <w14:schemeClr w14:val="tx1"/>
                  </w14:solidFill>
                </w14:textFill>
              </w:rPr>
              <w:t>活性炭吸附装置入户核查基本要求。</w:t>
            </w:r>
          </w:p>
          <w:p w14:paraId="5C03D09C">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采用活性炭装置处理有机废气，活性炭是一种主要由含碳材料制成的外观呈黑色，内部孔构发达、比表面积大、吸附能力强的一类微晶质碳素材料。活性炭材料中有大量肉眼看不见的微孔，1克活性炭材料中微孔，将其展开后表面积可高达800-1500平方米，特殊用途的更高。也就是说，在一个米粒大小的活性炭颗粒中，微孔的内表面积可能相当于一个客厅面积的大小。正是这些高度发达，如人体毛细血管般的孔隙结构，使活性炭拥有了优良的吸附性能。</w:t>
            </w:r>
          </w:p>
          <w:p w14:paraId="1A1756DF">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根据《省生态环境厅关于将排污单位活性炭使用更换纳入排污许可管理的通知》（苏环办〔2021〕218号），参照以下公式计算活性炭更换周期：</w:t>
            </w:r>
          </w:p>
          <w:p w14:paraId="0C6C790A">
            <w:pPr>
              <w:adjustRightInd w:val="0"/>
              <w:snapToGrid w:val="0"/>
              <w:spacing w:line="440" w:lineRule="exact"/>
              <w:ind w:firstLine="480" w:firstLineChars="20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T=m×s÷（c×10</w:t>
            </w:r>
            <w:r>
              <w:rPr>
                <w:color w:val="000000" w:themeColor="text1"/>
                <w:sz w:val="24"/>
                <w:highlight w:val="none"/>
                <w:vertAlign w:val="superscript"/>
                <w14:textFill>
                  <w14:solidFill>
                    <w14:schemeClr w14:val="tx1"/>
                  </w14:solidFill>
                </w14:textFill>
              </w:rPr>
              <w:t>-6</w:t>
            </w:r>
            <w:r>
              <w:rPr>
                <w:color w:val="000000" w:themeColor="text1"/>
                <w:sz w:val="24"/>
                <w:highlight w:val="none"/>
                <w14:textFill>
                  <w14:solidFill>
                    <w14:schemeClr w14:val="tx1"/>
                  </w14:solidFill>
                </w14:textFill>
              </w:rPr>
              <w:t>×Q×t）</w:t>
            </w:r>
          </w:p>
          <w:p w14:paraId="386C27CF">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式中：</w:t>
            </w:r>
          </w:p>
          <w:p w14:paraId="28400C5D">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T</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更换周期，d；</w:t>
            </w:r>
          </w:p>
          <w:p w14:paraId="3C270F4C">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m</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活性炭的用量，kg；</w:t>
            </w:r>
          </w:p>
          <w:p w14:paraId="4182A356">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s</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动态吸附量；</w:t>
            </w:r>
          </w:p>
          <w:p w14:paraId="4BC0F415">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c</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活性炭削减的VOCs浓度，mg/m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w:t>
            </w:r>
          </w:p>
          <w:p w14:paraId="44609B4D">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Q</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风量，m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/h；</w:t>
            </w:r>
          </w:p>
          <w:p w14:paraId="4932B25D">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t</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运行时间，h/d。</w:t>
            </w:r>
          </w:p>
          <w:p w14:paraId="38F16803">
            <w:pPr>
              <w:pStyle w:val="125"/>
              <w:numPr>
                <w:ilvl w:val="0"/>
                <w:numId w:val="0"/>
              </w:numPr>
              <w:spacing w:line="440" w:lineRule="exact"/>
              <w:rPr>
                <w:rFonts w:hint="default"/>
                <w:color w:val="000000" w:themeColor="text1"/>
                <w:sz w:val="24"/>
                <w:highlight w:val="none"/>
                <w14:textFill>
                  <w14:solidFill>
                    <w14:schemeClr w14:val="tx1"/>
                  </w14:solidFill>
                </w14:textFill>
              </w:rPr>
            </w:pPr>
            <w:r>
              <w:rPr>
                <w:rFonts w:hint="default"/>
                <w:color w:val="000000" w:themeColor="text1"/>
                <w:sz w:val="24"/>
                <w:highlight w:val="none"/>
                <w14:textFill>
                  <w14:solidFill>
                    <w14:schemeClr w14:val="tx1"/>
                  </w14:solidFill>
                </w14:textFill>
              </w:rPr>
              <w:t>表4-</w:t>
            </w:r>
            <w:r>
              <w:rPr>
                <w:rFonts w:hint="eastAsia"/>
                <w:color w:val="000000" w:themeColor="text1"/>
                <w:sz w:val="24"/>
                <w:highlight w:val="none"/>
                <w:lang w:val="en-US" w:eastAsia="zh-CN"/>
                <w14:textFill>
                  <w14:solidFill>
                    <w14:schemeClr w14:val="tx1"/>
                  </w14:solidFill>
                </w14:textFill>
              </w:rPr>
              <w:t xml:space="preserve">11  </w:t>
            </w:r>
            <w:r>
              <w:rPr>
                <w:rFonts w:hint="default"/>
                <w:color w:val="000000" w:themeColor="text1"/>
                <w:sz w:val="24"/>
                <w:highlight w:val="none"/>
                <w14:textFill>
                  <w14:solidFill>
                    <w14:schemeClr w14:val="tx1"/>
                  </w14:solidFill>
                </w14:textFill>
              </w:rPr>
              <w:t>活性炭更换周期表</w:t>
            </w:r>
          </w:p>
          <w:tbl>
            <w:tblPr>
              <w:tblStyle w:val="38"/>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04"/>
              <w:gridCol w:w="770"/>
              <w:gridCol w:w="793"/>
              <w:gridCol w:w="1287"/>
              <w:gridCol w:w="1055"/>
              <w:gridCol w:w="930"/>
              <w:gridCol w:w="918"/>
              <w:gridCol w:w="916"/>
              <w:gridCol w:w="890"/>
            </w:tblGrid>
            <w:tr w14:paraId="2E6A73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90" w:hRule="atLeast"/>
                <w:jc w:val="center"/>
              </w:trPr>
              <w:tc>
                <w:tcPr>
                  <w:tcW w:w="534" w:type="pct"/>
                  <w:vAlign w:val="center"/>
                </w:tcPr>
                <w:p w14:paraId="203006D8">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设施</w:t>
                  </w:r>
                </w:p>
              </w:tc>
              <w:tc>
                <w:tcPr>
                  <w:tcW w:w="454" w:type="pct"/>
                  <w:vAlign w:val="center"/>
                </w:tcPr>
                <w:p w14:paraId="6D835872">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活性炭填充量（kg）</w:t>
                  </w:r>
                </w:p>
              </w:tc>
              <w:tc>
                <w:tcPr>
                  <w:tcW w:w="468" w:type="pct"/>
                  <w:vAlign w:val="center"/>
                </w:tcPr>
                <w:p w14:paraId="62E4EE4B">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动态吸附量</w:t>
                  </w:r>
                </w:p>
              </w:tc>
              <w:tc>
                <w:tcPr>
                  <w:tcW w:w="760" w:type="pct"/>
                  <w:vAlign w:val="center"/>
                </w:tcPr>
                <w:p w14:paraId="0396AE35">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活性炭削减VOCs浓度（mg/m</w:t>
                  </w:r>
                  <w:r>
                    <w:rPr>
                      <w:b/>
                      <w:bCs/>
                      <w:color w:val="000000" w:themeColor="text1"/>
                      <w:szCs w:val="21"/>
                      <w:highlight w:val="none"/>
                      <w:vertAlign w:val="superscript"/>
                      <w14:textFill>
                        <w14:solidFill>
                          <w14:schemeClr w14:val="tx1"/>
                        </w14:solidFill>
                      </w14:textFill>
                    </w:rPr>
                    <w:t>3</w:t>
                  </w:r>
                  <w:r>
                    <w:rPr>
                      <w:b/>
                      <w:bCs/>
                      <w:color w:val="000000" w:themeColor="text1"/>
                      <w:szCs w:val="21"/>
                      <w:highlight w:val="none"/>
                      <w14:textFill>
                        <w14:solidFill>
                          <w14:schemeClr w14:val="tx1"/>
                        </w14:solidFill>
                      </w14:textFill>
                    </w:rPr>
                    <w:t>）</w:t>
                  </w:r>
                </w:p>
              </w:tc>
              <w:tc>
                <w:tcPr>
                  <w:tcW w:w="623" w:type="pct"/>
                  <w:vAlign w:val="center"/>
                </w:tcPr>
                <w:p w14:paraId="46A5DD80">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风量（m</w:t>
                  </w:r>
                  <w:r>
                    <w:rPr>
                      <w:b/>
                      <w:bCs/>
                      <w:color w:val="000000" w:themeColor="text1"/>
                      <w:szCs w:val="21"/>
                      <w:highlight w:val="none"/>
                      <w:vertAlign w:val="superscript"/>
                      <w14:textFill>
                        <w14:solidFill>
                          <w14:schemeClr w14:val="tx1"/>
                        </w14:solidFill>
                      </w14:textFill>
                    </w:rPr>
                    <w:t>3</w:t>
                  </w:r>
                  <w:r>
                    <w:rPr>
                      <w:b/>
                      <w:bCs/>
                      <w:color w:val="000000" w:themeColor="text1"/>
                      <w:szCs w:val="21"/>
                      <w:highlight w:val="none"/>
                      <w14:textFill>
                        <w14:solidFill>
                          <w14:schemeClr w14:val="tx1"/>
                        </w14:solidFill>
                      </w14:textFill>
                    </w:rPr>
                    <w:t>/h）</w:t>
                  </w:r>
                </w:p>
              </w:tc>
              <w:tc>
                <w:tcPr>
                  <w:tcW w:w="549" w:type="pct"/>
                  <w:vAlign w:val="center"/>
                </w:tcPr>
                <w:p w14:paraId="642F64D2">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运行时间（h/d）</w:t>
                  </w:r>
                </w:p>
              </w:tc>
              <w:tc>
                <w:tcPr>
                  <w:tcW w:w="542" w:type="pct"/>
                  <w:vAlign w:val="center"/>
                </w:tcPr>
                <w:p w14:paraId="093BA6A8">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运行时间（h/a）</w:t>
                  </w:r>
                </w:p>
              </w:tc>
              <w:tc>
                <w:tcPr>
                  <w:tcW w:w="541" w:type="pct"/>
                  <w:vAlign w:val="center"/>
                </w:tcPr>
                <w:p w14:paraId="507530C1">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理论更换周期（天）</w:t>
                  </w:r>
                </w:p>
              </w:tc>
              <w:tc>
                <w:tcPr>
                  <w:tcW w:w="525" w:type="pct"/>
                  <w:vAlign w:val="center"/>
                </w:tcPr>
                <w:p w14:paraId="3ADC3F05">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实际更换周期（天）</w:t>
                  </w:r>
                </w:p>
              </w:tc>
            </w:tr>
            <w:tr w14:paraId="332198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pct"/>
                  <w:vAlign w:val="center"/>
                </w:tcPr>
                <w:p w14:paraId="44E41A39">
                  <w:pPr>
                    <w:widowControl/>
                    <w:jc w:val="center"/>
                    <w:textAlignment w:val="center"/>
                    <w:rPr>
                      <w:rFonts w:hint="eastAsia" w:eastAsia="宋体"/>
                      <w:color w:val="000000" w:themeColor="text1"/>
                      <w:kern w:val="0"/>
                      <w:szCs w:val="21"/>
                      <w:highlight w:val="none"/>
                      <w:lang w:eastAsia="zh-CN" w:bidi="ar"/>
                      <w14:textFill>
                        <w14:solidFill>
                          <w14:schemeClr w14:val="tx1"/>
                        </w14:solidFill>
                      </w14:textFill>
                    </w:rPr>
                  </w:pPr>
                  <w:bookmarkStart w:id="10" w:name="OLE_LINK24" w:colFirst="7" w:colLast="8"/>
                  <w:r>
                    <w:rPr>
                      <w:rFonts w:hint="eastAsia"/>
                      <w:color w:val="000000" w:themeColor="text1"/>
                      <w:kern w:val="0"/>
                      <w:szCs w:val="21"/>
                      <w:highlight w:val="none"/>
                      <w:lang w:eastAsia="zh-CN" w:bidi="ar"/>
                      <w14:textFill>
                        <w14:solidFill>
                          <w14:schemeClr w14:val="tx1"/>
                        </w14:solidFill>
                      </w14:textFill>
                    </w:rPr>
                    <w:t>TA001</w:t>
                  </w:r>
                </w:p>
              </w:tc>
              <w:tc>
                <w:tcPr>
                  <w:tcW w:w="454" w:type="pct"/>
                  <w:vAlign w:val="center"/>
                </w:tcPr>
                <w:p w14:paraId="7DCED1E6">
                  <w:pPr>
                    <w:widowControl/>
                    <w:jc w:val="center"/>
                    <w:textAlignment w:val="center"/>
                    <w:rPr>
                      <w:rFonts w:hint="default" w:eastAsia="宋体"/>
                      <w:color w:val="000000" w:themeColor="text1"/>
                      <w:kern w:val="0"/>
                      <w:szCs w:val="21"/>
                      <w:highlight w:val="none"/>
                      <w:lang w:val="en-US" w:eastAsia="zh-CN" w:bidi="ar"/>
                      <w14:textFill>
                        <w14:solidFill>
                          <w14:schemeClr w14:val="tx1"/>
                        </w14:solidFill>
                      </w14:textFill>
                    </w:rPr>
                  </w:pPr>
                  <w:r>
                    <w:rPr>
                      <w:rFonts w:hint="eastAsia"/>
                      <w:color w:val="000000" w:themeColor="text1"/>
                      <w:kern w:val="0"/>
                      <w:szCs w:val="21"/>
                      <w:highlight w:val="none"/>
                      <w:lang w:val="en-US" w:eastAsia="zh-CN" w:bidi="ar"/>
                      <w14:textFill>
                        <w14:solidFill>
                          <w14:schemeClr w14:val="tx1"/>
                        </w14:solidFill>
                      </w14:textFill>
                    </w:rPr>
                    <w:t>576</w:t>
                  </w:r>
                </w:p>
              </w:tc>
              <w:tc>
                <w:tcPr>
                  <w:tcW w:w="468" w:type="pct"/>
                  <w:vAlign w:val="center"/>
                </w:tcPr>
                <w:p w14:paraId="0257528E">
                  <w:pPr>
                    <w:widowControl/>
                    <w:jc w:val="center"/>
                    <w:textAlignment w:val="center"/>
                    <w:rPr>
                      <w:color w:val="000000" w:themeColor="text1"/>
                      <w:kern w:val="0"/>
                      <w:szCs w:val="21"/>
                      <w:highlight w:val="none"/>
                      <w:lang w:bidi="ar"/>
                      <w14:textFill>
                        <w14:solidFill>
                          <w14:schemeClr w14:val="tx1"/>
                        </w14:solidFill>
                      </w14:textFill>
                    </w:rPr>
                  </w:pPr>
                  <w:r>
                    <w:rPr>
                      <w:color w:val="000000" w:themeColor="text1"/>
                      <w:kern w:val="0"/>
                      <w:szCs w:val="21"/>
                      <w:highlight w:val="none"/>
                      <w:lang w:bidi="ar"/>
                      <w14:textFill>
                        <w14:solidFill>
                          <w14:schemeClr w14:val="tx1"/>
                        </w14:solidFill>
                      </w14:textFill>
                    </w:rPr>
                    <w:t>0.10</w:t>
                  </w:r>
                </w:p>
              </w:tc>
              <w:tc>
                <w:tcPr>
                  <w:tcW w:w="1287" w:type="dxa"/>
                  <w:vAlign w:val="center"/>
                </w:tcPr>
                <w:p w14:paraId="6B06B793">
                  <w:pPr>
                    <w:widowControl/>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0.594</w:t>
                  </w:r>
                </w:p>
              </w:tc>
              <w:tc>
                <w:tcPr>
                  <w:tcW w:w="623" w:type="pct"/>
                  <w:vAlign w:val="center"/>
                </w:tcPr>
                <w:p w14:paraId="7BBD5FC3">
                  <w:pPr>
                    <w:widowControl/>
                    <w:jc w:val="center"/>
                    <w:textAlignment w:val="center"/>
                    <w:rPr>
                      <w:rFonts w:hint="default" w:eastAsia="宋体"/>
                      <w:color w:val="000000" w:themeColor="text1"/>
                      <w:kern w:val="0"/>
                      <w:szCs w:val="21"/>
                      <w:highlight w:val="none"/>
                      <w:lang w:val="en-US" w:eastAsia="zh-CN" w:bidi="ar"/>
                      <w14:textFill>
                        <w14:solidFill>
                          <w14:schemeClr w14:val="tx1"/>
                        </w14:solidFill>
                      </w14:textFill>
                    </w:rPr>
                  </w:pPr>
                  <w:r>
                    <w:rPr>
                      <w:rFonts w:hint="eastAsia"/>
                      <w:color w:val="000000" w:themeColor="text1"/>
                      <w:kern w:val="0"/>
                      <w:szCs w:val="21"/>
                      <w:highlight w:val="none"/>
                      <w:lang w:val="en-US" w:eastAsia="zh-CN" w:bidi="ar"/>
                      <w14:textFill>
                        <w14:solidFill>
                          <w14:schemeClr w14:val="tx1"/>
                        </w14:solidFill>
                      </w14:textFill>
                    </w:rPr>
                    <w:t>3000</w:t>
                  </w:r>
                </w:p>
              </w:tc>
              <w:tc>
                <w:tcPr>
                  <w:tcW w:w="549" w:type="pct"/>
                  <w:vAlign w:val="center"/>
                </w:tcPr>
                <w:p w14:paraId="2B0FB932">
                  <w:pPr>
                    <w:widowControl/>
                    <w:jc w:val="center"/>
                    <w:textAlignment w:val="center"/>
                    <w:rPr>
                      <w:rFonts w:hint="default" w:eastAsia="宋体"/>
                      <w:color w:val="000000" w:themeColor="text1"/>
                      <w:kern w:val="0"/>
                      <w:szCs w:val="21"/>
                      <w:highlight w:val="none"/>
                      <w:lang w:val="en-US" w:eastAsia="zh-CN" w:bidi="ar"/>
                      <w14:textFill>
                        <w14:solidFill>
                          <w14:schemeClr w14:val="tx1"/>
                        </w14:solidFill>
                      </w14:textFill>
                    </w:rPr>
                  </w:pPr>
                  <w:r>
                    <w:rPr>
                      <w:rFonts w:hint="eastAsia"/>
                      <w:color w:val="000000" w:themeColor="text1"/>
                      <w:kern w:val="0"/>
                      <w:szCs w:val="21"/>
                      <w:highlight w:val="none"/>
                      <w:lang w:val="en-US" w:eastAsia="zh-CN" w:bidi="ar"/>
                      <w14:textFill>
                        <w14:solidFill>
                          <w14:schemeClr w14:val="tx1"/>
                        </w14:solidFill>
                      </w14:textFill>
                    </w:rPr>
                    <w:t>16</w:t>
                  </w:r>
                </w:p>
              </w:tc>
              <w:tc>
                <w:tcPr>
                  <w:tcW w:w="542" w:type="pct"/>
                  <w:vAlign w:val="center"/>
                </w:tcPr>
                <w:p w14:paraId="154088A9">
                  <w:pPr>
                    <w:widowControl/>
                    <w:jc w:val="center"/>
                    <w:textAlignment w:val="center"/>
                    <w:rPr>
                      <w:rFonts w:hint="default" w:eastAsia="宋体"/>
                      <w:color w:val="000000" w:themeColor="text1"/>
                      <w:kern w:val="0"/>
                      <w:szCs w:val="21"/>
                      <w:highlight w:val="none"/>
                      <w:lang w:val="en-US" w:eastAsia="zh-CN" w:bidi="ar"/>
                      <w14:textFill>
                        <w14:solidFill>
                          <w14:schemeClr w14:val="tx1"/>
                        </w14:solidFill>
                      </w14:textFill>
                    </w:rPr>
                  </w:pPr>
                  <w:r>
                    <w:rPr>
                      <w:rFonts w:hint="eastAsia"/>
                      <w:color w:val="000000" w:themeColor="text1"/>
                      <w:kern w:val="0"/>
                      <w:szCs w:val="21"/>
                      <w:highlight w:val="none"/>
                      <w:lang w:val="en-US" w:eastAsia="zh-CN" w:bidi="ar"/>
                      <w14:textFill>
                        <w14:solidFill>
                          <w14:schemeClr w14:val="tx1"/>
                        </w14:solidFill>
                      </w14:textFill>
                    </w:rPr>
                    <w:t>4800</w:t>
                  </w:r>
                </w:p>
              </w:tc>
              <w:tc>
                <w:tcPr>
                  <w:tcW w:w="916" w:type="dxa"/>
                  <w:vAlign w:val="center"/>
                </w:tcPr>
                <w:p w14:paraId="67C77889">
                  <w:pPr>
                    <w:widowControl/>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2020</w:t>
                  </w:r>
                </w:p>
              </w:tc>
              <w:tc>
                <w:tcPr>
                  <w:tcW w:w="525" w:type="pct"/>
                  <w:vAlign w:val="center"/>
                </w:tcPr>
                <w:p w14:paraId="6A680200">
                  <w:pPr>
                    <w:widowControl/>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90</w:t>
                  </w:r>
                </w:p>
              </w:tc>
            </w:tr>
            <w:tr w14:paraId="209F9C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4" w:type="dxa"/>
                  <w:vAlign w:val="center"/>
                </w:tcPr>
                <w:p w14:paraId="70DA7AFC">
                  <w:pPr>
                    <w:widowControl/>
                    <w:jc w:val="center"/>
                    <w:textAlignment w:val="center"/>
                    <w:rPr>
                      <w:rFonts w:hint="eastAsia"/>
                      <w:color w:val="000000" w:themeColor="text1"/>
                      <w:kern w:val="0"/>
                      <w:szCs w:val="21"/>
                      <w:highlight w:val="none"/>
                      <w:lang w:eastAsia="zh-CN" w:bidi="ar"/>
                      <w14:textFill>
                        <w14:solidFill>
                          <w14:schemeClr w14:val="tx1"/>
                        </w14:solidFill>
                      </w14:textFill>
                    </w:rPr>
                  </w:pPr>
                  <w:r>
                    <w:rPr>
                      <w:rFonts w:hint="eastAsia"/>
                      <w:color w:val="000000" w:themeColor="text1"/>
                      <w:kern w:val="0"/>
                      <w:szCs w:val="21"/>
                      <w:highlight w:val="none"/>
                      <w:lang w:eastAsia="zh-CN" w:bidi="ar"/>
                      <w14:textFill>
                        <w14:solidFill>
                          <w14:schemeClr w14:val="tx1"/>
                        </w14:solidFill>
                      </w14:textFill>
                    </w:rPr>
                    <w:t>TA00</w:t>
                  </w:r>
                  <w:r>
                    <w:rPr>
                      <w:rFonts w:hint="eastAsia"/>
                      <w:color w:val="000000" w:themeColor="text1"/>
                      <w:kern w:val="0"/>
                      <w:szCs w:val="21"/>
                      <w:highlight w:val="none"/>
                      <w:lang w:val="en-US" w:eastAsia="zh-CN" w:bidi="ar"/>
                      <w14:textFill>
                        <w14:solidFill>
                          <w14:schemeClr w14:val="tx1"/>
                        </w14:solidFill>
                      </w14:textFill>
                    </w:rPr>
                    <w:t>2</w:t>
                  </w:r>
                </w:p>
              </w:tc>
              <w:tc>
                <w:tcPr>
                  <w:tcW w:w="770" w:type="dxa"/>
                  <w:vAlign w:val="center"/>
                </w:tcPr>
                <w:p w14:paraId="3EA6B44E">
                  <w:pPr>
                    <w:widowControl/>
                    <w:jc w:val="center"/>
                    <w:textAlignment w:val="center"/>
                    <w:rPr>
                      <w:rFonts w:hint="default"/>
                      <w:color w:val="000000" w:themeColor="text1"/>
                      <w:kern w:val="0"/>
                      <w:szCs w:val="21"/>
                      <w:highlight w:val="none"/>
                      <w:lang w:val="en-US" w:eastAsia="zh-CN" w:bidi="ar"/>
                      <w14:textFill>
                        <w14:solidFill>
                          <w14:schemeClr w14:val="tx1"/>
                        </w14:solidFill>
                      </w14:textFill>
                    </w:rPr>
                  </w:pPr>
                  <w:r>
                    <w:rPr>
                      <w:rFonts w:hint="eastAsia"/>
                      <w:color w:val="000000" w:themeColor="text1"/>
                      <w:kern w:val="0"/>
                      <w:szCs w:val="21"/>
                      <w:highlight w:val="none"/>
                      <w:lang w:val="en-US" w:eastAsia="zh-CN" w:bidi="ar"/>
                      <w14:textFill>
                        <w14:solidFill>
                          <w14:schemeClr w14:val="tx1"/>
                        </w14:solidFill>
                      </w14:textFill>
                    </w:rPr>
                    <w:t>768</w:t>
                  </w:r>
                </w:p>
              </w:tc>
              <w:tc>
                <w:tcPr>
                  <w:tcW w:w="793" w:type="dxa"/>
                  <w:vAlign w:val="center"/>
                </w:tcPr>
                <w:p w14:paraId="71FC8AB5">
                  <w:pPr>
                    <w:widowControl/>
                    <w:jc w:val="center"/>
                    <w:textAlignment w:val="center"/>
                    <w:rPr>
                      <w:color w:val="000000" w:themeColor="text1"/>
                      <w:kern w:val="0"/>
                      <w:szCs w:val="21"/>
                      <w:highlight w:val="none"/>
                      <w:lang w:bidi="ar"/>
                      <w14:textFill>
                        <w14:solidFill>
                          <w14:schemeClr w14:val="tx1"/>
                        </w14:solidFill>
                      </w14:textFill>
                    </w:rPr>
                  </w:pPr>
                  <w:r>
                    <w:rPr>
                      <w:color w:val="000000" w:themeColor="text1"/>
                      <w:kern w:val="0"/>
                      <w:szCs w:val="21"/>
                      <w:highlight w:val="none"/>
                      <w:lang w:bidi="ar"/>
                      <w14:textFill>
                        <w14:solidFill>
                          <w14:schemeClr w14:val="tx1"/>
                        </w14:solidFill>
                      </w14:textFill>
                    </w:rPr>
                    <w:t>0.10</w:t>
                  </w:r>
                </w:p>
              </w:tc>
              <w:tc>
                <w:tcPr>
                  <w:tcW w:w="1287" w:type="dxa"/>
                  <w:vAlign w:val="center"/>
                </w:tcPr>
                <w:p w14:paraId="73C7CB42">
                  <w:pPr>
                    <w:widowControl/>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11.39</w:t>
                  </w:r>
                </w:p>
              </w:tc>
              <w:tc>
                <w:tcPr>
                  <w:tcW w:w="1055" w:type="dxa"/>
                  <w:vAlign w:val="center"/>
                </w:tcPr>
                <w:p w14:paraId="25200A75">
                  <w:pPr>
                    <w:widowControl/>
                    <w:jc w:val="center"/>
                    <w:textAlignment w:val="center"/>
                    <w:rPr>
                      <w:rFonts w:hint="eastAsia"/>
                      <w:color w:val="000000" w:themeColor="text1"/>
                      <w:kern w:val="0"/>
                      <w:szCs w:val="21"/>
                      <w:highlight w:val="none"/>
                      <w:lang w:val="en-US" w:eastAsia="zh-CN" w:bidi="ar"/>
                      <w14:textFill>
                        <w14:solidFill>
                          <w14:schemeClr w14:val="tx1"/>
                        </w14:solidFill>
                      </w14:textFill>
                    </w:rPr>
                  </w:pPr>
                  <w:r>
                    <w:rPr>
                      <w:rFonts w:hint="eastAsia"/>
                      <w:color w:val="000000" w:themeColor="text1"/>
                      <w:kern w:val="0"/>
                      <w:szCs w:val="21"/>
                      <w:highlight w:val="none"/>
                      <w:lang w:val="en-US" w:eastAsia="zh-CN" w:bidi="ar"/>
                      <w14:textFill>
                        <w14:solidFill>
                          <w14:schemeClr w14:val="tx1"/>
                        </w14:solidFill>
                      </w14:textFill>
                    </w:rPr>
                    <w:t>4000</w:t>
                  </w:r>
                </w:p>
              </w:tc>
              <w:tc>
                <w:tcPr>
                  <w:tcW w:w="930" w:type="dxa"/>
                  <w:vAlign w:val="center"/>
                </w:tcPr>
                <w:p w14:paraId="72E3ADB8">
                  <w:pPr>
                    <w:widowControl/>
                    <w:jc w:val="center"/>
                    <w:textAlignment w:val="center"/>
                    <w:rPr>
                      <w:rFonts w:hint="eastAsia"/>
                      <w:color w:val="000000" w:themeColor="text1"/>
                      <w:kern w:val="0"/>
                      <w:szCs w:val="21"/>
                      <w:highlight w:val="none"/>
                      <w:lang w:val="en-US" w:eastAsia="zh-CN" w:bidi="ar"/>
                      <w14:textFill>
                        <w14:solidFill>
                          <w14:schemeClr w14:val="tx1"/>
                        </w14:solidFill>
                      </w14:textFill>
                    </w:rPr>
                  </w:pPr>
                  <w:r>
                    <w:rPr>
                      <w:rFonts w:hint="eastAsia"/>
                      <w:color w:val="000000" w:themeColor="text1"/>
                      <w:kern w:val="0"/>
                      <w:szCs w:val="21"/>
                      <w:highlight w:val="none"/>
                      <w:lang w:val="en-US" w:eastAsia="zh-CN" w:bidi="ar"/>
                      <w14:textFill>
                        <w14:solidFill>
                          <w14:schemeClr w14:val="tx1"/>
                        </w14:solidFill>
                      </w14:textFill>
                    </w:rPr>
                    <w:t>16</w:t>
                  </w:r>
                </w:p>
              </w:tc>
              <w:tc>
                <w:tcPr>
                  <w:tcW w:w="918" w:type="dxa"/>
                  <w:vAlign w:val="center"/>
                </w:tcPr>
                <w:p w14:paraId="32DD02CD">
                  <w:pPr>
                    <w:widowControl/>
                    <w:jc w:val="center"/>
                    <w:textAlignment w:val="center"/>
                    <w:rPr>
                      <w:rFonts w:hint="eastAsia"/>
                      <w:color w:val="000000" w:themeColor="text1"/>
                      <w:kern w:val="0"/>
                      <w:szCs w:val="21"/>
                      <w:highlight w:val="none"/>
                      <w:lang w:val="en-US" w:eastAsia="zh-CN" w:bidi="ar"/>
                      <w14:textFill>
                        <w14:solidFill>
                          <w14:schemeClr w14:val="tx1"/>
                        </w14:solidFill>
                      </w14:textFill>
                    </w:rPr>
                  </w:pPr>
                  <w:r>
                    <w:rPr>
                      <w:rFonts w:hint="eastAsia"/>
                      <w:color w:val="000000" w:themeColor="text1"/>
                      <w:kern w:val="0"/>
                      <w:szCs w:val="21"/>
                      <w:highlight w:val="none"/>
                      <w:lang w:val="en-US" w:eastAsia="zh-CN" w:bidi="ar"/>
                      <w14:textFill>
                        <w14:solidFill>
                          <w14:schemeClr w14:val="tx1"/>
                        </w14:solidFill>
                      </w14:textFill>
                    </w:rPr>
                    <w:t>4800</w:t>
                  </w:r>
                </w:p>
              </w:tc>
              <w:tc>
                <w:tcPr>
                  <w:tcW w:w="916" w:type="dxa"/>
                  <w:vAlign w:val="center"/>
                </w:tcPr>
                <w:p w14:paraId="12C7AFCE">
                  <w:pPr>
                    <w:widowControl/>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t>105</w:t>
                  </w:r>
                </w:p>
              </w:tc>
              <w:tc>
                <w:tcPr>
                  <w:tcW w:w="890" w:type="dxa"/>
                  <w:vAlign w:val="center"/>
                </w:tcPr>
                <w:p w14:paraId="727D0510">
                  <w:pPr>
                    <w:widowControl/>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90</w:t>
                  </w:r>
                </w:p>
              </w:tc>
            </w:tr>
            <w:bookmarkEnd w:id="10"/>
          </w:tbl>
          <w:p w14:paraId="741FCE67">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实际运行活性炭更换周期根据企业生产工况进行调整。</w:t>
            </w:r>
          </w:p>
          <w:p w14:paraId="062FE007">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TA001</w:t>
            </w:r>
            <w:r>
              <w:rPr>
                <w:color w:val="000000" w:themeColor="text1"/>
                <w:sz w:val="24"/>
                <w:highlight w:val="none"/>
                <w14:textFill>
                  <w14:solidFill>
                    <w14:schemeClr w14:val="tx1"/>
                  </w14:solidFill>
                </w14:textFill>
              </w:rPr>
              <w:t>炭箱风量设计</w:t>
            </w:r>
            <w:r>
              <w:rPr>
                <w:rFonts w:hint="eastAsia"/>
                <w:color w:val="000000" w:themeColor="text1"/>
                <w:sz w:val="24"/>
                <w:highlight w:val="none"/>
                <w:lang w:val="en-US" w:eastAsia="zh-CN"/>
                <w14:textFill>
                  <w14:solidFill>
                    <w14:schemeClr w14:val="tx1"/>
                  </w14:solidFill>
                </w14:textFill>
              </w:rPr>
              <w:t>30</w:t>
            </w:r>
            <w:r>
              <w:rPr>
                <w:color w:val="000000" w:themeColor="text1"/>
                <w:sz w:val="24"/>
                <w:highlight w:val="none"/>
                <w14:textFill>
                  <w14:solidFill>
                    <w14:schemeClr w14:val="tx1"/>
                  </w14:solidFill>
                </w14:textFill>
              </w:rPr>
              <w:t>0</w:t>
            </w:r>
            <w:r>
              <w:rPr>
                <w:rFonts w:hint="eastAsia"/>
                <w:color w:val="000000" w:themeColor="text1"/>
                <w:sz w:val="24"/>
                <w:highlight w:val="none"/>
                <w14:textFill>
                  <w14:solidFill>
                    <w14:schemeClr w14:val="tx1"/>
                  </w14:solidFill>
                </w14:textFill>
              </w:rPr>
              <w:t>0</w:t>
            </w:r>
            <w:r>
              <w:rPr>
                <w:color w:val="000000" w:themeColor="text1"/>
                <w:sz w:val="24"/>
                <w:highlight w:val="none"/>
                <w14:textFill>
                  <w14:solidFill>
                    <w14:schemeClr w14:val="tx1"/>
                  </w14:solidFill>
                </w14:textFill>
              </w:rPr>
              <w:t>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/h，活性炭炭箱填充尺寸为</w:t>
            </w:r>
            <w:r>
              <w:rPr>
                <w:rFonts w:hint="eastAsia"/>
                <w:color w:val="000000" w:themeColor="text1"/>
                <w:sz w:val="24"/>
                <w:highlight w:val="none"/>
                <w:lang w:val="en-US" w:eastAsia="zh-CN"/>
                <w14:textFill>
                  <w14:solidFill>
                    <w14:schemeClr w14:val="tx1"/>
                  </w14:solidFill>
                </w14:textFill>
              </w:rPr>
              <w:t>0.9</w:t>
            </w: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0.8</w:t>
            </w:r>
            <w:r>
              <w:rPr>
                <w:color w:val="000000" w:themeColor="text1"/>
                <w:sz w:val="24"/>
                <w:highlight w:val="none"/>
                <w14:textFill>
                  <w14:solidFill>
                    <w14:schemeClr w14:val="tx1"/>
                  </w14:solidFill>
                </w14:textFill>
              </w:rPr>
              <w:t>*0.</w:t>
            </w:r>
            <w:r>
              <w:rPr>
                <w:rFonts w:hint="eastAsia"/>
                <w:color w:val="000000" w:themeColor="text1"/>
                <w:sz w:val="24"/>
                <w:highlight w:val="none"/>
                <w:lang w:val="en-US" w:eastAsia="zh-CN"/>
                <w14:textFill>
                  <w14:solidFill>
                    <w14:schemeClr w14:val="tx1"/>
                  </w14:solidFill>
                </w14:textFill>
              </w:rPr>
              <w:t>4</w:t>
            </w:r>
            <w:r>
              <w:rPr>
                <w:color w:val="000000" w:themeColor="text1"/>
                <w:sz w:val="24"/>
                <w:highlight w:val="none"/>
                <w14:textFill>
                  <w14:solidFill>
                    <w14:schemeClr w14:val="tx1"/>
                  </w14:solidFill>
                </w14:textFill>
              </w:rPr>
              <w:t>m，活性炭填充面积为</w:t>
            </w:r>
            <w:r>
              <w:rPr>
                <w:rFonts w:hint="eastAsia"/>
                <w:color w:val="000000" w:themeColor="text1"/>
                <w:sz w:val="24"/>
                <w:highlight w:val="none"/>
                <w:lang w:val="en-US" w:eastAsia="zh-CN"/>
                <w14:textFill>
                  <w14:solidFill>
                    <w14:schemeClr w14:val="tx1"/>
                  </w14:solidFill>
                </w14:textFill>
              </w:rPr>
              <w:t>0.72</w:t>
            </w:r>
            <w:r>
              <w:rPr>
                <w:color w:val="000000" w:themeColor="text1"/>
                <w:sz w:val="24"/>
                <w:highlight w:val="none"/>
                <w14:textFill>
                  <w14:solidFill>
                    <w14:schemeClr w14:val="tx1"/>
                  </w14:solidFill>
                </w14:textFill>
              </w:rPr>
              <w:t>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，填充</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层，则实际过滤风速为：</w:t>
            </w:r>
            <w:r>
              <w:rPr>
                <w:rFonts w:hint="eastAsia"/>
                <w:color w:val="000000" w:themeColor="text1"/>
                <w:sz w:val="24"/>
                <w:highlight w:val="none"/>
                <w:lang w:val="en-US" w:eastAsia="zh-CN"/>
                <w14:textFill>
                  <w14:solidFill>
                    <w14:schemeClr w14:val="tx1"/>
                  </w14:solidFill>
                </w14:textFill>
              </w:rPr>
              <w:t>30</w:t>
            </w:r>
            <w:r>
              <w:rPr>
                <w:color w:val="000000" w:themeColor="text1"/>
                <w:sz w:val="24"/>
                <w:highlight w:val="none"/>
                <w14:textFill>
                  <w14:solidFill>
                    <w14:schemeClr w14:val="tx1"/>
                  </w14:solidFill>
                </w14:textFill>
              </w:rPr>
              <w:t>0</w:t>
            </w:r>
            <w:r>
              <w:rPr>
                <w:rFonts w:hint="eastAsia"/>
                <w:color w:val="000000" w:themeColor="text1"/>
                <w:sz w:val="24"/>
                <w:highlight w:val="none"/>
                <w14:textFill>
                  <w14:solidFill>
                    <w14:schemeClr w14:val="tx1"/>
                  </w14:solidFill>
                </w14:textFill>
              </w:rPr>
              <w:t>0</w:t>
            </w:r>
            <w:r>
              <w:rPr>
                <w:color w:val="000000" w:themeColor="text1"/>
                <w:sz w:val="24"/>
                <w:highlight w:val="none"/>
                <w14:textFill>
                  <w14:solidFill>
                    <w14:schemeClr w14:val="tx1"/>
                  </w14:solidFill>
                </w14:textFill>
              </w:rPr>
              <w:t>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/h÷3600h/s÷</w:t>
            </w:r>
            <w:r>
              <w:rPr>
                <w:rFonts w:hint="eastAsia"/>
                <w:color w:val="000000" w:themeColor="text1"/>
                <w:sz w:val="24"/>
                <w:highlight w:val="none"/>
                <w:lang w:val="en-US" w:eastAsia="zh-CN"/>
                <w14:textFill>
                  <w14:solidFill>
                    <w14:schemeClr w14:val="tx1"/>
                  </w14:solidFill>
                </w14:textFill>
              </w:rPr>
              <w:t>0.72</w:t>
            </w:r>
            <w:r>
              <w:rPr>
                <w:color w:val="000000" w:themeColor="text1"/>
                <w:sz w:val="24"/>
                <w:highlight w:val="none"/>
                <w14:textFill>
                  <w14:solidFill>
                    <w14:schemeClr w14:val="tx1"/>
                  </w14:solidFill>
                </w14:textFill>
              </w:rPr>
              <w:t>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=0.</w:t>
            </w:r>
            <w:r>
              <w:rPr>
                <w:rFonts w:hint="eastAsia"/>
                <w:color w:val="000000" w:themeColor="text1"/>
                <w:sz w:val="24"/>
                <w:highlight w:val="none"/>
                <w14:textFill>
                  <w14:solidFill>
                    <w14:schemeClr w14:val="tx1"/>
                  </w14:solidFill>
                </w14:textFill>
              </w:rPr>
              <w:t>5</w:t>
            </w:r>
            <w:r>
              <w:rPr>
                <w:rFonts w:hint="eastAsia"/>
                <w:color w:val="000000" w:themeColor="text1"/>
                <w:sz w:val="24"/>
                <w:highlight w:val="none"/>
                <w:lang w:val="en-US" w:eastAsia="zh-CN"/>
                <w14:textFill>
                  <w14:solidFill>
                    <w14:schemeClr w14:val="tx1"/>
                  </w14:solidFill>
                </w14:textFill>
              </w:rPr>
              <w:t>8</w:t>
            </w:r>
            <w:r>
              <w:rPr>
                <w:color w:val="000000" w:themeColor="text1"/>
                <w:sz w:val="24"/>
                <w:highlight w:val="none"/>
                <w14:textFill>
                  <w14:solidFill>
                    <w14:schemeClr w14:val="tx1"/>
                  </w14:solidFill>
                </w14:textFill>
              </w:rPr>
              <w:t>m/s＜0.6m/s，停留时间：0.</w:t>
            </w:r>
            <w:r>
              <w:rPr>
                <w:rFonts w:hint="eastAsia"/>
                <w:color w:val="000000" w:themeColor="text1"/>
                <w:sz w:val="24"/>
                <w:highlight w:val="none"/>
                <w:lang w:val="en-US" w:eastAsia="zh-CN"/>
                <w14:textFill>
                  <w14:solidFill>
                    <w14:schemeClr w14:val="tx1"/>
                  </w14:solidFill>
                </w14:textFill>
              </w:rPr>
              <w:t>4</w:t>
            </w:r>
            <w:r>
              <w:rPr>
                <w:color w:val="000000" w:themeColor="text1"/>
                <w:sz w:val="24"/>
                <w:highlight w:val="none"/>
                <w14:textFill>
                  <w14:solidFill>
                    <w14:schemeClr w14:val="tx1"/>
                  </w14:solidFill>
                </w14:textFill>
              </w:rPr>
              <w:t>m÷0</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58</w:t>
            </w:r>
            <w:r>
              <w:rPr>
                <w:color w:val="000000" w:themeColor="text1"/>
                <w:sz w:val="24"/>
                <w:highlight w:val="none"/>
                <w14:textFill>
                  <w14:solidFill>
                    <w14:schemeClr w14:val="tx1"/>
                  </w14:solidFill>
                </w14:textFill>
              </w:rPr>
              <w:t>m/s=</w:t>
            </w:r>
            <w:r>
              <w:rPr>
                <w:rFonts w:hint="eastAsia"/>
                <w:color w:val="000000" w:themeColor="text1"/>
                <w:sz w:val="24"/>
                <w:highlight w:val="none"/>
                <w14:textFill>
                  <w14:solidFill>
                    <w14:schemeClr w14:val="tx1"/>
                  </w14:solidFill>
                </w14:textFill>
              </w:rPr>
              <w:t>0.</w:t>
            </w:r>
            <w:r>
              <w:rPr>
                <w:rFonts w:hint="eastAsia"/>
                <w:color w:val="000000" w:themeColor="text1"/>
                <w:sz w:val="24"/>
                <w:highlight w:val="none"/>
                <w:lang w:val="en-US" w:eastAsia="zh-CN"/>
                <w14:textFill>
                  <w14:solidFill>
                    <w14:schemeClr w14:val="tx1"/>
                  </w14:solidFill>
                </w14:textFill>
              </w:rPr>
              <w:t>69</w:t>
            </w:r>
            <w:r>
              <w:rPr>
                <w:rFonts w:hint="eastAsia"/>
                <w:color w:val="000000" w:themeColor="text1"/>
                <w:sz w:val="24"/>
                <w:highlight w:val="none"/>
                <w14:textFill>
                  <w14:solidFill>
                    <w14:schemeClr w14:val="tx1"/>
                  </w14:solidFill>
                </w14:textFill>
              </w:rPr>
              <w:t>s</w:t>
            </w:r>
            <w:r>
              <w:rPr>
                <w:color w:val="000000" w:themeColor="text1"/>
                <w:sz w:val="24"/>
                <w:highlight w:val="none"/>
                <w14:textFill>
                  <w14:solidFill>
                    <w14:schemeClr w14:val="tx1"/>
                  </w14:solidFill>
                </w14:textFill>
              </w:rPr>
              <w:t>，吸附装置有足够的停留时间。</w:t>
            </w:r>
          </w:p>
          <w:p w14:paraId="132F6999">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TA00</w:t>
            </w:r>
            <w:r>
              <w:rPr>
                <w:rFonts w:hint="eastAsia"/>
                <w:color w:val="000000" w:themeColor="text1"/>
                <w:sz w:val="24"/>
                <w:highlight w:val="none"/>
                <w:lang w:val="en-US" w:eastAsia="zh-CN"/>
                <w14:textFill>
                  <w14:solidFill>
                    <w14:schemeClr w14:val="tx1"/>
                  </w14:solidFill>
                </w14:textFill>
              </w:rPr>
              <w:t>2</w:t>
            </w:r>
            <w:r>
              <w:rPr>
                <w:color w:val="000000" w:themeColor="text1"/>
                <w:sz w:val="24"/>
                <w:highlight w:val="none"/>
                <w14:textFill>
                  <w14:solidFill>
                    <w14:schemeClr w14:val="tx1"/>
                  </w14:solidFill>
                </w14:textFill>
              </w:rPr>
              <w:t>炭箱风量设计</w:t>
            </w:r>
            <w:r>
              <w:rPr>
                <w:rFonts w:hint="eastAsia"/>
                <w:color w:val="000000" w:themeColor="text1"/>
                <w:sz w:val="24"/>
                <w:highlight w:val="none"/>
                <w:lang w:val="en-US" w:eastAsia="zh-CN"/>
                <w14:textFill>
                  <w14:solidFill>
                    <w14:schemeClr w14:val="tx1"/>
                  </w14:solidFill>
                </w14:textFill>
              </w:rPr>
              <w:t>40</w:t>
            </w:r>
            <w:r>
              <w:rPr>
                <w:color w:val="000000" w:themeColor="text1"/>
                <w:sz w:val="24"/>
                <w:highlight w:val="none"/>
                <w14:textFill>
                  <w14:solidFill>
                    <w14:schemeClr w14:val="tx1"/>
                  </w14:solidFill>
                </w14:textFill>
              </w:rPr>
              <w:t>0</w:t>
            </w:r>
            <w:r>
              <w:rPr>
                <w:rFonts w:hint="eastAsia"/>
                <w:color w:val="000000" w:themeColor="text1"/>
                <w:sz w:val="24"/>
                <w:highlight w:val="none"/>
                <w14:textFill>
                  <w14:solidFill>
                    <w14:schemeClr w14:val="tx1"/>
                  </w14:solidFill>
                </w14:textFill>
              </w:rPr>
              <w:t>0</w:t>
            </w:r>
            <w:r>
              <w:rPr>
                <w:color w:val="000000" w:themeColor="text1"/>
                <w:sz w:val="24"/>
                <w:highlight w:val="none"/>
                <w14:textFill>
                  <w14:solidFill>
                    <w14:schemeClr w14:val="tx1"/>
                  </w14:solidFill>
                </w14:textFill>
              </w:rPr>
              <w:t>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/h，活性炭炭箱填充尺寸为</w:t>
            </w:r>
            <w:r>
              <w:rPr>
                <w:rFonts w:hint="eastAsia"/>
                <w:color w:val="000000" w:themeColor="text1"/>
                <w:sz w:val="24"/>
                <w:highlight w:val="none"/>
                <w:lang w:val="en-US" w:eastAsia="zh-CN"/>
                <w14:textFill>
                  <w14:solidFill>
                    <w14:schemeClr w14:val="tx1"/>
                  </w14:solidFill>
                </w14:textFill>
              </w:rPr>
              <w:t>1.2</w:t>
            </w: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0.8</w:t>
            </w:r>
            <w:r>
              <w:rPr>
                <w:color w:val="000000" w:themeColor="text1"/>
                <w:sz w:val="24"/>
                <w:highlight w:val="none"/>
                <w14:textFill>
                  <w14:solidFill>
                    <w14:schemeClr w14:val="tx1"/>
                  </w14:solidFill>
                </w14:textFill>
              </w:rPr>
              <w:t>*0.</w:t>
            </w:r>
            <w:r>
              <w:rPr>
                <w:rFonts w:hint="eastAsia"/>
                <w:color w:val="000000" w:themeColor="text1"/>
                <w:sz w:val="24"/>
                <w:highlight w:val="none"/>
                <w:lang w:val="en-US" w:eastAsia="zh-CN"/>
                <w14:textFill>
                  <w14:solidFill>
                    <w14:schemeClr w14:val="tx1"/>
                  </w14:solidFill>
                </w14:textFill>
              </w:rPr>
              <w:t>4</w:t>
            </w:r>
            <w:r>
              <w:rPr>
                <w:color w:val="000000" w:themeColor="text1"/>
                <w:sz w:val="24"/>
                <w:highlight w:val="none"/>
                <w14:textFill>
                  <w14:solidFill>
                    <w14:schemeClr w14:val="tx1"/>
                  </w14:solidFill>
                </w14:textFill>
              </w:rPr>
              <w:t>m，活性炭填充面积为</w:t>
            </w:r>
            <w:r>
              <w:rPr>
                <w:rFonts w:hint="eastAsia"/>
                <w:color w:val="000000" w:themeColor="text1"/>
                <w:sz w:val="24"/>
                <w:highlight w:val="none"/>
                <w:lang w:val="en-US" w:eastAsia="zh-CN"/>
                <w14:textFill>
                  <w14:solidFill>
                    <w14:schemeClr w14:val="tx1"/>
                  </w14:solidFill>
                </w14:textFill>
              </w:rPr>
              <w:t>0.96</w:t>
            </w:r>
            <w:r>
              <w:rPr>
                <w:color w:val="000000" w:themeColor="text1"/>
                <w:sz w:val="24"/>
                <w:highlight w:val="none"/>
                <w14:textFill>
                  <w14:solidFill>
                    <w14:schemeClr w14:val="tx1"/>
                  </w14:solidFill>
                </w14:textFill>
              </w:rPr>
              <w:t>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，填充</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层，则实际过滤风速为：</w:t>
            </w:r>
            <w:r>
              <w:rPr>
                <w:rFonts w:hint="eastAsia"/>
                <w:color w:val="000000" w:themeColor="text1"/>
                <w:sz w:val="24"/>
                <w:highlight w:val="none"/>
                <w:lang w:val="en-US" w:eastAsia="zh-CN"/>
                <w14:textFill>
                  <w14:solidFill>
                    <w14:schemeClr w14:val="tx1"/>
                  </w14:solidFill>
                </w14:textFill>
              </w:rPr>
              <w:t>30</w:t>
            </w:r>
            <w:r>
              <w:rPr>
                <w:color w:val="000000" w:themeColor="text1"/>
                <w:sz w:val="24"/>
                <w:highlight w:val="none"/>
                <w14:textFill>
                  <w14:solidFill>
                    <w14:schemeClr w14:val="tx1"/>
                  </w14:solidFill>
                </w14:textFill>
              </w:rPr>
              <w:t>0</w:t>
            </w:r>
            <w:r>
              <w:rPr>
                <w:rFonts w:hint="eastAsia"/>
                <w:color w:val="000000" w:themeColor="text1"/>
                <w:sz w:val="24"/>
                <w:highlight w:val="none"/>
                <w14:textFill>
                  <w14:solidFill>
                    <w14:schemeClr w14:val="tx1"/>
                  </w14:solidFill>
                </w14:textFill>
              </w:rPr>
              <w:t>0</w:t>
            </w:r>
            <w:r>
              <w:rPr>
                <w:color w:val="000000" w:themeColor="text1"/>
                <w:sz w:val="24"/>
                <w:highlight w:val="none"/>
                <w14:textFill>
                  <w14:solidFill>
                    <w14:schemeClr w14:val="tx1"/>
                  </w14:solidFill>
                </w14:textFill>
              </w:rPr>
              <w:t>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/h÷3600h/s÷</w:t>
            </w:r>
            <w:r>
              <w:rPr>
                <w:rFonts w:hint="eastAsia"/>
                <w:color w:val="000000" w:themeColor="text1"/>
                <w:sz w:val="24"/>
                <w:highlight w:val="none"/>
                <w:lang w:val="en-US" w:eastAsia="zh-CN"/>
                <w14:textFill>
                  <w14:solidFill>
                    <w14:schemeClr w14:val="tx1"/>
                  </w14:solidFill>
                </w14:textFill>
              </w:rPr>
              <w:t>0.96</w:t>
            </w:r>
            <w:r>
              <w:rPr>
                <w:color w:val="000000" w:themeColor="text1"/>
                <w:sz w:val="24"/>
                <w:highlight w:val="none"/>
                <w14:textFill>
                  <w14:solidFill>
                    <w14:schemeClr w14:val="tx1"/>
                  </w14:solidFill>
                </w14:textFill>
              </w:rPr>
              <w:t>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=0.</w:t>
            </w:r>
            <w:r>
              <w:rPr>
                <w:rFonts w:hint="eastAsia"/>
                <w:color w:val="000000" w:themeColor="text1"/>
                <w:sz w:val="24"/>
                <w:highlight w:val="none"/>
                <w14:textFill>
                  <w14:solidFill>
                    <w14:schemeClr w14:val="tx1"/>
                  </w14:solidFill>
                </w14:textFill>
              </w:rPr>
              <w:t>5</w:t>
            </w:r>
            <w:r>
              <w:rPr>
                <w:rFonts w:hint="eastAsia"/>
                <w:color w:val="000000" w:themeColor="text1"/>
                <w:sz w:val="24"/>
                <w:highlight w:val="none"/>
                <w:lang w:val="en-US" w:eastAsia="zh-CN"/>
                <w14:textFill>
                  <w14:solidFill>
                    <w14:schemeClr w14:val="tx1"/>
                  </w14:solidFill>
                </w14:textFill>
              </w:rPr>
              <w:t>8</w:t>
            </w:r>
            <w:r>
              <w:rPr>
                <w:color w:val="000000" w:themeColor="text1"/>
                <w:sz w:val="24"/>
                <w:highlight w:val="none"/>
                <w14:textFill>
                  <w14:solidFill>
                    <w14:schemeClr w14:val="tx1"/>
                  </w14:solidFill>
                </w14:textFill>
              </w:rPr>
              <w:t>m/s＜0.6m/s，停留时间：0.</w:t>
            </w:r>
            <w:r>
              <w:rPr>
                <w:rFonts w:hint="eastAsia"/>
                <w:color w:val="000000" w:themeColor="text1"/>
                <w:sz w:val="24"/>
                <w:highlight w:val="none"/>
                <w:lang w:val="en-US" w:eastAsia="zh-CN"/>
                <w14:textFill>
                  <w14:solidFill>
                    <w14:schemeClr w14:val="tx1"/>
                  </w14:solidFill>
                </w14:textFill>
              </w:rPr>
              <w:t>4</w:t>
            </w:r>
            <w:r>
              <w:rPr>
                <w:color w:val="000000" w:themeColor="text1"/>
                <w:sz w:val="24"/>
                <w:highlight w:val="none"/>
                <w14:textFill>
                  <w14:solidFill>
                    <w14:schemeClr w14:val="tx1"/>
                  </w14:solidFill>
                </w14:textFill>
              </w:rPr>
              <w:t>m÷0</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58</w:t>
            </w:r>
            <w:r>
              <w:rPr>
                <w:color w:val="000000" w:themeColor="text1"/>
                <w:sz w:val="24"/>
                <w:highlight w:val="none"/>
                <w14:textFill>
                  <w14:solidFill>
                    <w14:schemeClr w14:val="tx1"/>
                  </w14:solidFill>
                </w14:textFill>
              </w:rPr>
              <w:t>m/s=</w:t>
            </w:r>
            <w:r>
              <w:rPr>
                <w:rFonts w:hint="eastAsia"/>
                <w:color w:val="000000" w:themeColor="text1"/>
                <w:sz w:val="24"/>
                <w:highlight w:val="none"/>
                <w14:textFill>
                  <w14:solidFill>
                    <w14:schemeClr w14:val="tx1"/>
                  </w14:solidFill>
                </w14:textFill>
              </w:rPr>
              <w:t>0.</w:t>
            </w:r>
            <w:r>
              <w:rPr>
                <w:rFonts w:hint="eastAsia"/>
                <w:color w:val="000000" w:themeColor="text1"/>
                <w:sz w:val="24"/>
                <w:highlight w:val="none"/>
                <w:lang w:val="en-US" w:eastAsia="zh-CN"/>
                <w14:textFill>
                  <w14:solidFill>
                    <w14:schemeClr w14:val="tx1"/>
                  </w14:solidFill>
                </w14:textFill>
              </w:rPr>
              <w:t>69</w:t>
            </w:r>
            <w:r>
              <w:rPr>
                <w:rFonts w:hint="eastAsia"/>
                <w:color w:val="000000" w:themeColor="text1"/>
                <w:sz w:val="24"/>
                <w:highlight w:val="none"/>
                <w14:textFill>
                  <w14:solidFill>
                    <w14:schemeClr w14:val="tx1"/>
                  </w14:solidFill>
                </w14:textFill>
              </w:rPr>
              <w:t>s</w:t>
            </w:r>
            <w:r>
              <w:rPr>
                <w:color w:val="000000" w:themeColor="text1"/>
                <w:sz w:val="24"/>
                <w:highlight w:val="none"/>
                <w14:textFill>
                  <w14:solidFill>
                    <w14:schemeClr w14:val="tx1"/>
                  </w14:solidFill>
                </w14:textFill>
              </w:rPr>
              <w:t>，吸附装置有足够的停留时间。</w:t>
            </w:r>
          </w:p>
          <w:p w14:paraId="58A20E9A">
            <w:pPr>
              <w:adjustRightInd w:val="0"/>
              <w:snapToGrid w:val="0"/>
              <w:spacing w:line="440" w:lineRule="exact"/>
              <w:ind w:firstLine="480" w:firstLineChars="200"/>
              <w:rPr>
                <w:rFonts w:hint="eastAsia" w:ascii="Times New Roman" w:hAnsi="Times New Roman" w:cs="Times New Roman"/>
                <w:b w:val="0"/>
                <w:bCs/>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本项目满足《省生态环境厅关于深入开展涉VOCs治理重点工作核查的通知》（苏环办2020第218号）中，颗粒活性炭过滤风速≤0.6m/s的要求</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w:t>
            </w:r>
          </w:p>
          <w:p w14:paraId="4442CF9B">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5</w:t>
            </w:r>
            <w:r>
              <w:rPr>
                <w:color w:val="000000" w:themeColor="text1"/>
                <w:sz w:val="24"/>
                <w:highlight w:val="none"/>
                <w14:textFill>
                  <w14:solidFill>
                    <w14:schemeClr w14:val="tx1"/>
                  </w14:solidFill>
                </w14:textFill>
              </w:rPr>
              <w:t>）排气筒设置合理性</w:t>
            </w:r>
          </w:p>
          <w:p w14:paraId="5223530F">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w:t>
            </w:r>
            <w:r>
              <w:rPr>
                <w:rFonts w:hint="eastAsia"/>
                <w:color w:val="000000" w:themeColor="text1"/>
                <w:sz w:val="24"/>
                <w:highlight w:val="none"/>
                <w:lang w:val="en-US" w:eastAsia="zh-CN"/>
                <w14:textFill>
                  <w14:solidFill>
                    <w14:schemeClr w14:val="tx1"/>
                  </w14:solidFill>
                </w14:textFill>
              </w:rPr>
              <w:t>新增1个</w:t>
            </w:r>
            <w:r>
              <w:rPr>
                <w:color w:val="000000" w:themeColor="text1"/>
                <w:sz w:val="24"/>
                <w:highlight w:val="none"/>
                <w14:textFill>
                  <w14:solidFill>
                    <w14:schemeClr w14:val="tx1"/>
                  </w14:solidFill>
                </w14:textFill>
              </w:rPr>
              <w:t>排气筒，根据《制定地方大气污染物排放标准的技术方法》（GB/T</w:t>
            </w: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3840</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91）中（5.6.1）条规定，烟囱出口烟速应大于按下式计算得出的风速的1.5倍。</w:t>
            </w:r>
          </w:p>
          <w:p w14:paraId="303659EA">
            <w:pPr>
              <w:spacing w:line="440" w:lineRule="exact"/>
              <w:ind w:firstLine="480" w:firstLineChars="20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Vc=</w:t>
            </w:r>
            <w:r>
              <w:rPr>
                <w:color w:val="000000" w:themeColor="text1"/>
                <w:sz w:val="24"/>
                <w:highlight w:val="none"/>
                <w14:textFill>
                  <w14:solidFill>
                    <w14:schemeClr w14:val="tx1"/>
                  </w14:solidFill>
                </w14:textFill>
              </w:rPr>
              <w:drawing>
                <wp:inline distT="0" distB="0" distL="114300" distR="114300">
                  <wp:extent cx="142875" cy="198755"/>
                  <wp:effectExtent l="0" t="0" r="9525" b="10795"/>
                  <wp:docPr id="34" name="图片 3" descr="Image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 descr="Image74"/>
                          <pic:cNvPicPr>
                            <a:picLocks noChangeAspect="1"/>
                          </pic:cNvPicPr>
                        </pic:nvPicPr>
                        <pic:blipFill>
                          <a:blip r:embed="rId25"/>
                          <a:stretch>
                            <a:fillRect/>
                          </a:stretch>
                        </pic:blipFill>
                        <pic:spPr>
                          <a:xfrm>
                            <a:off x="0" y="0"/>
                            <a:ext cx="142875" cy="198755"/>
                          </a:xfrm>
                          <a:prstGeom prst="rect">
                            <a:avLst/>
                          </a:prstGeom>
                          <a:noFill/>
                          <a:ln>
                            <a:noFill/>
                          </a:ln>
                        </pic:spPr>
                      </pic:pic>
                    </a:graphicData>
                  </a:graphic>
                </wp:inline>
              </w:drawing>
            </w:r>
            <w:r>
              <w:rPr>
                <w:color w:val="000000" w:themeColor="text1"/>
                <w:sz w:val="24"/>
                <w:highlight w:val="none"/>
                <w14:textFill>
                  <w14:solidFill>
                    <w14:schemeClr w14:val="tx1"/>
                  </w14:solidFill>
                </w14:textFill>
              </w:rPr>
              <w:t>（2.303）</w:t>
            </w:r>
            <w:r>
              <w:rPr>
                <w:color w:val="000000" w:themeColor="text1"/>
                <w:sz w:val="24"/>
                <w:highlight w:val="none"/>
                <w:vertAlign w:val="superscript"/>
                <w14:textFill>
                  <w14:solidFill>
                    <w14:schemeClr w14:val="tx1"/>
                  </w14:solidFill>
                </w14:textFill>
              </w:rPr>
              <w:t>1/K</w:t>
            </w:r>
            <w:r>
              <w:rPr>
                <w:color w:val="000000" w:themeColor="text1"/>
                <w:sz w:val="24"/>
                <w:highlight w:val="none"/>
                <w14:textFill>
                  <w14:solidFill>
                    <w14:schemeClr w14:val="tx1"/>
                  </w14:solidFill>
                </w14:textFill>
              </w:rPr>
              <w:t>/（1+1/K）</w:t>
            </w:r>
          </w:p>
          <w:p w14:paraId="30243C54">
            <w:pPr>
              <w:autoSpaceDE w:val="0"/>
              <w:autoSpaceDN w:val="0"/>
              <w:adjustRightInd w:val="0"/>
              <w:snapToGrid w:val="0"/>
              <w:spacing w:line="440" w:lineRule="exact"/>
              <w:ind w:firstLine="420" w:firstLineChars="200"/>
              <w:jc w:val="center"/>
              <w:rPr>
                <w:color w:val="000000" w:themeColor="text1"/>
                <w:kern w:val="0"/>
                <w:sz w:val="24"/>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1200785" cy="254635"/>
                  <wp:effectExtent l="0" t="0" r="18415" b="12065"/>
                  <wp:docPr id="35" name="图片 4" descr="Image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4" descr="Image73"/>
                          <pic:cNvPicPr>
                            <a:picLocks noChangeAspect="1"/>
                          </pic:cNvPicPr>
                        </pic:nvPicPr>
                        <pic:blipFill>
                          <a:blip r:embed="rId26"/>
                          <a:srcRect l="-3166" t="-7106" r="30533"/>
                          <a:stretch>
                            <a:fillRect/>
                          </a:stretch>
                        </pic:blipFill>
                        <pic:spPr>
                          <a:xfrm>
                            <a:off x="0" y="0"/>
                            <a:ext cx="1200785" cy="254635"/>
                          </a:xfrm>
                          <a:prstGeom prst="rect">
                            <a:avLst/>
                          </a:prstGeom>
                          <a:noFill/>
                          <a:ln>
                            <a:noFill/>
                          </a:ln>
                        </pic:spPr>
                      </pic:pic>
                    </a:graphicData>
                  </a:graphic>
                </wp:inline>
              </w:drawing>
            </w:r>
          </w:p>
          <w:p w14:paraId="792B1F94">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式中：</w:t>
            </w:r>
            <w:r>
              <w:rPr>
                <w:color w:val="000000" w:themeColor="text1"/>
                <w:sz w:val="24"/>
                <w:highlight w:val="none"/>
                <w14:textFill>
                  <w14:solidFill>
                    <w14:schemeClr w14:val="tx1"/>
                  </w14:solidFill>
                </w14:textFill>
              </w:rPr>
              <w:drawing>
                <wp:inline distT="0" distB="0" distL="114300" distR="114300">
                  <wp:extent cx="142875" cy="198755"/>
                  <wp:effectExtent l="0" t="0" r="9525" b="10795"/>
                  <wp:docPr id="36" name="图片 5" descr="Image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5" descr="Image74"/>
                          <pic:cNvPicPr>
                            <a:picLocks noChangeAspect="1"/>
                          </pic:cNvPicPr>
                        </pic:nvPicPr>
                        <pic:blipFill>
                          <a:blip r:embed="rId25"/>
                          <a:stretch>
                            <a:fillRect/>
                          </a:stretch>
                        </pic:blipFill>
                        <pic:spPr>
                          <a:xfrm>
                            <a:off x="0" y="0"/>
                            <a:ext cx="142875" cy="198755"/>
                          </a:xfrm>
                          <a:prstGeom prst="rect">
                            <a:avLst/>
                          </a:prstGeom>
                          <a:noFill/>
                          <a:ln>
                            <a:noFill/>
                          </a:ln>
                        </pic:spPr>
                      </pic:pic>
                    </a:graphicData>
                  </a:graphic>
                </wp:inline>
              </w:drawing>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排气筒出口高度处环境风速的多年平均风速；</w:t>
            </w:r>
          </w:p>
          <w:p w14:paraId="06677265">
            <w:pPr>
              <w:adjustRightInd w:val="0"/>
              <w:snapToGrid w:val="0"/>
              <w:spacing w:line="440" w:lineRule="exact"/>
              <w:ind w:firstLine="1200" w:firstLineChars="5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K</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韦伯斜率；</w:t>
            </w:r>
          </w:p>
          <w:p w14:paraId="499C4975">
            <w:pPr>
              <w:adjustRightInd w:val="0"/>
              <w:snapToGrid w:val="0"/>
              <w:spacing w:line="440" w:lineRule="exact"/>
              <w:ind w:firstLine="1200" w:firstLineChars="5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drawing>
                <wp:inline distT="0" distB="0" distL="114300" distR="114300">
                  <wp:extent cx="341630" cy="198755"/>
                  <wp:effectExtent l="0" t="0" r="1270" b="10795"/>
                  <wp:docPr id="37" name="图片 6" descr="Image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6" descr="Image75"/>
                          <pic:cNvPicPr>
                            <a:picLocks noChangeAspect="1"/>
                          </pic:cNvPicPr>
                        </pic:nvPicPr>
                        <pic:blipFill>
                          <a:blip r:embed="rId27"/>
                          <a:stretch>
                            <a:fillRect/>
                          </a:stretch>
                        </pic:blipFill>
                        <pic:spPr>
                          <a:xfrm>
                            <a:off x="0" y="0"/>
                            <a:ext cx="341630" cy="198755"/>
                          </a:xfrm>
                          <a:prstGeom prst="rect">
                            <a:avLst/>
                          </a:prstGeom>
                          <a:noFill/>
                          <a:ln>
                            <a:noFill/>
                          </a:ln>
                        </pic:spPr>
                      </pic:pic>
                    </a:graphicData>
                  </a:graphic>
                </wp:inline>
              </w:drawing>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函数，λ=1+1/K；</w:t>
            </w:r>
          </w:p>
          <w:p w14:paraId="0BBAF343">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根据公式计算，Vc为6.326m/s。</w:t>
            </w:r>
          </w:p>
          <w:p w14:paraId="1E12F815">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本项目建成后排气筒的出口排气风速均满足《制定地方大气污染物排放标准的技术方法》（GB/T</w:t>
            </w: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3840</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91）大于1.5倍Vc（9.489m/s）的要求。</w:t>
            </w:r>
          </w:p>
          <w:p w14:paraId="58C3ED95">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本项目排气筒设置情况见下表。</w:t>
            </w:r>
          </w:p>
          <w:p w14:paraId="6F7E508E">
            <w:pPr>
              <w:pStyle w:val="125"/>
              <w:numPr>
                <w:ilvl w:val="0"/>
                <w:numId w:val="0"/>
              </w:numPr>
              <w:spacing w:line="440" w:lineRule="exact"/>
              <w:rPr>
                <w:rFonts w:hint="default"/>
                <w:color w:val="000000" w:themeColor="text1"/>
                <w:sz w:val="24"/>
                <w:highlight w:val="none"/>
                <w14:textFill>
                  <w14:solidFill>
                    <w14:schemeClr w14:val="tx1"/>
                  </w14:solidFill>
                </w14:textFill>
              </w:rPr>
            </w:pPr>
            <w:r>
              <w:rPr>
                <w:rFonts w:hint="default"/>
                <w:color w:val="000000" w:themeColor="text1"/>
                <w:sz w:val="24"/>
                <w:highlight w:val="none"/>
                <w14:textFill>
                  <w14:solidFill>
                    <w14:schemeClr w14:val="tx1"/>
                  </w14:solidFill>
                </w14:textFill>
              </w:rPr>
              <w:t>表4-1</w:t>
            </w:r>
            <w:r>
              <w:rPr>
                <w:rFonts w:hint="eastAsia"/>
                <w:color w:val="000000" w:themeColor="text1"/>
                <w:sz w:val="24"/>
                <w:highlight w:val="none"/>
                <w:lang w:val="en-US" w:eastAsia="zh-CN"/>
                <w14:textFill>
                  <w14:solidFill>
                    <w14:schemeClr w14:val="tx1"/>
                  </w14:solidFill>
                </w14:textFill>
              </w:rPr>
              <w:t xml:space="preserve">2  </w:t>
            </w:r>
            <w:r>
              <w:rPr>
                <w:rFonts w:hint="default"/>
                <w:color w:val="000000" w:themeColor="text1"/>
                <w:sz w:val="24"/>
                <w:highlight w:val="none"/>
                <w14:textFill>
                  <w14:solidFill>
                    <w14:schemeClr w14:val="tx1"/>
                  </w14:solidFill>
                </w14:textFill>
              </w:rPr>
              <w:t>本项目生产废气排气筒设置情况一览表</w:t>
            </w:r>
          </w:p>
          <w:tbl>
            <w:tblPr>
              <w:tblStyle w:val="38"/>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082"/>
              <w:gridCol w:w="982"/>
              <w:gridCol w:w="1450"/>
              <w:gridCol w:w="1131"/>
              <w:gridCol w:w="1457"/>
              <w:gridCol w:w="2363"/>
            </w:tblGrid>
            <w:tr w14:paraId="3FABDD1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1" w:hRule="atLeast"/>
                <w:jc w:val="center"/>
              </w:trPr>
              <w:tc>
                <w:tcPr>
                  <w:tcW w:w="639" w:type="pct"/>
                  <w:vMerge w:val="restart"/>
                  <w:vAlign w:val="center"/>
                </w:tcPr>
                <w:p w14:paraId="5BE55936">
                  <w:pPr>
                    <w:widowControl/>
                    <w:spacing w:line="240" w:lineRule="exact"/>
                    <w:jc w:val="center"/>
                    <w:textAlignment w:val="center"/>
                    <w:rPr>
                      <w:b/>
                      <w:bCs/>
                      <w:color w:val="000000" w:themeColor="text1"/>
                      <w:kern w:val="0"/>
                      <w:szCs w:val="21"/>
                      <w:highlight w:val="none"/>
                      <w:lang w:bidi="ar"/>
                      <w14:textFill>
                        <w14:solidFill>
                          <w14:schemeClr w14:val="tx1"/>
                        </w14:solidFill>
                      </w14:textFill>
                    </w:rPr>
                  </w:pPr>
                  <w:r>
                    <w:rPr>
                      <w:b/>
                      <w:bCs/>
                      <w:color w:val="000000" w:themeColor="text1"/>
                      <w:kern w:val="0"/>
                      <w:szCs w:val="21"/>
                      <w:highlight w:val="none"/>
                      <w:lang w:bidi="ar"/>
                      <w14:textFill>
                        <w14:solidFill>
                          <w14:schemeClr w14:val="tx1"/>
                        </w14:solidFill>
                      </w14:textFill>
                    </w:rPr>
                    <w:t>排气筒</w:t>
                  </w:r>
                </w:p>
                <w:p w14:paraId="089C4FC0">
                  <w:pPr>
                    <w:widowControl/>
                    <w:spacing w:line="240" w:lineRule="exact"/>
                    <w:jc w:val="center"/>
                    <w:textAlignment w:val="center"/>
                    <w:rPr>
                      <w:b/>
                      <w:bCs/>
                      <w:color w:val="000000" w:themeColor="text1"/>
                      <w:kern w:val="0"/>
                      <w:szCs w:val="21"/>
                      <w:highlight w:val="none"/>
                      <w:lang w:bidi="ar"/>
                      <w14:textFill>
                        <w14:solidFill>
                          <w14:schemeClr w14:val="tx1"/>
                        </w14:solidFill>
                      </w14:textFill>
                    </w:rPr>
                  </w:pPr>
                  <w:r>
                    <w:rPr>
                      <w:b/>
                      <w:bCs/>
                      <w:color w:val="000000" w:themeColor="text1"/>
                      <w:kern w:val="0"/>
                      <w:szCs w:val="21"/>
                      <w:highlight w:val="none"/>
                      <w:lang w:bidi="ar"/>
                      <w14:textFill>
                        <w14:solidFill>
                          <w14:schemeClr w14:val="tx1"/>
                        </w14:solidFill>
                      </w14:textFill>
                    </w:rPr>
                    <w:t>编号</w:t>
                  </w:r>
                </w:p>
              </w:tc>
              <w:tc>
                <w:tcPr>
                  <w:tcW w:w="2965" w:type="pct"/>
                  <w:gridSpan w:val="4"/>
                  <w:vAlign w:val="center"/>
                </w:tcPr>
                <w:p w14:paraId="6FAC3823">
                  <w:pPr>
                    <w:widowControl/>
                    <w:spacing w:line="240" w:lineRule="exact"/>
                    <w:jc w:val="center"/>
                    <w:textAlignment w:val="center"/>
                    <w:rPr>
                      <w:b/>
                      <w:bCs/>
                      <w:color w:val="000000" w:themeColor="text1"/>
                      <w:kern w:val="0"/>
                      <w:szCs w:val="21"/>
                      <w:highlight w:val="none"/>
                      <w:lang w:bidi="ar"/>
                      <w14:textFill>
                        <w14:solidFill>
                          <w14:schemeClr w14:val="tx1"/>
                        </w14:solidFill>
                      </w14:textFill>
                    </w:rPr>
                  </w:pPr>
                  <w:r>
                    <w:rPr>
                      <w:b/>
                      <w:bCs/>
                      <w:color w:val="000000" w:themeColor="text1"/>
                      <w:kern w:val="0"/>
                      <w:szCs w:val="21"/>
                      <w:highlight w:val="none"/>
                      <w:lang w:bidi="ar"/>
                      <w14:textFill>
                        <w14:solidFill>
                          <w14:schemeClr w14:val="tx1"/>
                        </w14:solidFill>
                      </w14:textFill>
                    </w:rPr>
                    <w:t>参数</w:t>
                  </w:r>
                </w:p>
              </w:tc>
              <w:tc>
                <w:tcPr>
                  <w:tcW w:w="1395" w:type="pct"/>
                  <w:vMerge w:val="restart"/>
                  <w:vAlign w:val="center"/>
                </w:tcPr>
                <w:p w14:paraId="3CF28A2E">
                  <w:pPr>
                    <w:widowControl/>
                    <w:spacing w:line="240" w:lineRule="exact"/>
                    <w:jc w:val="center"/>
                    <w:textAlignment w:val="center"/>
                    <w:rPr>
                      <w:b/>
                      <w:bCs/>
                      <w:color w:val="000000" w:themeColor="text1"/>
                      <w:kern w:val="0"/>
                      <w:szCs w:val="21"/>
                      <w:highlight w:val="none"/>
                      <w:lang w:bidi="ar"/>
                      <w14:textFill>
                        <w14:solidFill>
                          <w14:schemeClr w14:val="tx1"/>
                        </w14:solidFill>
                      </w14:textFill>
                    </w:rPr>
                  </w:pPr>
                  <w:r>
                    <w:rPr>
                      <w:b/>
                      <w:bCs/>
                      <w:color w:val="000000" w:themeColor="text1"/>
                      <w:kern w:val="0"/>
                      <w:szCs w:val="21"/>
                      <w:highlight w:val="none"/>
                      <w:lang w:bidi="ar"/>
                      <w14:textFill>
                        <w14:solidFill>
                          <w14:schemeClr w14:val="tx1"/>
                        </w14:solidFill>
                      </w14:textFill>
                    </w:rPr>
                    <w:t>主要污染物</w:t>
                  </w:r>
                </w:p>
              </w:tc>
            </w:tr>
            <w:tr w14:paraId="6A4A73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5" w:hRule="atLeast"/>
                <w:jc w:val="center"/>
              </w:trPr>
              <w:tc>
                <w:tcPr>
                  <w:tcW w:w="639" w:type="pct"/>
                  <w:vMerge w:val="continue"/>
                  <w:vAlign w:val="center"/>
                </w:tcPr>
                <w:p w14:paraId="3F4E18D8">
                  <w:pPr>
                    <w:widowControl/>
                    <w:spacing w:line="240" w:lineRule="exact"/>
                    <w:jc w:val="center"/>
                    <w:textAlignment w:val="center"/>
                    <w:rPr>
                      <w:b/>
                      <w:bCs/>
                      <w:color w:val="000000" w:themeColor="text1"/>
                      <w:kern w:val="0"/>
                      <w:szCs w:val="21"/>
                      <w:highlight w:val="none"/>
                      <w:lang w:bidi="ar"/>
                      <w14:textFill>
                        <w14:solidFill>
                          <w14:schemeClr w14:val="tx1"/>
                        </w14:solidFill>
                      </w14:textFill>
                    </w:rPr>
                  </w:pPr>
                </w:p>
              </w:tc>
              <w:tc>
                <w:tcPr>
                  <w:tcW w:w="580" w:type="pct"/>
                  <w:vAlign w:val="center"/>
                </w:tcPr>
                <w:p w14:paraId="321BED9D">
                  <w:pPr>
                    <w:widowControl/>
                    <w:spacing w:line="240" w:lineRule="exact"/>
                    <w:jc w:val="center"/>
                    <w:textAlignment w:val="center"/>
                    <w:rPr>
                      <w:b/>
                      <w:bCs/>
                      <w:color w:val="000000" w:themeColor="text1"/>
                      <w:kern w:val="0"/>
                      <w:szCs w:val="21"/>
                      <w:highlight w:val="none"/>
                      <w:lang w:bidi="ar"/>
                      <w14:textFill>
                        <w14:solidFill>
                          <w14:schemeClr w14:val="tx1"/>
                        </w14:solidFill>
                      </w14:textFill>
                    </w:rPr>
                  </w:pPr>
                  <w:r>
                    <w:rPr>
                      <w:b/>
                      <w:bCs/>
                      <w:color w:val="000000" w:themeColor="text1"/>
                      <w:kern w:val="0"/>
                      <w:szCs w:val="21"/>
                      <w:highlight w:val="none"/>
                      <w:lang w:bidi="ar"/>
                      <w14:textFill>
                        <w14:solidFill>
                          <w14:schemeClr w14:val="tx1"/>
                        </w14:solidFill>
                      </w14:textFill>
                    </w:rPr>
                    <w:t>高度（m）</w:t>
                  </w:r>
                </w:p>
              </w:tc>
              <w:tc>
                <w:tcPr>
                  <w:tcW w:w="856" w:type="pct"/>
                  <w:vAlign w:val="center"/>
                </w:tcPr>
                <w:p w14:paraId="74775D06">
                  <w:pPr>
                    <w:widowControl/>
                    <w:spacing w:line="240" w:lineRule="exact"/>
                    <w:jc w:val="center"/>
                    <w:textAlignment w:val="center"/>
                    <w:rPr>
                      <w:b/>
                      <w:bCs/>
                      <w:color w:val="000000" w:themeColor="text1"/>
                      <w:kern w:val="0"/>
                      <w:szCs w:val="21"/>
                      <w:highlight w:val="none"/>
                      <w:lang w:bidi="ar"/>
                      <w14:textFill>
                        <w14:solidFill>
                          <w14:schemeClr w14:val="tx1"/>
                        </w14:solidFill>
                      </w14:textFill>
                    </w:rPr>
                  </w:pPr>
                  <w:r>
                    <w:rPr>
                      <w:b/>
                      <w:bCs/>
                      <w:color w:val="000000" w:themeColor="text1"/>
                      <w:kern w:val="0"/>
                      <w:szCs w:val="21"/>
                      <w:highlight w:val="none"/>
                      <w:lang w:bidi="ar"/>
                      <w14:textFill>
                        <w14:solidFill>
                          <w14:schemeClr w14:val="tx1"/>
                        </w14:solidFill>
                      </w14:textFill>
                    </w:rPr>
                    <w:t>风机风量（m</w:t>
                  </w:r>
                  <w:r>
                    <w:rPr>
                      <w:b/>
                      <w:bCs/>
                      <w:color w:val="000000" w:themeColor="text1"/>
                      <w:kern w:val="0"/>
                      <w:szCs w:val="21"/>
                      <w:highlight w:val="none"/>
                      <w:vertAlign w:val="superscript"/>
                      <w:lang w:bidi="ar"/>
                      <w14:textFill>
                        <w14:solidFill>
                          <w14:schemeClr w14:val="tx1"/>
                        </w14:solidFill>
                      </w14:textFill>
                    </w:rPr>
                    <w:t>3</w:t>
                  </w:r>
                  <w:r>
                    <w:rPr>
                      <w:b/>
                      <w:bCs/>
                      <w:color w:val="000000" w:themeColor="text1"/>
                      <w:kern w:val="0"/>
                      <w:szCs w:val="21"/>
                      <w:highlight w:val="none"/>
                      <w:lang w:bidi="ar"/>
                      <w14:textFill>
                        <w14:solidFill>
                          <w14:schemeClr w14:val="tx1"/>
                        </w14:solidFill>
                      </w14:textFill>
                    </w:rPr>
                    <w:t>/h）</w:t>
                  </w:r>
                </w:p>
              </w:tc>
              <w:tc>
                <w:tcPr>
                  <w:tcW w:w="668" w:type="pct"/>
                  <w:vAlign w:val="center"/>
                </w:tcPr>
                <w:p w14:paraId="2238A9D7">
                  <w:pPr>
                    <w:widowControl/>
                    <w:spacing w:line="240" w:lineRule="exact"/>
                    <w:jc w:val="center"/>
                    <w:textAlignment w:val="center"/>
                    <w:rPr>
                      <w:b/>
                      <w:bCs/>
                      <w:color w:val="000000" w:themeColor="text1"/>
                      <w:kern w:val="0"/>
                      <w:szCs w:val="21"/>
                      <w:highlight w:val="none"/>
                      <w:lang w:bidi="ar"/>
                      <w14:textFill>
                        <w14:solidFill>
                          <w14:schemeClr w14:val="tx1"/>
                        </w14:solidFill>
                      </w14:textFill>
                    </w:rPr>
                  </w:pPr>
                  <w:r>
                    <w:rPr>
                      <w:b/>
                      <w:bCs/>
                      <w:color w:val="000000" w:themeColor="text1"/>
                      <w:kern w:val="0"/>
                      <w:szCs w:val="21"/>
                      <w:highlight w:val="none"/>
                      <w:lang w:bidi="ar"/>
                      <w14:textFill>
                        <w14:solidFill>
                          <w14:schemeClr w14:val="tx1"/>
                        </w14:solidFill>
                      </w14:textFill>
                    </w:rPr>
                    <w:t>内径（m）</w:t>
                  </w:r>
                </w:p>
              </w:tc>
              <w:tc>
                <w:tcPr>
                  <w:tcW w:w="860" w:type="pct"/>
                  <w:vAlign w:val="center"/>
                </w:tcPr>
                <w:p w14:paraId="72D85DEA">
                  <w:pPr>
                    <w:widowControl/>
                    <w:spacing w:line="240" w:lineRule="exact"/>
                    <w:jc w:val="center"/>
                    <w:textAlignment w:val="center"/>
                    <w:rPr>
                      <w:b/>
                      <w:bCs/>
                      <w:color w:val="000000" w:themeColor="text1"/>
                      <w:kern w:val="0"/>
                      <w:szCs w:val="21"/>
                      <w:highlight w:val="none"/>
                      <w:lang w:bidi="ar"/>
                      <w14:textFill>
                        <w14:solidFill>
                          <w14:schemeClr w14:val="tx1"/>
                        </w14:solidFill>
                      </w14:textFill>
                    </w:rPr>
                  </w:pPr>
                  <w:r>
                    <w:rPr>
                      <w:b/>
                      <w:bCs/>
                      <w:color w:val="000000" w:themeColor="text1"/>
                      <w:kern w:val="0"/>
                      <w:szCs w:val="21"/>
                      <w:highlight w:val="none"/>
                      <w:lang w:bidi="ar"/>
                      <w14:textFill>
                        <w14:solidFill>
                          <w14:schemeClr w14:val="tx1"/>
                        </w14:solidFill>
                      </w14:textFill>
                    </w:rPr>
                    <w:t>排风风速（m/s）</w:t>
                  </w:r>
                </w:p>
              </w:tc>
              <w:tc>
                <w:tcPr>
                  <w:tcW w:w="1395" w:type="pct"/>
                  <w:vMerge w:val="continue"/>
                  <w:vAlign w:val="center"/>
                </w:tcPr>
                <w:p w14:paraId="7197DEC7">
                  <w:pPr>
                    <w:widowControl/>
                    <w:spacing w:line="240" w:lineRule="exact"/>
                    <w:jc w:val="center"/>
                    <w:textAlignment w:val="center"/>
                    <w:rPr>
                      <w:b/>
                      <w:bCs/>
                      <w:color w:val="000000" w:themeColor="text1"/>
                      <w:kern w:val="0"/>
                      <w:szCs w:val="21"/>
                      <w:highlight w:val="none"/>
                      <w:lang w:bidi="ar"/>
                      <w14:textFill>
                        <w14:solidFill>
                          <w14:schemeClr w14:val="tx1"/>
                        </w14:solidFill>
                      </w14:textFill>
                    </w:rPr>
                  </w:pPr>
                </w:p>
              </w:tc>
            </w:tr>
            <w:tr w14:paraId="2EA6123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9" w:hRule="atLeast"/>
                <w:jc w:val="center"/>
              </w:trPr>
              <w:tc>
                <w:tcPr>
                  <w:tcW w:w="639" w:type="pct"/>
                  <w:vAlign w:val="center"/>
                </w:tcPr>
                <w:p w14:paraId="4539FAAD">
                  <w:pPr>
                    <w:widowControl/>
                    <w:spacing w:line="240" w:lineRule="exact"/>
                    <w:jc w:val="center"/>
                    <w:textAlignment w:val="center"/>
                    <w:rPr>
                      <w:rFonts w:hint="eastAsia" w:eastAsia="宋体"/>
                      <w:color w:val="000000" w:themeColor="text1"/>
                      <w:kern w:val="0"/>
                      <w:szCs w:val="21"/>
                      <w:highlight w:val="none"/>
                      <w:lang w:eastAsia="zh-CN" w:bidi="ar"/>
                      <w14:textFill>
                        <w14:solidFill>
                          <w14:schemeClr w14:val="tx1"/>
                        </w14:solidFill>
                      </w14:textFill>
                    </w:rPr>
                  </w:pPr>
                  <w:r>
                    <w:rPr>
                      <w:rFonts w:hint="eastAsia"/>
                      <w:color w:val="000000" w:themeColor="text1"/>
                      <w:kern w:val="0"/>
                      <w:szCs w:val="21"/>
                      <w:highlight w:val="none"/>
                      <w:lang w:eastAsia="zh-CN" w:bidi="ar"/>
                      <w14:textFill>
                        <w14:solidFill>
                          <w14:schemeClr w14:val="tx1"/>
                        </w14:solidFill>
                      </w14:textFill>
                    </w:rPr>
                    <w:t>DA001</w:t>
                  </w:r>
                </w:p>
              </w:tc>
              <w:tc>
                <w:tcPr>
                  <w:tcW w:w="580" w:type="pct"/>
                  <w:vAlign w:val="center"/>
                </w:tcPr>
                <w:p w14:paraId="5C52AAE5">
                  <w:pPr>
                    <w:widowControl/>
                    <w:spacing w:line="240" w:lineRule="exact"/>
                    <w:jc w:val="center"/>
                    <w:textAlignment w:val="center"/>
                    <w:rPr>
                      <w:rFonts w:hint="default" w:eastAsia="宋体"/>
                      <w:color w:val="000000" w:themeColor="text1"/>
                      <w:kern w:val="0"/>
                      <w:szCs w:val="21"/>
                      <w:highlight w:val="none"/>
                      <w:lang w:val="en-US" w:eastAsia="zh-CN" w:bidi="ar"/>
                      <w14:textFill>
                        <w14:solidFill>
                          <w14:schemeClr w14:val="tx1"/>
                        </w14:solidFill>
                      </w14:textFill>
                    </w:rPr>
                  </w:pPr>
                  <w:r>
                    <w:rPr>
                      <w:rFonts w:hint="eastAsia"/>
                      <w:color w:val="000000" w:themeColor="text1"/>
                      <w:kern w:val="0"/>
                      <w:szCs w:val="21"/>
                      <w:highlight w:val="none"/>
                      <w:lang w:val="en-US" w:eastAsia="zh-CN" w:bidi="ar"/>
                      <w14:textFill>
                        <w14:solidFill>
                          <w14:schemeClr w14:val="tx1"/>
                        </w14:solidFill>
                      </w14:textFill>
                    </w:rPr>
                    <w:t>15</w:t>
                  </w:r>
                </w:p>
              </w:tc>
              <w:tc>
                <w:tcPr>
                  <w:tcW w:w="856" w:type="pct"/>
                  <w:vAlign w:val="center"/>
                </w:tcPr>
                <w:p w14:paraId="6A72EA2E">
                  <w:pPr>
                    <w:widowControl/>
                    <w:jc w:val="center"/>
                    <w:textAlignment w:val="center"/>
                    <w:rPr>
                      <w:color w:val="000000" w:themeColor="text1"/>
                      <w:kern w:val="0"/>
                      <w:szCs w:val="21"/>
                      <w:highlight w:val="none"/>
                      <w:lang w:bidi="ar"/>
                      <w14:textFill>
                        <w14:solidFill>
                          <w14:schemeClr w14:val="tx1"/>
                        </w14:solidFill>
                      </w14:textFill>
                    </w:rPr>
                  </w:pPr>
                  <w:r>
                    <w:rPr>
                      <w:rFonts w:hint="eastAsia"/>
                      <w:color w:val="000000" w:themeColor="text1"/>
                      <w:kern w:val="0"/>
                      <w:szCs w:val="21"/>
                      <w:highlight w:val="none"/>
                      <w:lang w:val="en-US" w:eastAsia="zh-CN" w:bidi="ar"/>
                      <w14:textFill>
                        <w14:solidFill>
                          <w14:schemeClr w14:val="tx1"/>
                        </w14:solidFill>
                      </w14:textFill>
                    </w:rPr>
                    <w:t>30</w:t>
                  </w:r>
                  <w:r>
                    <w:rPr>
                      <w:rFonts w:hint="eastAsia"/>
                      <w:color w:val="000000" w:themeColor="text1"/>
                      <w:kern w:val="0"/>
                      <w:szCs w:val="21"/>
                      <w:highlight w:val="none"/>
                      <w:lang w:bidi="ar"/>
                      <w14:textFill>
                        <w14:solidFill>
                          <w14:schemeClr w14:val="tx1"/>
                        </w14:solidFill>
                      </w14:textFill>
                    </w:rPr>
                    <w:t>00</w:t>
                  </w:r>
                </w:p>
              </w:tc>
              <w:tc>
                <w:tcPr>
                  <w:tcW w:w="668" w:type="pct"/>
                  <w:vAlign w:val="center"/>
                </w:tcPr>
                <w:p w14:paraId="558EE27E">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.15</w:t>
                  </w:r>
                </w:p>
              </w:tc>
              <w:tc>
                <w:tcPr>
                  <w:tcW w:w="860" w:type="pct"/>
                  <w:vAlign w:val="center"/>
                </w:tcPr>
                <w:p w14:paraId="6593D84F">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11.8</w:t>
                  </w:r>
                </w:p>
              </w:tc>
              <w:tc>
                <w:tcPr>
                  <w:tcW w:w="1395" w:type="pct"/>
                  <w:vAlign w:val="center"/>
                </w:tcPr>
                <w:p w14:paraId="73DE350C">
                  <w:pPr>
                    <w:widowControl/>
                    <w:jc w:val="center"/>
                    <w:textAlignment w:val="center"/>
                    <w:rPr>
                      <w:rFonts w:hint="default" w:eastAsia="宋体"/>
                      <w:color w:val="000000" w:themeColor="text1"/>
                      <w:kern w:val="0"/>
                      <w:szCs w:val="21"/>
                      <w:highlight w:val="none"/>
                      <w:lang w:val="en-US" w:eastAsia="zh-CN" w:bidi="ar"/>
                      <w14:textFill>
                        <w14:solidFill>
                          <w14:schemeClr w14:val="tx1"/>
                        </w14:solidFill>
                      </w14:textFill>
                    </w:rPr>
                  </w:pPr>
                  <w:r>
                    <w:rPr>
                      <w:color w:val="000000" w:themeColor="text1"/>
                      <w:kern w:val="0"/>
                      <w:szCs w:val="21"/>
                      <w:highlight w:val="none"/>
                      <w:lang w:bidi="ar"/>
                      <w14:textFill>
                        <w14:solidFill>
                          <w14:schemeClr w14:val="tx1"/>
                        </w14:solidFill>
                      </w14:textFill>
                    </w:rPr>
                    <w:t>非甲烷总烃</w:t>
                  </w:r>
                  <w:r>
                    <w:rPr>
                      <w:rFonts w:hint="eastAsia"/>
                      <w:color w:val="000000" w:themeColor="text1"/>
                      <w:kern w:val="0"/>
                      <w:szCs w:val="21"/>
                      <w:highlight w:val="none"/>
                      <w:lang w:eastAsia="zh-CN" w:bidi="ar"/>
                      <w14:textFill>
                        <w14:solidFill>
                          <w14:schemeClr w14:val="tx1"/>
                        </w14:solidFill>
                      </w14:textFill>
                    </w:rPr>
                    <w:t>、</w:t>
                  </w:r>
                  <w:r>
                    <w:rPr>
                      <w:rFonts w:hint="eastAsia"/>
                      <w:color w:val="000000" w:themeColor="text1"/>
                      <w:kern w:val="0"/>
                      <w:szCs w:val="21"/>
                      <w:highlight w:val="none"/>
                      <w:lang w:val="en-US" w:eastAsia="zh-CN" w:bidi="ar"/>
                      <w14:textFill>
                        <w14:solidFill>
                          <w14:schemeClr w14:val="tx1"/>
                        </w14:solidFill>
                      </w14:textFill>
                    </w:rPr>
                    <w:t>臭气浓度</w:t>
                  </w:r>
                </w:p>
              </w:tc>
            </w:tr>
            <w:tr w14:paraId="670F750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9" w:hRule="atLeast"/>
                <w:jc w:val="center"/>
              </w:trPr>
              <w:tc>
                <w:tcPr>
                  <w:tcW w:w="639" w:type="pct"/>
                  <w:vAlign w:val="center"/>
                </w:tcPr>
                <w:p w14:paraId="5E11D7B4">
                  <w:pPr>
                    <w:widowControl/>
                    <w:spacing w:line="240" w:lineRule="exact"/>
                    <w:jc w:val="center"/>
                    <w:textAlignment w:val="center"/>
                    <w:rPr>
                      <w:rFonts w:hint="default"/>
                      <w:color w:val="000000" w:themeColor="text1"/>
                      <w:kern w:val="0"/>
                      <w:szCs w:val="21"/>
                      <w:highlight w:val="none"/>
                      <w:lang w:val="en-US" w:eastAsia="zh-CN" w:bidi="ar"/>
                      <w14:textFill>
                        <w14:solidFill>
                          <w14:schemeClr w14:val="tx1"/>
                        </w14:solidFill>
                      </w14:textFill>
                    </w:rPr>
                  </w:pPr>
                  <w:r>
                    <w:rPr>
                      <w:rFonts w:hint="eastAsia"/>
                      <w:color w:val="000000" w:themeColor="text1"/>
                      <w:kern w:val="0"/>
                      <w:szCs w:val="21"/>
                      <w:highlight w:val="none"/>
                      <w:lang w:val="en-US" w:eastAsia="zh-CN" w:bidi="ar"/>
                      <w14:textFill>
                        <w14:solidFill>
                          <w14:schemeClr w14:val="tx1"/>
                        </w14:solidFill>
                      </w14:textFill>
                    </w:rPr>
                    <w:t>DA002</w:t>
                  </w:r>
                </w:p>
              </w:tc>
              <w:tc>
                <w:tcPr>
                  <w:tcW w:w="580" w:type="pct"/>
                  <w:vAlign w:val="center"/>
                </w:tcPr>
                <w:p w14:paraId="7228E55A">
                  <w:pPr>
                    <w:widowControl/>
                    <w:spacing w:line="240" w:lineRule="exact"/>
                    <w:jc w:val="center"/>
                    <w:textAlignment w:val="center"/>
                    <w:rPr>
                      <w:rFonts w:hint="default"/>
                      <w:color w:val="000000" w:themeColor="text1"/>
                      <w:kern w:val="0"/>
                      <w:szCs w:val="21"/>
                      <w:highlight w:val="none"/>
                      <w:lang w:val="en-US" w:eastAsia="zh-CN" w:bidi="ar"/>
                      <w14:textFill>
                        <w14:solidFill>
                          <w14:schemeClr w14:val="tx1"/>
                        </w14:solidFill>
                      </w14:textFill>
                    </w:rPr>
                  </w:pPr>
                  <w:r>
                    <w:rPr>
                      <w:rFonts w:hint="eastAsia"/>
                      <w:color w:val="000000" w:themeColor="text1"/>
                      <w:kern w:val="0"/>
                      <w:szCs w:val="21"/>
                      <w:highlight w:val="none"/>
                      <w:lang w:val="en-US" w:eastAsia="zh-CN" w:bidi="ar"/>
                      <w14:textFill>
                        <w14:solidFill>
                          <w14:schemeClr w14:val="tx1"/>
                        </w14:solidFill>
                      </w14:textFill>
                    </w:rPr>
                    <w:t>15</w:t>
                  </w:r>
                </w:p>
              </w:tc>
              <w:tc>
                <w:tcPr>
                  <w:tcW w:w="856" w:type="pct"/>
                  <w:vAlign w:val="center"/>
                </w:tcPr>
                <w:p w14:paraId="24E19C23">
                  <w:pPr>
                    <w:widowControl/>
                    <w:jc w:val="center"/>
                    <w:textAlignment w:val="center"/>
                    <w:rPr>
                      <w:rFonts w:hint="default"/>
                      <w:color w:val="000000" w:themeColor="text1"/>
                      <w:kern w:val="0"/>
                      <w:szCs w:val="21"/>
                      <w:highlight w:val="none"/>
                      <w:lang w:val="en-US" w:eastAsia="zh-CN" w:bidi="ar"/>
                      <w14:textFill>
                        <w14:solidFill>
                          <w14:schemeClr w14:val="tx1"/>
                        </w14:solidFill>
                      </w14:textFill>
                    </w:rPr>
                  </w:pPr>
                  <w:r>
                    <w:rPr>
                      <w:rFonts w:hint="eastAsia"/>
                      <w:color w:val="000000" w:themeColor="text1"/>
                      <w:kern w:val="0"/>
                      <w:szCs w:val="21"/>
                      <w:highlight w:val="none"/>
                      <w:lang w:val="en-US" w:eastAsia="zh-CN" w:bidi="ar"/>
                      <w14:textFill>
                        <w14:solidFill>
                          <w14:schemeClr w14:val="tx1"/>
                        </w14:solidFill>
                      </w14:textFill>
                    </w:rPr>
                    <w:t>4000</w:t>
                  </w:r>
                </w:p>
              </w:tc>
              <w:tc>
                <w:tcPr>
                  <w:tcW w:w="668" w:type="pct"/>
                  <w:vAlign w:val="center"/>
                </w:tcPr>
                <w:p w14:paraId="65FAF4B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.15</w:t>
                  </w:r>
                </w:p>
              </w:tc>
              <w:tc>
                <w:tcPr>
                  <w:tcW w:w="860" w:type="pct"/>
                  <w:vAlign w:val="center"/>
                </w:tcPr>
                <w:p w14:paraId="437EFED9">
                  <w:pPr>
                    <w:keepNext w:val="0"/>
                    <w:keepLines w:val="0"/>
                    <w:widowControl/>
                    <w:suppressLineNumbers w:val="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15.7</w:t>
                  </w:r>
                </w:p>
              </w:tc>
              <w:tc>
                <w:tcPr>
                  <w:tcW w:w="1395" w:type="pct"/>
                  <w:vAlign w:val="center"/>
                </w:tcPr>
                <w:p w14:paraId="69B47D39">
                  <w:pPr>
                    <w:widowControl/>
                    <w:jc w:val="center"/>
                    <w:textAlignment w:val="center"/>
                    <w:rPr>
                      <w:rFonts w:hint="eastAsia" w:eastAsia="宋体"/>
                      <w:color w:val="000000" w:themeColor="text1"/>
                      <w:kern w:val="0"/>
                      <w:szCs w:val="21"/>
                      <w:highlight w:val="none"/>
                      <w:lang w:eastAsia="zh-CN" w:bidi="ar"/>
                      <w14:textFill>
                        <w14:solidFill>
                          <w14:schemeClr w14:val="tx1"/>
                        </w14:solidFill>
                      </w14:textFill>
                    </w:rPr>
                  </w:pPr>
                  <w:r>
                    <w:rPr>
                      <w:rFonts w:hint="eastAsia"/>
                      <w:color w:val="000000" w:themeColor="text1"/>
                      <w:kern w:val="0"/>
                      <w:szCs w:val="21"/>
                      <w:highlight w:val="none"/>
                      <w:lang w:eastAsia="zh-CN" w:bidi="ar"/>
                      <w14:textFill>
                        <w14:solidFill>
                          <w14:schemeClr w14:val="tx1"/>
                        </w14:solidFill>
                      </w14:textFill>
                    </w:rPr>
                    <w:t>非甲烷总烃、乙醛、四氢呋喃、</w:t>
                  </w:r>
                  <w:r>
                    <w:rPr>
                      <w:rFonts w:hint="eastAsia"/>
                      <w:color w:val="000000" w:themeColor="text1"/>
                      <w:kern w:val="0"/>
                      <w:szCs w:val="21"/>
                      <w:highlight w:val="none"/>
                      <w:lang w:val="en-US" w:eastAsia="zh-CN" w:bidi="ar"/>
                      <w14:textFill>
                        <w14:solidFill>
                          <w14:schemeClr w14:val="tx1"/>
                        </w14:solidFill>
                      </w14:textFill>
                    </w:rPr>
                    <w:t>臭气浓度</w:t>
                  </w:r>
                </w:p>
              </w:tc>
            </w:tr>
          </w:tbl>
          <w:p w14:paraId="313C9D04">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综上所述，</w:t>
            </w:r>
            <w:r>
              <w:rPr>
                <w:rFonts w:hint="eastAsia"/>
                <w:color w:val="000000" w:themeColor="text1"/>
                <w:sz w:val="24"/>
                <w:highlight w:val="none"/>
                <w:lang w:val="en-US" w:eastAsia="zh-CN"/>
                <w14:textFill>
                  <w14:solidFill>
                    <w14:schemeClr w14:val="tx1"/>
                  </w14:solidFill>
                </w14:textFill>
              </w:rPr>
              <w:t>本</w:t>
            </w:r>
            <w:r>
              <w:rPr>
                <w:color w:val="000000" w:themeColor="text1"/>
                <w:sz w:val="24"/>
                <w:highlight w:val="none"/>
                <w:lang w:val="zh-CN"/>
                <w14:textFill>
                  <w14:solidFill>
                    <w14:schemeClr w14:val="tx1"/>
                  </w14:solidFill>
                </w14:textFill>
              </w:rPr>
              <w:t>项目所设排气筒是合理可行的。</w:t>
            </w:r>
          </w:p>
          <w:p w14:paraId="7D607C24">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6</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废气处理</w:t>
            </w:r>
            <w:r>
              <w:rPr>
                <w:color w:val="000000" w:themeColor="text1"/>
                <w:sz w:val="24"/>
                <w:highlight w:val="none"/>
                <w14:textFill>
                  <w14:solidFill>
                    <w14:schemeClr w14:val="tx1"/>
                  </w14:solidFill>
                </w14:textFill>
              </w:rPr>
              <w:t>装置去除效率工程实例论证</w:t>
            </w:r>
          </w:p>
          <w:p w14:paraId="619897D8">
            <w:pPr>
              <w:adjustRightInd w:val="0"/>
              <w:snapToGrid w:val="0"/>
              <w:spacing w:line="440" w:lineRule="exact"/>
              <w:ind w:firstLine="480" w:firstLineChars="200"/>
              <w:rPr>
                <w:color w:val="000000" w:themeColor="text1"/>
                <w:sz w:val="24"/>
                <w:szCs w:val="21"/>
                <w:highlight w:val="none"/>
                <w:lang w:val="zh-CN"/>
                <w14:textFill>
                  <w14:solidFill>
                    <w14:schemeClr w14:val="tx1"/>
                  </w14:solidFill>
                </w14:textFill>
              </w:rPr>
            </w:pPr>
            <w:r>
              <w:rPr>
                <w:rFonts w:hint="eastAsia"/>
                <w:color w:val="000000" w:themeColor="text1"/>
                <w:sz w:val="24"/>
                <w:highlight w:val="none"/>
                <w:lang w:val="zh-CN"/>
                <w14:textFill>
                  <w14:solidFill>
                    <w14:schemeClr w14:val="tx1"/>
                  </w14:solidFill>
                </w14:textFill>
              </w:rPr>
              <w:t>延锋汽车饰件系统南京有限公司乘用车饰件产品生产线通过注塑形成产品塑料骨架，</w:t>
            </w:r>
            <w:r>
              <w:rPr>
                <w:rFonts w:hint="eastAsia"/>
                <w:color w:val="000000" w:themeColor="text1"/>
                <w:sz w:val="24"/>
                <w:highlight w:val="none"/>
                <w:lang w:val="en-US" w:eastAsia="zh-CN"/>
                <w14:textFill>
                  <w14:solidFill>
                    <w14:schemeClr w14:val="tx1"/>
                  </w14:solidFill>
                </w14:textFill>
              </w:rPr>
              <w:t>与本项目类似。</w:t>
            </w:r>
            <w:r>
              <w:rPr>
                <w:rFonts w:hint="eastAsia"/>
                <w:color w:val="000000" w:themeColor="text1"/>
                <w:sz w:val="24"/>
                <w:highlight w:val="none"/>
                <w:lang w:val="zh-CN"/>
                <w14:textFill>
                  <w14:solidFill>
                    <w14:schemeClr w14:val="tx1"/>
                  </w14:solidFill>
                </w14:textFill>
              </w:rPr>
              <w:t>生产过程中注塑废气经过集气罩收集后由一套二级活性炭吸附装置处理。</w:t>
            </w:r>
            <w:r>
              <w:rPr>
                <w:color w:val="000000" w:themeColor="text1"/>
                <w:sz w:val="24"/>
                <w:highlight w:val="none"/>
                <w:lang w:val="zh-CN"/>
                <w14:textFill>
                  <w14:solidFill>
                    <w14:schemeClr w14:val="tx1"/>
                  </w14:solidFill>
                </w14:textFill>
              </w:rPr>
              <w:t>类比同类工程，根据延锋汽车饰件系统南京有限公司《车用饰品生产线改造项目竣工环境保护验收监测报告表》中的监测报告（报告编号：宁联凯（环境）第〔2011232〕号），于2020年11月16日至2020年11月17日对其注塑车间活性炭吸附装置排气筒进出口非甲烷总烃的监测数据分别为：进口平均速率为0.141kg/h、出口平均速率为0.0132kg/h，进口平均速率为0.164kg/h、出口平均速率为0.0119kg/h，通过计算去除效率分别为90.63%、92.74%；因此本项目非甲烷总烃的去除效率取90%，所以本项目该装置能够达到标准要求。</w:t>
            </w:r>
          </w:p>
          <w:p w14:paraId="2E69FE84">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szCs w:val="21"/>
                <w:highlight w:val="none"/>
                <w:lang w:val="zh-CN"/>
                <w14:textFill>
                  <w14:solidFill>
                    <w14:schemeClr w14:val="tx1"/>
                  </w14:solidFill>
                </w14:textFill>
              </w:rPr>
              <w:t>参考以上工程实例可知，</w:t>
            </w:r>
            <w:r>
              <w:rPr>
                <w:rFonts w:hint="eastAsia"/>
                <w:color w:val="000000" w:themeColor="text1"/>
                <w:sz w:val="24"/>
                <w:szCs w:val="21"/>
                <w:highlight w:val="none"/>
                <w:lang w:val="en-US" w:eastAsia="zh-CN"/>
                <w14:textFill>
                  <w14:solidFill>
                    <w14:schemeClr w14:val="tx1"/>
                  </w14:solidFill>
                </w14:textFill>
              </w:rPr>
              <w:t>二</w:t>
            </w:r>
            <w:r>
              <w:rPr>
                <w:color w:val="000000" w:themeColor="text1"/>
                <w:sz w:val="24"/>
                <w:szCs w:val="21"/>
                <w:highlight w:val="none"/>
                <w:lang w:val="zh-CN"/>
                <w14:textFill>
                  <w14:solidFill>
                    <w14:schemeClr w14:val="tx1"/>
                  </w14:solidFill>
                </w14:textFill>
              </w:rPr>
              <w:t>级活性炭吸附装置对有机废气的去除效率可达</w:t>
            </w:r>
            <w:r>
              <w:rPr>
                <w:rFonts w:hint="eastAsia"/>
                <w:color w:val="000000" w:themeColor="text1"/>
                <w:sz w:val="24"/>
                <w:szCs w:val="21"/>
                <w:highlight w:val="none"/>
                <w:lang w:val="en-US" w:eastAsia="zh-CN"/>
                <w14:textFill>
                  <w14:solidFill>
                    <w14:schemeClr w14:val="tx1"/>
                  </w14:solidFill>
                </w14:textFill>
              </w:rPr>
              <w:t>90</w:t>
            </w:r>
            <w:r>
              <w:rPr>
                <w:color w:val="000000" w:themeColor="text1"/>
                <w:sz w:val="24"/>
                <w:szCs w:val="21"/>
                <w:highlight w:val="none"/>
                <w:lang w:val="zh-CN"/>
                <w14:textFill>
                  <w14:solidFill>
                    <w14:schemeClr w14:val="tx1"/>
                  </w14:solidFill>
                </w14:textFill>
              </w:rPr>
              <w:t>%。因此本项目</w:t>
            </w:r>
            <w:r>
              <w:rPr>
                <w:rFonts w:hint="eastAsia"/>
                <w:color w:val="000000" w:themeColor="text1"/>
                <w:sz w:val="24"/>
                <w:szCs w:val="21"/>
                <w:highlight w:val="none"/>
                <w:lang w:val="en-US" w:eastAsia="zh-CN"/>
                <w14:textFill>
                  <w14:solidFill>
                    <w14:schemeClr w14:val="tx1"/>
                  </w14:solidFill>
                </w14:textFill>
              </w:rPr>
              <w:t>二</w:t>
            </w:r>
            <w:r>
              <w:rPr>
                <w:color w:val="000000" w:themeColor="text1"/>
                <w:sz w:val="24"/>
                <w:szCs w:val="21"/>
                <w:highlight w:val="none"/>
                <w:lang w:val="zh-CN"/>
                <w14:textFill>
                  <w14:solidFill>
                    <w14:schemeClr w14:val="tx1"/>
                  </w14:solidFill>
                </w14:textFill>
              </w:rPr>
              <w:t>级活性炭吸附装置对有机废气的去除效率为</w:t>
            </w:r>
            <w:r>
              <w:rPr>
                <w:rFonts w:hint="eastAsia"/>
                <w:color w:val="000000" w:themeColor="text1"/>
                <w:sz w:val="24"/>
                <w:szCs w:val="21"/>
                <w:highlight w:val="none"/>
                <w:lang w:val="en-US" w:eastAsia="zh-CN"/>
                <w14:textFill>
                  <w14:solidFill>
                    <w14:schemeClr w14:val="tx1"/>
                  </w14:solidFill>
                </w14:textFill>
              </w:rPr>
              <w:t>90</w:t>
            </w:r>
            <w:r>
              <w:rPr>
                <w:color w:val="000000" w:themeColor="text1"/>
                <w:sz w:val="24"/>
                <w:szCs w:val="21"/>
                <w:highlight w:val="none"/>
                <w:lang w:val="zh-CN"/>
                <w14:textFill>
                  <w14:solidFill>
                    <w14:schemeClr w14:val="tx1"/>
                  </w14:solidFill>
                </w14:textFill>
              </w:rPr>
              <w:t>%可行</w:t>
            </w:r>
            <w:r>
              <w:rPr>
                <w:rFonts w:hint="eastAsia"/>
                <w:color w:val="000000" w:themeColor="text1"/>
                <w:sz w:val="24"/>
                <w:highlight w:val="none"/>
                <w:lang w:val="zh-CN"/>
                <w14:textFill>
                  <w14:solidFill>
                    <w14:schemeClr w14:val="tx1"/>
                  </w14:solidFill>
                </w14:textFill>
              </w:rPr>
              <w:t>。</w:t>
            </w:r>
          </w:p>
          <w:p w14:paraId="76CC7716">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7</w:t>
            </w:r>
            <w:r>
              <w:rPr>
                <w:color w:val="000000" w:themeColor="text1"/>
                <w:sz w:val="24"/>
                <w:highlight w:val="none"/>
                <w14:textFill>
                  <w14:solidFill>
                    <w14:schemeClr w14:val="tx1"/>
                  </w14:solidFill>
                </w14:textFill>
              </w:rPr>
              <w:t>）污染防治措施可行性分析</w:t>
            </w:r>
          </w:p>
          <w:p w14:paraId="6C2E8694">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w:t>
            </w:r>
            <w:r>
              <w:rPr>
                <w:rFonts w:hint="eastAsia"/>
                <w:color w:val="000000" w:themeColor="text1"/>
                <w:sz w:val="24"/>
                <w:highlight w:val="none"/>
                <w14:textFill>
                  <w14:solidFill>
                    <w14:schemeClr w14:val="tx1"/>
                  </w14:solidFill>
                </w14:textFill>
              </w:rPr>
              <w:t>《排污许可证申请与核发技术规范 橡胶和塑料制品工业》（HJ1122-2020）</w:t>
            </w:r>
            <w:r>
              <w:rPr>
                <w:color w:val="000000" w:themeColor="text1"/>
                <w:sz w:val="24"/>
                <w:highlight w:val="none"/>
                <w14:textFill>
                  <w14:solidFill>
                    <w14:schemeClr w14:val="tx1"/>
                  </w14:solidFill>
                </w14:textFill>
              </w:rPr>
              <w:t>相关要求，</w:t>
            </w:r>
            <w:r>
              <w:rPr>
                <w:rFonts w:hint="eastAsia"/>
                <w:color w:val="000000" w:themeColor="text1"/>
                <w:sz w:val="24"/>
                <w:highlight w:val="none"/>
                <w:lang w:val="en-US" w:eastAsia="zh-CN"/>
                <w14:textFill>
                  <w14:solidFill>
                    <w14:schemeClr w14:val="tx1"/>
                  </w14:solidFill>
                </w14:textFill>
              </w:rPr>
              <w:t>有机废气</w:t>
            </w:r>
            <w:r>
              <w:rPr>
                <w:color w:val="000000" w:themeColor="text1"/>
                <w:sz w:val="24"/>
                <w:highlight w:val="none"/>
                <w14:textFill>
                  <w14:solidFill>
                    <w14:schemeClr w14:val="tx1"/>
                  </w14:solidFill>
                </w14:textFill>
              </w:rPr>
              <w:t>采用</w:t>
            </w:r>
            <w:r>
              <w:rPr>
                <w:rFonts w:hint="eastAsia"/>
                <w:color w:val="000000" w:themeColor="text1"/>
                <w:sz w:val="24"/>
                <w:highlight w:val="none"/>
                <w14:textFill>
                  <w14:solidFill>
                    <w14:schemeClr w14:val="tx1"/>
                  </w14:solidFill>
                </w14:textFill>
              </w:rPr>
              <w:t>活性炭</w:t>
            </w:r>
            <w:r>
              <w:rPr>
                <w:rFonts w:hint="eastAsia"/>
                <w:color w:val="000000" w:themeColor="text1"/>
                <w:sz w:val="24"/>
                <w:highlight w:val="none"/>
                <w:lang w:val="en-US" w:eastAsia="zh-CN"/>
                <w14:textFill>
                  <w14:solidFill>
                    <w14:schemeClr w14:val="tx1"/>
                  </w14:solidFill>
                </w14:textFill>
              </w:rPr>
              <w:t>吸附</w:t>
            </w:r>
            <w:r>
              <w:rPr>
                <w:color w:val="000000" w:themeColor="text1"/>
                <w:sz w:val="24"/>
                <w:highlight w:val="none"/>
                <w14:textFill>
                  <w14:solidFill>
                    <w14:schemeClr w14:val="tx1"/>
                  </w14:solidFill>
                </w14:textFill>
              </w:rPr>
              <w:t>处理</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属于可行技术</w:t>
            </w:r>
          </w:p>
          <w:p w14:paraId="64DD6813">
            <w:pPr>
              <w:adjustRightInd w:val="0"/>
              <w:snapToGrid w:val="0"/>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1.3异味影响分析</w:t>
            </w:r>
          </w:p>
          <w:p w14:paraId="3E7A253A">
            <w:pPr>
              <w:keepNext w:val="0"/>
              <w:keepLines w:val="0"/>
              <w:pageBreakBefore w:val="0"/>
              <w:widowControl w:val="0"/>
              <w:kinsoku/>
              <w:wordWrap/>
              <w:overflowPunct/>
              <w:topLinePunct w:val="0"/>
              <w:bidi w:val="0"/>
              <w:adjustRightInd w:val="0"/>
              <w:snapToGrid w:val="0"/>
              <w:spacing w:line="460" w:lineRule="exact"/>
              <w:ind w:firstLine="480"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本项目在生产过程中会产生</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乙醛‌等</w:t>
            </w:r>
            <w:r>
              <w:rPr>
                <w:rFonts w:hint="default" w:ascii="Times New Roman" w:hAnsi="Times New Roman" w:eastAsia="宋体" w:cs="Times New Roman"/>
                <w:color w:val="000000" w:themeColor="text1"/>
                <w:sz w:val="24"/>
                <w:highlight w:val="none"/>
                <w:lang w:val="zh-CN"/>
                <w14:textFill>
                  <w14:solidFill>
                    <w14:schemeClr w14:val="tx1"/>
                  </w14:solidFill>
                </w14:textFill>
              </w:rPr>
              <w:t>污</w:t>
            </w:r>
            <w:r>
              <w:rPr>
                <w:rFonts w:hint="default" w:ascii="Times New Roman" w:hAnsi="Times New Roman" w:eastAsia="宋体" w:cs="Times New Roman"/>
                <w:color w:val="000000" w:themeColor="text1"/>
                <w:sz w:val="24"/>
                <w:highlight w:val="none"/>
                <w14:textFill>
                  <w14:solidFill>
                    <w14:schemeClr w14:val="tx1"/>
                  </w14:solidFill>
                </w14:textFill>
              </w:rPr>
              <w:t>染物，具有异味。</w:t>
            </w:r>
            <w:r>
              <w:rPr>
                <w:rFonts w:hint="eastAsia" w:ascii="Times New Roman" w:hAnsi="Times New Roman" w:eastAsia="宋体" w:cs="Times New Roman"/>
                <w:bCs/>
                <w:color w:val="000000" w:themeColor="text1"/>
                <w:sz w:val="24"/>
                <w:highlight w:val="none"/>
                <w14:textFill>
                  <w14:solidFill>
                    <w14:schemeClr w14:val="tx1"/>
                  </w14:solidFill>
                </w14:textFill>
              </w:rPr>
              <w:t>异味主要可对人体呼吸系统、循环系统造成危害，并可能造成思想不集中，工作效率降低等影响。嗅觉是人的一种</w:t>
            </w:r>
            <w:r>
              <w:rPr>
                <w:rFonts w:hint="eastAsia" w:cs="Times New Roman"/>
                <w:bCs/>
                <w:color w:val="000000" w:themeColor="text1"/>
                <w:sz w:val="24"/>
                <w:highlight w:val="none"/>
                <w:lang w:eastAsia="zh-CN"/>
                <w14:textFill>
                  <w14:solidFill>
                    <w14:schemeClr w14:val="tx1"/>
                  </w14:solidFill>
                </w14:textFill>
              </w:rPr>
              <w:t>感官</w:t>
            </w:r>
            <w:r>
              <w:rPr>
                <w:rFonts w:hint="eastAsia" w:ascii="Times New Roman" w:hAnsi="Times New Roman" w:eastAsia="宋体" w:cs="Times New Roman"/>
                <w:bCs/>
                <w:color w:val="000000" w:themeColor="text1"/>
                <w:sz w:val="24"/>
                <w:highlight w:val="none"/>
                <w14:textFill>
                  <w14:solidFill>
                    <w14:schemeClr w14:val="tx1"/>
                  </w14:solidFill>
                </w14:textFill>
              </w:rPr>
              <w:t>体验，不是严格的科学特性，嗅味概念的定量尚难做到。恶臭学科还处于试验科学阶段，难以用模式计算办法来制定标准。</w:t>
            </w:r>
            <w:r>
              <w:rPr>
                <w:rFonts w:hint="default" w:ascii="Times New Roman" w:hAnsi="Times New Roman" w:eastAsia="宋体" w:cs="Times New Roman"/>
                <w:color w:val="000000" w:themeColor="text1"/>
                <w:sz w:val="24"/>
                <w:highlight w:val="none"/>
                <w14:textFill>
                  <w14:solidFill>
                    <w14:schemeClr w14:val="tx1"/>
                  </w14:solidFill>
                </w14:textFill>
              </w:rPr>
              <w:t>本项目按嗅觉阈浓度值进行评价的影响范围，废气污染物嗅觉阈浓度、恶臭气体的</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叠加</w:t>
            </w:r>
            <w:r>
              <w:rPr>
                <w:rFonts w:hint="default" w:ascii="Times New Roman" w:hAnsi="Times New Roman" w:eastAsia="宋体" w:cs="Times New Roman"/>
                <w:color w:val="000000" w:themeColor="text1"/>
                <w:sz w:val="24"/>
                <w:highlight w:val="none"/>
                <w14:textFill>
                  <w14:solidFill>
                    <w14:schemeClr w14:val="tx1"/>
                  </w14:solidFill>
                </w14:textFill>
              </w:rPr>
              <w:t>值见下表。</w:t>
            </w:r>
          </w:p>
          <w:p w14:paraId="22F7CA2E">
            <w:pPr>
              <w:pStyle w:val="125"/>
              <w:keepNext w:val="0"/>
              <w:keepLines w:val="0"/>
              <w:pageBreakBefore w:val="0"/>
              <w:widowControl w:val="0"/>
              <w:numPr>
                <w:ilvl w:val="0"/>
                <w:numId w:val="0"/>
              </w:numPr>
              <w:kinsoku/>
              <w:wordWrap/>
              <w:overflowPunct/>
              <w:topLinePunct w:val="0"/>
              <w:bidi w:val="0"/>
              <w:adjustRightInd w:val="0"/>
              <w:snapToGrid w:val="0"/>
              <w:spacing w:line="460" w:lineRule="exact"/>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表4-1</w:t>
            </w:r>
            <w:r>
              <w:rPr>
                <w:rFonts w:hint="eastAsia" w:cs="Times New Roman"/>
                <w:color w:val="000000" w:themeColor="text1"/>
                <w:sz w:val="24"/>
                <w:highlight w:val="none"/>
                <w:lang w:val="en-US" w:eastAsia="zh-CN"/>
                <w14:textFill>
                  <w14:solidFill>
                    <w14:schemeClr w14:val="tx1"/>
                  </w14:solidFill>
                </w14:textFill>
              </w:rPr>
              <w:t xml:space="preserve">3 </w:t>
            </w:r>
            <w:r>
              <w:rPr>
                <w:rFonts w:hint="default" w:ascii="Times New Roman" w:hAnsi="Times New Roman" w:eastAsia="宋体" w:cs="Times New Roman"/>
                <w:color w:val="000000" w:themeColor="text1"/>
                <w:sz w:val="24"/>
                <w:highlight w:val="none"/>
                <w14:textFill>
                  <w14:solidFill>
                    <w14:schemeClr w14:val="tx1"/>
                  </w14:solidFill>
                </w14:textFill>
              </w:rPr>
              <w:t>废气污染物嗅觉阈浓度</w:t>
            </w:r>
          </w:p>
          <w:tbl>
            <w:tblPr>
              <w:tblStyle w:val="38"/>
              <w:tblW w:w="49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63"/>
              <w:gridCol w:w="2093"/>
              <w:gridCol w:w="1886"/>
              <w:gridCol w:w="1331"/>
              <w:gridCol w:w="1448"/>
              <w:gridCol w:w="822"/>
            </w:tblGrid>
            <w:tr w14:paraId="09036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trPr>
              <w:tc>
                <w:tcPr>
                  <w:tcW w:w="511" w:type="pct"/>
                  <w:tcBorders>
                    <w:top w:val="single" w:color="auto" w:sz="12" w:space="0"/>
                    <w:left w:val="nil"/>
                    <w:bottom w:val="single" w:color="auto" w:sz="6" w:space="0"/>
                    <w:right w:val="single" w:color="auto" w:sz="6" w:space="0"/>
                  </w:tcBorders>
                  <w:vAlign w:val="center"/>
                </w:tcPr>
                <w:p w14:paraId="61F75CD2">
                  <w:pPr>
                    <w:snapToGrid w:val="0"/>
                    <w:spacing w:line="240" w:lineRule="exact"/>
                    <w:jc w:val="center"/>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物质</w:t>
                  </w:r>
                </w:p>
              </w:tc>
              <w:tc>
                <w:tcPr>
                  <w:tcW w:w="1239" w:type="pct"/>
                  <w:tcBorders>
                    <w:top w:val="single" w:color="auto" w:sz="12" w:space="0"/>
                    <w:left w:val="single" w:color="auto" w:sz="6" w:space="0"/>
                    <w:bottom w:val="single" w:color="auto" w:sz="6" w:space="0"/>
                    <w:right w:val="single" w:color="auto" w:sz="6" w:space="0"/>
                  </w:tcBorders>
                  <w:vAlign w:val="center"/>
                </w:tcPr>
                <w:p w14:paraId="6A848B80">
                  <w:pPr>
                    <w:snapToGrid w:val="0"/>
                    <w:spacing w:line="240" w:lineRule="exact"/>
                    <w:jc w:val="center"/>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有组织贡献值（</w:t>
                  </w: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m</w:t>
                  </w:r>
                  <w:r>
                    <w:rPr>
                      <w:rFonts w:hint="default" w:ascii="Times New Roman" w:hAnsi="Times New Roman" w:eastAsia="宋体" w:cs="Times New Roman"/>
                      <w:b/>
                      <w:bCs/>
                      <w:color w:val="000000" w:themeColor="text1"/>
                      <w:szCs w:val="21"/>
                      <w:highlight w:val="none"/>
                      <w14:textFill>
                        <w14:solidFill>
                          <w14:schemeClr w14:val="tx1"/>
                        </w14:solidFill>
                      </w14:textFill>
                    </w:rPr>
                    <w:t>g/m</w:t>
                  </w:r>
                  <w:r>
                    <w:rPr>
                      <w:rFonts w:hint="default" w:ascii="Times New Roman" w:hAnsi="Times New Roman" w:eastAsia="宋体" w:cs="Times New Roman"/>
                      <w:b/>
                      <w:bCs/>
                      <w:color w:val="000000" w:themeColor="text1"/>
                      <w:szCs w:val="2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szCs w:val="21"/>
                      <w:highlight w:val="none"/>
                      <w14:textFill>
                        <w14:solidFill>
                          <w14:schemeClr w14:val="tx1"/>
                        </w14:solidFill>
                      </w14:textFill>
                    </w:rPr>
                    <w:t>）</w:t>
                  </w:r>
                </w:p>
              </w:tc>
              <w:tc>
                <w:tcPr>
                  <w:tcW w:w="1116" w:type="pct"/>
                  <w:tcBorders>
                    <w:top w:val="single" w:color="auto" w:sz="12" w:space="0"/>
                    <w:left w:val="single" w:color="auto" w:sz="6" w:space="0"/>
                    <w:bottom w:val="single" w:color="auto" w:sz="6" w:space="0"/>
                    <w:right w:val="single" w:color="auto" w:sz="6" w:space="0"/>
                  </w:tcBorders>
                  <w:vAlign w:val="center"/>
                </w:tcPr>
                <w:p w14:paraId="5845B039">
                  <w:pPr>
                    <w:snapToGrid w:val="0"/>
                    <w:spacing w:line="240" w:lineRule="exact"/>
                    <w:jc w:val="center"/>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无组织贡献值（</w:t>
                  </w: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m</w:t>
                  </w:r>
                  <w:r>
                    <w:rPr>
                      <w:rFonts w:hint="default" w:ascii="Times New Roman" w:hAnsi="Times New Roman" w:eastAsia="宋体" w:cs="Times New Roman"/>
                      <w:b/>
                      <w:bCs/>
                      <w:color w:val="000000" w:themeColor="text1"/>
                      <w:szCs w:val="21"/>
                      <w:highlight w:val="none"/>
                      <w14:textFill>
                        <w14:solidFill>
                          <w14:schemeClr w14:val="tx1"/>
                        </w14:solidFill>
                      </w14:textFill>
                    </w:rPr>
                    <w:t>g/m</w:t>
                  </w:r>
                  <w:r>
                    <w:rPr>
                      <w:rFonts w:hint="default" w:ascii="Times New Roman" w:hAnsi="Times New Roman" w:eastAsia="宋体" w:cs="Times New Roman"/>
                      <w:b/>
                      <w:bCs/>
                      <w:color w:val="000000" w:themeColor="text1"/>
                      <w:szCs w:val="2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szCs w:val="21"/>
                      <w:highlight w:val="none"/>
                      <w14:textFill>
                        <w14:solidFill>
                          <w14:schemeClr w14:val="tx1"/>
                        </w14:solidFill>
                      </w14:textFill>
                    </w:rPr>
                    <w:t>）</w:t>
                  </w:r>
                </w:p>
              </w:tc>
              <w:tc>
                <w:tcPr>
                  <w:tcW w:w="788" w:type="pct"/>
                  <w:tcBorders>
                    <w:top w:val="single" w:color="auto" w:sz="12" w:space="0"/>
                    <w:left w:val="single" w:color="auto" w:sz="6" w:space="0"/>
                    <w:bottom w:val="single" w:color="auto" w:sz="6" w:space="0"/>
                    <w:right w:val="single" w:color="auto" w:sz="6" w:space="0"/>
                  </w:tcBorders>
                  <w:vAlign w:val="center"/>
                </w:tcPr>
                <w:p w14:paraId="23CFDD18">
                  <w:pPr>
                    <w:snapToGrid w:val="0"/>
                    <w:spacing w:line="240" w:lineRule="exact"/>
                    <w:jc w:val="center"/>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叠加值</w:t>
                  </w:r>
                </w:p>
                <w:p w14:paraId="01714FFA">
                  <w:pPr>
                    <w:snapToGrid w:val="0"/>
                    <w:spacing w:line="240" w:lineRule="exact"/>
                    <w:jc w:val="center"/>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w:t>
                  </w: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m</w:t>
                  </w:r>
                  <w:r>
                    <w:rPr>
                      <w:rFonts w:hint="default" w:ascii="Times New Roman" w:hAnsi="Times New Roman" w:eastAsia="宋体" w:cs="Times New Roman"/>
                      <w:b/>
                      <w:bCs/>
                      <w:color w:val="000000" w:themeColor="text1"/>
                      <w:szCs w:val="21"/>
                      <w:highlight w:val="none"/>
                      <w14:textFill>
                        <w14:solidFill>
                          <w14:schemeClr w14:val="tx1"/>
                        </w14:solidFill>
                      </w14:textFill>
                    </w:rPr>
                    <w:t>g/m</w:t>
                  </w:r>
                  <w:r>
                    <w:rPr>
                      <w:rFonts w:hint="default" w:ascii="Times New Roman" w:hAnsi="Times New Roman" w:eastAsia="宋体" w:cs="Times New Roman"/>
                      <w:b/>
                      <w:bCs/>
                      <w:color w:val="000000" w:themeColor="text1"/>
                      <w:szCs w:val="2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szCs w:val="21"/>
                      <w:highlight w:val="none"/>
                      <w14:textFill>
                        <w14:solidFill>
                          <w14:schemeClr w14:val="tx1"/>
                        </w14:solidFill>
                      </w14:textFill>
                    </w:rPr>
                    <w:t>）</w:t>
                  </w:r>
                </w:p>
              </w:tc>
              <w:tc>
                <w:tcPr>
                  <w:tcW w:w="857" w:type="pct"/>
                  <w:tcBorders>
                    <w:top w:val="single" w:color="auto" w:sz="12" w:space="0"/>
                    <w:left w:val="single" w:color="auto" w:sz="6" w:space="0"/>
                    <w:bottom w:val="single" w:color="auto" w:sz="6" w:space="0"/>
                    <w:right w:val="nil"/>
                  </w:tcBorders>
                  <w:vAlign w:val="center"/>
                </w:tcPr>
                <w:p w14:paraId="1C4D67A5">
                  <w:pPr>
                    <w:snapToGrid w:val="0"/>
                    <w:spacing w:line="240" w:lineRule="exact"/>
                    <w:jc w:val="center"/>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嗅阈值</w:t>
                  </w:r>
                </w:p>
                <w:p w14:paraId="7FAC73BC">
                  <w:pPr>
                    <w:snapToGrid w:val="0"/>
                    <w:spacing w:line="240" w:lineRule="exact"/>
                    <w:jc w:val="center"/>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w:t>
                  </w: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m</w:t>
                  </w:r>
                  <w:r>
                    <w:rPr>
                      <w:rFonts w:hint="default" w:ascii="Times New Roman" w:hAnsi="Times New Roman" w:eastAsia="宋体" w:cs="Times New Roman"/>
                      <w:b/>
                      <w:bCs/>
                      <w:color w:val="000000" w:themeColor="text1"/>
                      <w:szCs w:val="21"/>
                      <w:highlight w:val="none"/>
                      <w14:textFill>
                        <w14:solidFill>
                          <w14:schemeClr w14:val="tx1"/>
                        </w14:solidFill>
                      </w14:textFill>
                    </w:rPr>
                    <w:t>g/m</w:t>
                  </w:r>
                  <w:r>
                    <w:rPr>
                      <w:rFonts w:hint="default" w:ascii="Times New Roman" w:hAnsi="Times New Roman" w:eastAsia="宋体" w:cs="Times New Roman"/>
                      <w:b/>
                      <w:bCs/>
                      <w:color w:val="000000" w:themeColor="text1"/>
                      <w:szCs w:val="2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szCs w:val="21"/>
                      <w:highlight w:val="none"/>
                      <w14:textFill>
                        <w14:solidFill>
                          <w14:schemeClr w14:val="tx1"/>
                        </w14:solidFill>
                      </w14:textFill>
                    </w:rPr>
                    <w:t>）</w:t>
                  </w:r>
                </w:p>
              </w:tc>
              <w:tc>
                <w:tcPr>
                  <w:tcW w:w="486" w:type="pct"/>
                  <w:tcBorders>
                    <w:top w:val="single" w:color="auto" w:sz="12" w:space="0"/>
                    <w:left w:val="single" w:color="auto" w:sz="6" w:space="0"/>
                    <w:bottom w:val="single" w:color="auto" w:sz="6" w:space="0"/>
                    <w:right w:val="nil"/>
                  </w:tcBorders>
                  <w:vAlign w:val="center"/>
                </w:tcPr>
                <w:p w14:paraId="5E5F389F">
                  <w:pPr>
                    <w:snapToGrid w:val="0"/>
                    <w:spacing w:line="240" w:lineRule="exact"/>
                    <w:jc w:val="center"/>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是否超标</w:t>
                  </w:r>
                </w:p>
              </w:tc>
            </w:tr>
            <w:tr w14:paraId="7776D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5" w:hRule="atLeast"/>
              </w:trPr>
              <w:tc>
                <w:tcPr>
                  <w:tcW w:w="511" w:type="pct"/>
                  <w:tcBorders>
                    <w:top w:val="single" w:color="auto" w:sz="6" w:space="0"/>
                    <w:left w:val="nil"/>
                    <w:bottom w:val="single" w:color="auto" w:sz="6" w:space="0"/>
                    <w:right w:val="single" w:color="auto" w:sz="6" w:space="0"/>
                  </w:tcBorders>
                  <w:vAlign w:val="center"/>
                </w:tcPr>
                <w:p w14:paraId="2689DE59">
                  <w:pPr>
                    <w:snapToGrid w:val="0"/>
                    <w:spacing w:line="24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乙醛</w:t>
                  </w:r>
                </w:p>
              </w:tc>
              <w:tc>
                <w:tcPr>
                  <w:tcW w:w="1239" w:type="pct"/>
                  <w:tcBorders>
                    <w:top w:val="single" w:color="auto" w:sz="6" w:space="0"/>
                    <w:left w:val="single" w:color="auto" w:sz="6" w:space="0"/>
                    <w:bottom w:val="single" w:color="auto" w:sz="6" w:space="0"/>
                    <w:right w:val="single" w:color="auto" w:sz="6" w:space="0"/>
                  </w:tcBorders>
                  <w:vAlign w:val="center"/>
                </w:tcPr>
                <w:p w14:paraId="251B430E">
                  <w:pPr>
                    <w:snapToGrid w:val="0"/>
                    <w:spacing w:line="240" w:lineRule="exact"/>
                    <w:jc w:val="center"/>
                    <w:rPr>
                      <w:rFonts w:hint="default" w:cs="Times New Roman"/>
                      <w:color w:val="000000" w:themeColor="text1"/>
                      <w:szCs w:val="21"/>
                      <w:highlight w:val="none"/>
                      <w:lang w:val="en-US" w:eastAsia="zh-CN"/>
                      <w14:textFill>
                        <w14:solidFill>
                          <w14:schemeClr w14:val="tx1"/>
                        </w14:solidFill>
                      </w14:textFill>
                    </w:rPr>
                  </w:pPr>
                  <w:r>
                    <w:rPr>
                      <w:rFonts w:hint="default" w:cs="Times New Roman"/>
                      <w:color w:val="000000" w:themeColor="text1"/>
                      <w:szCs w:val="21"/>
                      <w:highlight w:val="none"/>
                      <w:lang w:val="en-US" w:eastAsia="zh-CN"/>
                      <w14:textFill>
                        <w14:solidFill>
                          <w14:schemeClr w14:val="tx1"/>
                        </w14:solidFill>
                      </w14:textFill>
                    </w:rPr>
                    <w:t>0.0056</w:t>
                  </w:r>
                </w:p>
              </w:tc>
              <w:tc>
                <w:tcPr>
                  <w:tcW w:w="1116" w:type="pct"/>
                  <w:tcBorders>
                    <w:top w:val="single" w:color="auto" w:sz="6" w:space="0"/>
                    <w:left w:val="single" w:color="auto" w:sz="6" w:space="0"/>
                    <w:bottom w:val="single" w:color="auto" w:sz="6" w:space="0"/>
                    <w:right w:val="single" w:color="auto" w:sz="6" w:space="0"/>
                  </w:tcBorders>
                  <w:vAlign w:val="center"/>
                </w:tcPr>
                <w:p w14:paraId="1826577E">
                  <w:pPr>
                    <w:snapToGrid w:val="0"/>
                    <w:spacing w:line="24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0.001</w:t>
                  </w:r>
                </w:p>
              </w:tc>
              <w:tc>
                <w:tcPr>
                  <w:tcW w:w="788" w:type="pct"/>
                  <w:tcBorders>
                    <w:top w:val="single" w:color="auto" w:sz="6" w:space="0"/>
                    <w:left w:val="single" w:color="auto" w:sz="6" w:space="0"/>
                    <w:bottom w:val="single" w:color="auto" w:sz="6" w:space="0"/>
                    <w:right w:val="single" w:color="auto" w:sz="6" w:space="0"/>
                  </w:tcBorders>
                  <w:vAlign w:val="center"/>
                </w:tcPr>
                <w:p w14:paraId="434EFC8C">
                  <w:pPr>
                    <w:snapToGrid w:val="0"/>
                    <w:spacing w:line="24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0.0</w:t>
                  </w:r>
                  <w:r>
                    <w:rPr>
                      <w:rFonts w:hint="eastAsia" w:cs="Times New Roman"/>
                      <w:color w:val="000000" w:themeColor="text1"/>
                      <w:szCs w:val="21"/>
                      <w:highlight w:val="none"/>
                      <w:lang w:val="en-US" w:eastAsia="zh-CN"/>
                      <w14:textFill>
                        <w14:solidFill>
                          <w14:schemeClr w14:val="tx1"/>
                        </w14:solidFill>
                      </w14:textFill>
                    </w:rPr>
                    <w:t>066</w:t>
                  </w:r>
                </w:p>
              </w:tc>
              <w:tc>
                <w:tcPr>
                  <w:tcW w:w="857" w:type="pct"/>
                  <w:tcBorders>
                    <w:top w:val="single" w:color="auto" w:sz="6" w:space="0"/>
                    <w:left w:val="single" w:color="auto" w:sz="6" w:space="0"/>
                    <w:right w:val="nil"/>
                  </w:tcBorders>
                  <w:vAlign w:val="center"/>
                </w:tcPr>
                <w:p w14:paraId="133D1370">
                  <w:pPr>
                    <w:snapToGrid w:val="0"/>
                    <w:spacing w:line="24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0.38</w:t>
                  </w:r>
                </w:p>
              </w:tc>
              <w:tc>
                <w:tcPr>
                  <w:tcW w:w="486" w:type="pct"/>
                  <w:tcBorders>
                    <w:top w:val="single" w:color="auto" w:sz="6" w:space="0"/>
                    <w:left w:val="single" w:color="auto" w:sz="6" w:space="0"/>
                    <w:bottom w:val="single" w:color="auto" w:sz="6" w:space="0"/>
                    <w:right w:val="nil"/>
                  </w:tcBorders>
                  <w:vAlign w:val="center"/>
                </w:tcPr>
                <w:p w14:paraId="14B754DD">
                  <w:pPr>
                    <w:snapToGrid w:val="0"/>
                    <w:spacing w:line="240" w:lineRule="exact"/>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否</w:t>
                  </w:r>
                </w:p>
              </w:tc>
            </w:tr>
          </w:tbl>
          <w:p w14:paraId="4DC329F6">
            <w:pPr>
              <w:rPr>
                <w:rFonts w:hint="default" w:ascii="Times New Roman" w:hAnsi="Times New Roman" w:eastAsia="宋体" w:cs="Times New Roman"/>
                <w:b/>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bCs/>
                <w:color w:val="000000" w:themeColor="text1"/>
                <w:sz w:val="18"/>
                <w:szCs w:val="18"/>
                <w:highlight w:val="none"/>
                <w14:textFill>
                  <w14:solidFill>
                    <w14:schemeClr w14:val="tx1"/>
                  </w14:solidFill>
                </w14:textFill>
              </w:rPr>
              <w:t>注：嗅阈值的来源</w:t>
            </w:r>
            <w:r>
              <w:rPr>
                <w:rFonts w:hint="eastAsia" w:ascii="Times New Roman" w:hAnsi="Times New Roman" w:eastAsia="宋体" w:cs="Times New Roman"/>
                <w:b/>
                <w:bCs/>
                <w:color w:val="000000" w:themeColor="text1"/>
                <w:sz w:val="18"/>
                <w:szCs w:val="18"/>
                <w:highlight w:val="none"/>
                <w:lang w:eastAsia="zh-CN"/>
                <w14:textFill>
                  <w14:solidFill>
                    <w14:schemeClr w14:val="tx1"/>
                  </w14:solidFill>
                </w14:textFill>
              </w:rPr>
              <w:t>《气体应用大全》</w:t>
            </w:r>
            <w:r>
              <w:rPr>
                <w:rFonts w:hint="default" w:ascii="Times New Roman" w:hAnsi="Times New Roman" w:eastAsia="宋体" w:cs="Times New Roman"/>
                <w:b/>
                <w:bCs/>
                <w:color w:val="000000" w:themeColor="text1"/>
                <w:sz w:val="18"/>
                <w:szCs w:val="18"/>
                <w:highlight w:val="none"/>
                <w14:textFill>
                  <w14:solidFill>
                    <w14:schemeClr w14:val="tx1"/>
                  </w14:solidFill>
                </w14:textFill>
              </w:rPr>
              <w:t>。</w:t>
            </w:r>
          </w:p>
          <w:p w14:paraId="5698D10E">
            <w:pPr>
              <w:keepNext w:val="0"/>
              <w:keepLines w:val="0"/>
              <w:pageBreakBefore w:val="0"/>
              <w:widowControl w:val="0"/>
              <w:kinsoku/>
              <w:wordWrap/>
              <w:overflowPunct/>
              <w:topLinePunct w:val="0"/>
              <w:bidi w:val="0"/>
              <w:adjustRightInd w:val="0"/>
              <w:snapToGrid w:val="0"/>
              <w:spacing w:line="460" w:lineRule="exact"/>
              <w:ind w:firstLine="480" w:firstLineChars="200"/>
              <w:textAlignment w:val="auto"/>
              <w:rPr>
                <w:rFonts w:hint="default" w:ascii="Times New Roman" w:hAnsi="Times New Roman" w:eastAsia="宋体" w:cs="Times New Roman"/>
                <w:color w:val="000000" w:themeColor="text1"/>
                <w:sz w:val="24"/>
                <w:highlight w:val="none"/>
                <w:lang w:val="zh-CN"/>
                <w14:textFill>
                  <w14:solidFill>
                    <w14:schemeClr w14:val="tx1"/>
                  </w14:solidFill>
                </w14:textFill>
              </w:rPr>
            </w:pPr>
            <w:r>
              <w:rPr>
                <w:rFonts w:hint="default" w:ascii="Times New Roman" w:hAnsi="Times New Roman" w:eastAsia="宋体" w:cs="Times New Roman"/>
                <w:color w:val="000000" w:themeColor="text1"/>
                <w:sz w:val="24"/>
                <w:highlight w:val="none"/>
                <w:lang w:val="zh-CN"/>
                <w14:textFill>
                  <w14:solidFill>
                    <w14:schemeClr w14:val="tx1"/>
                  </w14:solidFill>
                </w14:textFill>
              </w:rPr>
              <w:t>本项目</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乙醛</w:t>
            </w:r>
            <w:r>
              <w:rPr>
                <w:rFonts w:hint="default" w:ascii="Times New Roman" w:hAnsi="Times New Roman" w:eastAsia="宋体" w:cs="Times New Roman"/>
                <w:color w:val="000000" w:themeColor="text1"/>
                <w:sz w:val="24"/>
                <w:highlight w:val="none"/>
                <w:lang w:val="zh-CN"/>
                <w14:textFill>
                  <w14:solidFill>
                    <w14:schemeClr w14:val="tx1"/>
                  </w14:solidFill>
                </w14:textFill>
              </w:rPr>
              <w:t>异味污染物</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产生量很小，</w:t>
            </w:r>
            <w:r>
              <w:rPr>
                <w:rFonts w:hint="default" w:ascii="Times New Roman" w:hAnsi="Times New Roman" w:eastAsia="宋体" w:cs="Times New Roman"/>
                <w:color w:val="000000" w:themeColor="text1"/>
                <w:sz w:val="24"/>
                <w:highlight w:val="none"/>
                <w:lang w:val="zh-CN"/>
                <w14:textFill>
                  <w14:solidFill>
                    <w14:schemeClr w14:val="tx1"/>
                  </w14:solidFill>
                </w14:textFill>
              </w:rPr>
              <w:t>低于相应嗅阈值。因此本工程恶臭对周围环境影响较小。根据美国纳德提出将臭气感觉强度从“无气味”到“臭气强度极强”分为五级，具体分法见</w:t>
            </w:r>
            <w:r>
              <w:rPr>
                <w:rFonts w:hint="default" w:ascii="Times New Roman" w:hAnsi="Times New Roman" w:eastAsia="宋体" w:cs="Times New Roman"/>
                <w:color w:val="000000" w:themeColor="text1"/>
                <w:sz w:val="24"/>
                <w:highlight w:val="none"/>
                <w14:textFill>
                  <w14:solidFill>
                    <w14:schemeClr w14:val="tx1"/>
                  </w14:solidFill>
                </w14:textFill>
              </w:rPr>
              <w:t>下</w:t>
            </w:r>
            <w:r>
              <w:rPr>
                <w:rFonts w:hint="default" w:ascii="Times New Roman" w:hAnsi="Times New Roman" w:eastAsia="宋体" w:cs="Times New Roman"/>
                <w:color w:val="000000" w:themeColor="text1"/>
                <w:sz w:val="24"/>
                <w:highlight w:val="none"/>
                <w:lang w:val="zh-CN"/>
                <w14:textFill>
                  <w14:solidFill>
                    <w14:schemeClr w14:val="tx1"/>
                  </w14:solidFill>
                </w14:textFill>
              </w:rPr>
              <w:t>表。</w:t>
            </w:r>
          </w:p>
          <w:p w14:paraId="324A35AF">
            <w:pPr>
              <w:pStyle w:val="125"/>
              <w:keepNext w:val="0"/>
              <w:keepLines w:val="0"/>
              <w:pageBreakBefore w:val="0"/>
              <w:widowControl w:val="0"/>
              <w:numPr>
                <w:ilvl w:val="0"/>
                <w:numId w:val="0"/>
              </w:numPr>
              <w:kinsoku/>
              <w:wordWrap/>
              <w:overflowPunct/>
              <w:topLinePunct w:val="0"/>
              <w:bidi w:val="0"/>
              <w:adjustRightInd w:val="0"/>
              <w:snapToGrid w:val="0"/>
              <w:spacing w:line="460" w:lineRule="exact"/>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表4-</w:t>
            </w:r>
            <w:r>
              <w:rPr>
                <w:rFonts w:hint="eastAsia" w:cs="Times New Roman"/>
                <w:color w:val="000000" w:themeColor="text1"/>
                <w:sz w:val="24"/>
                <w:highlight w:val="none"/>
                <w:lang w:val="en-US" w:eastAsia="zh-CN"/>
                <w14:textFill>
                  <w14:solidFill>
                    <w14:schemeClr w14:val="tx1"/>
                  </w14:solidFill>
                </w14:textFill>
              </w:rPr>
              <w:t xml:space="preserve">14 </w:t>
            </w:r>
            <w:r>
              <w:rPr>
                <w:rFonts w:hint="default" w:ascii="Times New Roman" w:hAnsi="Times New Roman" w:eastAsia="宋体" w:cs="Times New Roman"/>
                <w:color w:val="000000" w:themeColor="text1"/>
                <w:sz w:val="24"/>
                <w:highlight w:val="none"/>
                <w14:textFill>
                  <w14:solidFill>
                    <w14:schemeClr w14:val="tx1"/>
                  </w14:solidFill>
                </w14:textFill>
              </w:rPr>
              <w:t>恶臭影响范围及程度</w:t>
            </w:r>
          </w:p>
          <w:tbl>
            <w:tblPr>
              <w:tblStyle w:val="38"/>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15"/>
              <w:gridCol w:w="2115"/>
              <w:gridCol w:w="2115"/>
              <w:gridCol w:w="2118"/>
            </w:tblGrid>
            <w:tr w14:paraId="23E276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249" w:type="pct"/>
                  <w:vAlign w:val="center"/>
                </w:tcPr>
                <w:p w14:paraId="67B1610A">
                  <w:pPr>
                    <w:snapToGrid w:val="0"/>
                    <w:spacing w:line="240" w:lineRule="exact"/>
                    <w:jc w:val="center"/>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范围（m）</w:t>
                  </w:r>
                </w:p>
              </w:tc>
              <w:tc>
                <w:tcPr>
                  <w:tcW w:w="1249" w:type="pct"/>
                  <w:vAlign w:val="center"/>
                </w:tcPr>
                <w:p w14:paraId="636033A4">
                  <w:pPr>
                    <w:snapToGrid w:val="0"/>
                    <w:spacing w:line="240" w:lineRule="exact"/>
                    <w:jc w:val="center"/>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0-15</w:t>
                  </w:r>
                </w:p>
              </w:tc>
              <w:tc>
                <w:tcPr>
                  <w:tcW w:w="1249" w:type="pct"/>
                  <w:vAlign w:val="center"/>
                </w:tcPr>
                <w:p w14:paraId="6911FB91">
                  <w:pPr>
                    <w:snapToGrid w:val="0"/>
                    <w:spacing w:line="240" w:lineRule="exact"/>
                    <w:jc w:val="center"/>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15-30</w:t>
                  </w:r>
                </w:p>
              </w:tc>
              <w:tc>
                <w:tcPr>
                  <w:tcW w:w="1250" w:type="pct"/>
                  <w:vAlign w:val="center"/>
                </w:tcPr>
                <w:p w14:paraId="26001C4F">
                  <w:pPr>
                    <w:snapToGrid w:val="0"/>
                    <w:spacing w:line="240" w:lineRule="exact"/>
                    <w:jc w:val="center"/>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30-100</w:t>
                  </w:r>
                </w:p>
              </w:tc>
            </w:tr>
            <w:tr w14:paraId="2F147A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49" w:type="pct"/>
                  <w:vAlign w:val="center"/>
                </w:tcPr>
                <w:p w14:paraId="5B7E97F1">
                  <w:pPr>
                    <w:snapToGrid w:val="0"/>
                    <w:spacing w:line="240" w:lineRule="exact"/>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强度</w:t>
                  </w:r>
                </w:p>
              </w:tc>
              <w:tc>
                <w:tcPr>
                  <w:tcW w:w="1249" w:type="pct"/>
                  <w:vAlign w:val="center"/>
                </w:tcPr>
                <w:p w14:paraId="036167DF">
                  <w:pPr>
                    <w:snapToGrid w:val="0"/>
                    <w:spacing w:line="240" w:lineRule="exact"/>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1</w:t>
                  </w:r>
                </w:p>
              </w:tc>
              <w:tc>
                <w:tcPr>
                  <w:tcW w:w="1249" w:type="pct"/>
                  <w:vAlign w:val="center"/>
                </w:tcPr>
                <w:p w14:paraId="27F2D2FA">
                  <w:pPr>
                    <w:snapToGrid w:val="0"/>
                    <w:spacing w:line="240" w:lineRule="exact"/>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2</w:t>
                  </w:r>
                </w:p>
              </w:tc>
              <w:tc>
                <w:tcPr>
                  <w:tcW w:w="1250" w:type="pct"/>
                  <w:vAlign w:val="center"/>
                </w:tcPr>
                <w:p w14:paraId="0A761588">
                  <w:pPr>
                    <w:snapToGrid w:val="0"/>
                    <w:spacing w:line="240" w:lineRule="exact"/>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3</w:t>
                  </w:r>
                </w:p>
              </w:tc>
            </w:tr>
          </w:tbl>
          <w:p w14:paraId="22EBA46E">
            <w:pPr>
              <w:pStyle w:val="125"/>
              <w:numPr>
                <w:ilvl w:val="0"/>
                <w:numId w:val="0"/>
              </w:numP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表4-1</w:t>
            </w:r>
            <w:r>
              <w:rPr>
                <w:rFonts w:hint="eastAsia" w:cs="Times New Roman"/>
                <w:color w:val="000000" w:themeColor="text1"/>
                <w:sz w:val="24"/>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恶臭强度分级表</w:t>
            </w:r>
          </w:p>
          <w:tbl>
            <w:tblPr>
              <w:tblStyle w:val="38"/>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30"/>
              <w:gridCol w:w="4235"/>
            </w:tblGrid>
            <w:tr w14:paraId="527DBC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2498" w:type="pct"/>
                  <w:vAlign w:val="center"/>
                </w:tcPr>
                <w:p w14:paraId="10417053">
                  <w:pPr>
                    <w:snapToGrid w:val="0"/>
                    <w:spacing w:line="240" w:lineRule="exact"/>
                    <w:jc w:val="center"/>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强度等级</w:t>
                  </w:r>
                </w:p>
              </w:tc>
              <w:tc>
                <w:tcPr>
                  <w:tcW w:w="2501" w:type="pct"/>
                  <w:vAlign w:val="center"/>
                </w:tcPr>
                <w:p w14:paraId="00BB503D">
                  <w:pPr>
                    <w:snapToGrid w:val="0"/>
                    <w:spacing w:line="240" w:lineRule="exact"/>
                    <w:jc w:val="center"/>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嗅觉判别标准</w:t>
                  </w:r>
                </w:p>
              </w:tc>
            </w:tr>
            <w:tr w14:paraId="54CD14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98" w:type="pct"/>
                  <w:vAlign w:val="center"/>
                </w:tcPr>
                <w:p w14:paraId="43EFD840">
                  <w:pPr>
                    <w:snapToGrid w:val="0"/>
                    <w:spacing w:line="240" w:lineRule="exact"/>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0</w:t>
                  </w:r>
                </w:p>
              </w:tc>
              <w:tc>
                <w:tcPr>
                  <w:tcW w:w="2501" w:type="pct"/>
                  <w:vAlign w:val="center"/>
                </w:tcPr>
                <w:p w14:paraId="1BFD5F59">
                  <w:pPr>
                    <w:snapToGrid w:val="0"/>
                    <w:spacing w:line="240" w:lineRule="exact"/>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无臭</w:t>
                  </w:r>
                </w:p>
              </w:tc>
            </w:tr>
            <w:tr w14:paraId="043921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98" w:type="pct"/>
                  <w:vAlign w:val="center"/>
                </w:tcPr>
                <w:p w14:paraId="1BDE668E">
                  <w:pPr>
                    <w:snapToGrid w:val="0"/>
                    <w:spacing w:line="240" w:lineRule="exact"/>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1</w:t>
                  </w:r>
                </w:p>
              </w:tc>
              <w:tc>
                <w:tcPr>
                  <w:tcW w:w="2501" w:type="pct"/>
                  <w:vAlign w:val="center"/>
                </w:tcPr>
                <w:p w14:paraId="691CA4EB">
                  <w:pPr>
                    <w:snapToGrid w:val="0"/>
                    <w:spacing w:line="240" w:lineRule="exact"/>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勉强可以感到轻微臭味（检知阈值浓度）</w:t>
                  </w:r>
                </w:p>
              </w:tc>
            </w:tr>
            <w:tr w14:paraId="7D68D3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98" w:type="pct"/>
                  <w:vAlign w:val="center"/>
                </w:tcPr>
                <w:p w14:paraId="5FE0C533">
                  <w:pPr>
                    <w:snapToGrid w:val="0"/>
                    <w:spacing w:line="240" w:lineRule="exact"/>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2</w:t>
                  </w:r>
                </w:p>
              </w:tc>
              <w:tc>
                <w:tcPr>
                  <w:tcW w:w="2501" w:type="pct"/>
                  <w:vAlign w:val="center"/>
                </w:tcPr>
                <w:p w14:paraId="466D94B1">
                  <w:pPr>
                    <w:snapToGrid w:val="0"/>
                    <w:spacing w:line="240" w:lineRule="exact"/>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容易感到轻微臭味（认知阈值浓度）</w:t>
                  </w:r>
                </w:p>
              </w:tc>
            </w:tr>
            <w:tr w14:paraId="76F155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98" w:type="pct"/>
                  <w:vAlign w:val="center"/>
                </w:tcPr>
                <w:p w14:paraId="2AEB0E7B">
                  <w:pPr>
                    <w:snapToGrid w:val="0"/>
                    <w:spacing w:line="240" w:lineRule="exact"/>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3</w:t>
                  </w:r>
                </w:p>
              </w:tc>
              <w:tc>
                <w:tcPr>
                  <w:tcW w:w="2501" w:type="pct"/>
                  <w:vAlign w:val="center"/>
                </w:tcPr>
                <w:p w14:paraId="10071689">
                  <w:pPr>
                    <w:snapToGrid w:val="0"/>
                    <w:spacing w:line="240" w:lineRule="exact"/>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明显感到臭味（可嗅出臭气种类）</w:t>
                  </w:r>
                </w:p>
              </w:tc>
            </w:tr>
            <w:tr w14:paraId="7CB563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98" w:type="pct"/>
                  <w:vAlign w:val="center"/>
                </w:tcPr>
                <w:p w14:paraId="7800E95B">
                  <w:pPr>
                    <w:snapToGrid w:val="0"/>
                    <w:spacing w:line="240" w:lineRule="exact"/>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4</w:t>
                  </w:r>
                </w:p>
              </w:tc>
              <w:tc>
                <w:tcPr>
                  <w:tcW w:w="2501" w:type="pct"/>
                  <w:vAlign w:val="center"/>
                </w:tcPr>
                <w:p w14:paraId="56E77B81">
                  <w:pPr>
                    <w:snapToGrid w:val="0"/>
                    <w:spacing w:line="240" w:lineRule="exact"/>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强烈臭味</w:t>
                  </w:r>
                </w:p>
              </w:tc>
            </w:tr>
            <w:tr w14:paraId="2D5E8B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98" w:type="pct"/>
                  <w:vAlign w:val="center"/>
                </w:tcPr>
                <w:p w14:paraId="5DD1C827">
                  <w:pPr>
                    <w:snapToGrid w:val="0"/>
                    <w:spacing w:line="240" w:lineRule="exact"/>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5</w:t>
                  </w:r>
                </w:p>
              </w:tc>
              <w:tc>
                <w:tcPr>
                  <w:tcW w:w="2501" w:type="pct"/>
                  <w:vAlign w:val="center"/>
                </w:tcPr>
                <w:p w14:paraId="2C4FC599">
                  <w:pPr>
                    <w:snapToGrid w:val="0"/>
                    <w:spacing w:line="240" w:lineRule="exact"/>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无法忍受的强烈臭味</w:t>
                  </w:r>
                </w:p>
              </w:tc>
            </w:tr>
          </w:tbl>
          <w:p w14:paraId="4C9052B7">
            <w:pPr>
              <w:keepNext w:val="0"/>
              <w:keepLines w:val="0"/>
              <w:pageBreakBefore w:val="0"/>
              <w:kinsoku/>
              <w:wordWrap/>
              <w:overflowPunct/>
              <w:topLinePunct w:val="0"/>
              <w:autoSpaceDE/>
              <w:autoSpaceDN/>
              <w:bidi w:val="0"/>
              <w:adjustRightInd w:val="0"/>
              <w:snapToGrid w:val="0"/>
              <w:spacing w:line="460" w:lineRule="exact"/>
              <w:ind w:firstLine="480" w:firstLineChars="200"/>
              <w:textAlignment w:val="auto"/>
              <w:rPr>
                <w:rFonts w:hint="default" w:ascii="Times New Roman" w:hAnsi="Times New Roman" w:eastAsia="宋体" w:cs="Times New Roman"/>
                <w:color w:val="000000" w:themeColor="text1"/>
                <w:sz w:val="24"/>
                <w:highlight w:val="none"/>
                <w:lang w:val="zh-CN"/>
                <w14:textFill>
                  <w14:solidFill>
                    <w14:schemeClr w14:val="tx1"/>
                  </w14:solidFill>
                </w14:textFill>
              </w:rPr>
            </w:pPr>
            <w:r>
              <w:rPr>
                <w:rFonts w:hint="default" w:ascii="Times New Roman" w:hAnsi="Times New Roman" w:eastAsia="宋体" w:cs="Times New Roman"/>
                <w:color w:val="000000" w:themeColor="text1"/>
                <w:sz w:val="24"/>
                <w:highlight w:val="none"/>
                <w:lang w:val="zh-CN"/>
                <w14:textFill>
                  <w14:solidFill>
                    <w14:schemeClr w14:val="tx1"/>
                  </w14:solidFill>
                </w14:textFill>
              </w:rPr>
              <w:t>恶臭随距离的增加影响减小，当距离大于15米时对环境的影响可基本消除，使厂界和周围保护目标恶臭影响降至最低。同时，根据</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计算</w:t>
            </w:r>
            <w:r>
              <w:rPr>
                <w:rFonts w:hint="default" w:ascii="Times New Roman" w:hAnsi="Times New Roman" w:eastAsia="宋体" w:cs="Times New Roman"/>
                <w:color w:val="000000" w:themeColor="text1"/>
                <w:sz w:val="24"/>
                <w:highlight w:val="none"/>
                <w:lang w:val="zh-CN"/>
                <w14:textFill>
                  <w14:solidFill>
                    <w14:schemeClr w14:val="tx1"/>
                  </w14:solidFill>
                </w14:textFill>
              </w:rPr>
              <w:t>结果，生产过</w:t>
            </w:r>
            <w:r>
              <w:rPr>
                <w:rFonts w:hint="eastAsia" w:cs="Times New Roman"/>
                <w:color w:val="000000" w:themeColor="text1"/>
                <w:sz w:val="24"/>
                <w:highlight w:val="none"/>
                <w:lang w:val="zh-CN"/>
                <w14:textFill>
                  <w14:solidFill>
                    <w14:schemeClr w14:val="tx1"/>
                  </w14:solidFill>
                </w14:textFill>
              </w:rPr>
              <w:t>程中</w:t>
            </w:r>
            <w:r>
              <w:rPr>
                <w:rFonts w:hint="default" w:ascii="Times New Roman" w:hAnsi="Times New Roman" w:eastAsia="宋体" w:cs="Times New Roman"/>
                <w:color w:val="000000" w:themeColor="text1"/>
                <w:sz w:val="24"/>
                <w:highlight w:val="none"/>
                <w:lang w:val="zh-CN"/>
                <w14:textFill>
                  <w14:solidFill>
                    <w14:schemeClr w14:val="tx1"/>
                  </w14:solidFill>
                </w14:textFill>
              </w:rPr>
              <w:t>产生的</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乙醛</w:t>
            </w:r>
            <w:r>
              <w:rPr>
                <w:rFonts w:hint="eastAsia" w:ascii="Times New Roman" w:hAnsi="Times New Roman" w:eastAsia="宋体" w:cs="Times New Roman"/>
                <w:color w:val="000000" w:themeColor="text1"/>
                <w:sz w:val="24"/>
                <w:highlight w:val="none"/>
                <w:lang w:val="zh-CN"/>
                <w14:textFill>
                  <w14:solidFill>
                    <w14:schemeClr w14:val="tx1"/>
                  </w14:solidFill>
                </w14:textFill>
              </w:rPr>
              <w:t>异味物质</w:t>
            </w:r>
            <w:r>
              <w:rPr>
                <w:rFonts w:hint="default" w:ascii="Times New Roman" w:hAnsi="Times New Roman" w:eastAsia="宋体" w:cs="Times New Roman"/>
                <w:color w:val="000000" w:themeColor="text1"/>
                <w:sz w:val="24"/>
                <w:highlight w:val="none"/>
                <w:lang w:val="zh-CN"/>
                <w14:textFill>
                  <w14:solidFill>
                    <w14:schemeClr w14:val="tx1"/>
                  </w14:solidFill>
                </w14:textFill>
              </w:rPr>
              <w:t>正常排放情况下对周围环境影响无明显影响，大气环境影响程度较小，但仍应加强污染控制管理，减少非正常排放情况的发生。</w:t>
            </w:r>
          </w:p>
          <w:p w14:paraId="271044EB">
            <w:pPr>
              <w:keepNext w:val="0"/>
              <w:keepLines w:val="0"/>
              <w:pageBreakBefore w:val="0"/>
              <w:widowControl w:val="0"/>
              <w:kinsoku/>
              <w:wordWrap/>
              <w:overflowPunct/>
              <w:topLinePunct w:val="0"/>
              <w:bidi w:val="0"/>
              <w:adjustRightInd w:val="0"/>
              <w:snapToGrid w:val="0"/>
              <w:spacing w:line="460" w:lineRule="exact"/>
              <w:ind w:firstLine="480" w:firstLineChars="200"/>
              <w:textAlignment w:val="auto"/>
              <w:rPr>
                <w:rFonts w:hint="default" w:ascii="Times New Roman" w:hAnsi="Times New Roman" w:eastAsia="宋体" w:cs="Times New Roman"/>
                <w:color w:val="000000" w:themeColor="text1"/>
                <w:sz w:val="24"/>
                <w:highlight w:val="none"/>
                <w:lang w:val="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本项目产生的异味废气对周边敏感目标影响较小</w:t>
            </w:r>
            <w:r>
              <w:rPr>
                <w:rFonts w:hint="default" w:ascii="Times New Roman" w:hAnsi="Times New Roman" w:eastAsia="宋体" w:cs="Times New Roman"/>
                <w:color w:val="000000" w:themeColor="text1"/>
                <w:sz w:val="24"/>
                <w:highlight w:val="none"/>
                <w:lang w:val="zh-CN"/>
                <w14:textFill>
                  <w14:solidFill>
                    <w14:schemeClr w14:val="tx1"/>
                  </w14:solidFill>
                </w14:textFill>
              </w:rPr>
              <w:t>。</w:t>
            </w:r>
          </w:p>
          <w:p w14:paraId="3D0CFDF1">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1.</w:t>
            </w:r>
            <w:r>
              <w:rPr>
                <w:rFonts w:hint="eastAsia"/>
                <w:color w:val="000000" w:themeColor="text1"/>
                <w:sz w:val="24"/>
                <w:highlight w:val="none"/>
                <w:lang w:val="en-US" w:eastAsia="zh-CN"/>
                <w14:textFill>
                  <w14:solidFill>
                    <w14:schemeClr w14:val="tx1"/>
                  </w14:solidFill>
                </w14:textFill>
              </w:rPr>
              <w:t>4</w:t>
            </w:r>
            <w:r>
              <w:rPr>
                <w:color w:val="000000" w:themeColor="text1"/>
                <w:sz w:val="24"/>
                <w:highlight w:val="none"/>
                <w:lang w:val="zh-CN"/>
                <w14:textFill>
                  <w14:solidFill>
                    <w14:schemeClr w14:val="tx1"/>
                  </w14:solidFill>
                </w14:textFill>
              </w:rPr>
              <w:t>监测计划</w:t>
            </w:r>
          </w:p>
          <w:p w14:paraId="4F4BB3B2">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rFonts w:hint="eastAsia"/>
                <w:color w:val="000000" w:themeColor="text1"/>
                <w:sz w:val="24"/>
                <w:highlight w:val="none"/>
                <w14:textFill>
                  <w14:solidFill>
                    <w14:schemeClr w14:val="tx1"/>
                  </w14:solidFill>
                </w14:textFill>
              </w:rPr>
              <w:t>企业属于登记管理，</w:t>
            </w:r>
            <w:r>
              <w:rPr>
                <w:color w:val="000000" w:themeColor="text1"/>
                <w:sz w:val="24"/>
                <w:highlight w:val="none"/>
                <w14:textFill>
                  <w14:solidFill>
                    <w14:schemeClr w14:val="tx1"/>
                  </w14:solidFill>
                </w14:textFill>
              </w:rPr>
              <w:t>根据《排污单位自行监测技术指南</w:t>
            </w: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总则》（HJ819-2017），排污单位应按照规定对污染物排放情况进行检测，废气污染源监测情况具体</w:t>
            </w:r>
            <w:r>
              <w:rPr>
                <w:color w:val="000000" w:themeColor="text1"/>
                <w:sz w:val="24"/>
                <w:highlight w:val="none"/>
                <w:lang w:val="zh-CN"/>
                <w14:textFill>
                  <w14:solidFill>
                    <w14:schemeClr w14:val="tx1"/>
                  </w14:solidFill>
                </w14:textFill>
              </w:rPr>
              <w:t>见下表。</w:t>
            </w:r>
          </w:p>
          <w:p w14:paraId="5ACFC6F7">
            <w:pPr>
              <w:pStyle w:val="125"/>
              <w:numPr>
                <w:ilvl w:val="0"/>
                <w:numId w:val="0"/>
              </w:numPr>
              <w:spacing w:line="440" w:lineRule="exact"/>
              <w:rPr>
                <w:rFonts w:hint="default"/>
                <w:color w:val="000000" w:themeColor="text1"/>
                <w:sz w:val="24"/>
                <w:highlight w:val="none"/>
                <w14:textFill>
                  <w14:solidFill>
                    <w14:schemeClr w14:val="tx1"/>
                  </w14:solidFill>
                </w14:textFill>
              </w:rPr>
            </w:pPr>
            <w:r>
              <w:rPr>
                <w:rFonts w:hint="default"/>
                <w:color w:val="000000" w:themeColor="text1"/>
                <w:sz w:val="24"/>
                <w:highlight w:val="none"/>
                <w14:textFill>
                  <w14:solidFill>
                    <w14:schemeClr w14:val="tx1"/>
                  </w14:solidFill>
                </w14:textFill>
              </w:rPr>
              <w:t>表4-1</w:t>
            </w:r>
            <w:r>
              <w:rPr>
                <w:rFonts w:hint="eastAsia"/>
                <w:color w:val="000000" w:themeColor="text1"/>
                <w:sz w:val="24"/>
                <w:highlight w:val="none"/>
                <w:lang w:val="en-US" w:eastAsia="zh-CN"/>
                <w14:textFill>
                  <w14:solidFill>
                    <w14:schemeClr w14:val="tx1"/>
                  </w14:solidFill>
                </w14:textFill>
              </w:rPr>
              <w:t xml:space="preserve">6  </w:t>
            </w:r>
            <w:r>
              <w:rPr>
                <w:rFonts w:hint="default"/>
                <w:color w:val="000000" w:themeColor="text1"/>
                <w:sz w:val="24"/>
                <w:highlight w:val="none"/>
                <w14:textFill>
                  <w14:solidFill>
                    <w14:schemeClr w14:val="tx1"/>
                  </w14:solidFill>
                </w14:textFill>
              </w:rPr>
              <w:t>废气监测计划表</w:t>
            </w:r>
          </w:p>
          <w:tbl>
            <w:tblPr>
              <w:tblStyle w:val="38"/>
              <w:tblW w:w="4995" w:type="pct"/>
              <w:jc w:val="center"/>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Layout w:type="fixed"/>
              <w:tblCellMar>
                <w:top w:w="0" w:type="dxa"/>
                <w:left w:w="108" w:type="dxa"/>
                <w:bottom w:w="0" w:type="dxa"/>
                <w:right w:w="108" w:type="dxa"/>
              </w:tblCellMar>
            </w:tblPr>
            <w:tblGrid>
              <w:gridCol w:w="603"/>
              <w:gridCol w:w="1190"/>
              <w:gridCol w:w="2266"/>
              <w:gridCol w:w="1188"/>
              <w:gridCol w:w="3213"/>
            </w:tblGrid>
            <w:tr w14:paraId="649E8B9C">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0" w:hRule="atLeast"/>
                <w:jc w:val="center"/>
              </w:trPr>
              <w:tc>
                <w:tcPr>
                  <w:tcW w:w="356" w:type="pct"/>
                  <w:tcBorders>
                    <w:tl2br w:val="nil"/>
                    <w:tr2bl w:val="nil"/>
                  </w:tcBorders>
                  <w:vAlign w:val="center"/>
                </w:tcPr>
                <w:p w14:paraId="52B7A6A6">
                  <w:pPr>
                    <w:snapToGrid w:val="0"/>
                    <w:jc w:val="center"/>
                    <w:rPr>
                      <w:rFonts w:eastAsia="Times New Roman"/>
                      <w:b/>
                      <w:color w:val="000000" w:themeColor="text1"/>
                      <w:highlight w:val="none"/>
                      <w14:textFill>
                        <w14:solidFill>
                          <w14:schemeClr w14:val="tx1"/>
                        </w14:solidFill>
                      </w14:textFill>
                    </w:rPr>
                  </w:pPr>
                  <w:r>
                    <w:rPr>
                      <w:b/>
                      <w:color w:val="000000" w:themeColor="text1"/>
                      <w:highlight w:val="none"/>
                      <w14:textFill>
                        <w14:solidFill>
                          <w14:schemeClr w14:val="tx1"/>
                        </w14:solidFill>
                      </w14:textFill>
                    </w:rPr>
                    <w:t>类别</w:t>
                  </w:r>
                </w:p>
              </w:tc>
              <w:tc>
                <w:tcPr>
                  <w:tcW w:w="703" w:type="pct"/>
                  <w:tcBorders>
                    <w:tl2br w:val="nil"/>
                    <w:tr2bl w:val="nil"/>
                  </w:tcBorders>
                  <w:vAlign w:val="center"/>
                </w:tcPr>
                <w:p w14:paraId="5CA531D0">
                  <w:pPr>
                    <w:snapToGrid w:val="0"/>
                    <w:jc w:val="center"/>
                    <w:rPr>
                      <w:rFonts w:eastAsia="Times New Roman"/>
                      <w:b/>
                      <w:color w:val="000000" w:themeColor="text1"/>
                      <w:highlight w:val="none"/>
                      <w14:textFill>
                        <w14:solidFill>
                          <w14:schemeClr w14:val="tx1"/>
                        </w14:solidFill>
                      </w14:textFill>
                    </w:rPr>
                  </w:pPr>
                  <w:r>
                    <w:rPr>
                      <w:b/>
                      <w:color w:val="000000" w:themeColor="text1"/>
                      <w:highlight w:val="none"/>
                      <w14:textFill>
                        <w14:solidFill>
                          <w14:schemeClr w14:val="tx1"/>
                        </w14:solidFill>
                      </w14:textFill>
                    </w:rPr>
                    <w:t>监测位置</w:t>
                  </w:r>
                </w:p>
              </w:tc>
              <w:tc>
                <w:tcPr>
                  <w:tcW w:w="1339" w:type="pct"/>
                  <w:tcBorders>
                    <w:tl2br w:val="nil"/>
                    <w:tr2bl w:val="nil"/>
                  </w:tcBorders>
                  <w:vAlign w:val="center"/>
                </w:tcPr>
                <w:p w14:paraId="5A8F99EF">
                  <w:pPr>
                    <w:snapToGrid w:val="0"/>
                    <w:ind w:left="103" w:hanging="103" w:hangingChars="49"/>
                    <w:jc w:val="center"/>
                    <w:rPr>
                      <w:rFonts w:eastAsia="Times New Roman"/>
                      <w:b/>
                      <w:color w:val="000000" w:themeColor="text1"/>
                      <w:highlight w:val="none"/>
                      <w14:textFill>
                        <w14:solidFill>
                          <w14:schemeClr w14:val="tx1"/>
                        </w14:solidFill>
                      </w14:textFill>
                    </w:rPr>
                  </w:pPr>
                  <w:r>
                    <w:rPr>
                      <w:b/>
                      <w:color w:val="000000" w:themeColor="text1"/>
                      <w:highlight w:val="none"/>
                      <w14:textFill>
                        <w14:solidFill>
                          <w14:schemeClr w14:val="tx1"/>
                        </w14:solidFill>
                      </w14:textFill>
                    </w:rPr>
                    <w:t>监测项目</w:t>
                  </w:r>
                </w:p>
              </w:tc>
              <w:tc>
                <w:tcPr>
                  <w:tcW w:w="702" w:type="pct"/>
                  <w:tcBorders>
                    <w:tl2br w:val="nil"/>
                    <w:tr2bl w:val="nil"/>
                  </w:tcBorders>
                  <w:vAlign w:val="center"/>
                </w:tcPr>
                <w:p w14:paraId="2E6AFBF9">
                  <w:pPr>
                    <w:snapToGrid w:val="0"/>
                    <w:ind w:firstLine="103" w:firstLineChars="49"/>
                    <w:jc w:val="center"/>
                    <w:rPr>
                      <w:rFonts w:eastAsia="Times New Roman"/>
                      <w:b/>
                      <w:color w:val="000000" w:themeColor="text1"/>
                      <w:highlight w:val="none"/>
                      <w14:textFill>
                        <w14:solidFill>
                          <w14:schemeClr w14:val="tx1"/>
                        </w14:solidFill>
                      </w14:textFill>
                    </w:rPr>
                  </w:pPr>
                  <w:r>
                    <w:rPr>
                      <w:b/>
                      <w:color w:val="000000" w:themeColor="text1"/>
                      <w:highlight w:val="none"/>
                      <w14:textFill>
                        <w14:solidFill>
                          <w14:schemeClr w14:val="tx1"/>
                        </w14:solidFill>
                      </w14:textFill>
                    </w:rPr>
                    <w:t>监测频次</w:t>
                  </w:r>
                </w:p>
              </w:tc>
              <w:tc>
                <w:tcPr>
                  <w:tcW w:w="1898" w:type="pct"/>
                  <w:tcBorders>
                    <w:tl2br w:val="nil"/>
                    <w:tr2bl w:val="nil"/>
                  </w:tcBorders>
                  <w:vAlign w:val="center"/>
                </w:tcPr>
                <w:p w14:paraId="4D6E16E4">
                  <w:pPr>
                    <w:snapToGrid w:val="0"/>
                    <w:jc w:val="center"/>
                    <w:rPr>
                      <w:rFonts w:eastAsia="Times New Roman"/>
                      <w:b/>
                      <w:color w:val="000000" w:themeColor="text1"/>
                      <w:highlight w:val="none"/>
                      <w14:textFill>
                        <w14:solidFill>
                          <w14:schemeClr w14:val="tx1"/>
                        </w14:solidFill>
                      </w14:textFill>
                    </w:rPr>
                  </w:pPr>
                  <w:r>
                    <w:rPr>
                      <w:b/>
                      <w:color w:val="000000" w:themeColor="text1"/>
                      <w:highlight w:val="none"/>
                      <w14:textFill>
                        <w14:solidFill>
                          <w14:schemeClr w14:val="tx1"/>
                        </w14:solidFill>
                      </w14:textFill>
                    </w:rPr>
                    <w:t>执行标准</w:t>
                  </w:r>
                </w:p>
              </w:tc>
            </w:tr>
            <w:tr w14:paraId="273B3F74">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0" w:hRule="atLeast"/>
                <w:jc w:val="center"/>
              </w:trPr>
              <w:tc>
                <w:tcPr>
                  <w:tcW w:w="356" w:type="pct"/>
                  <w:vMerge w:val="restart"/>
                  <w:tcBorders>
                    <w:tl2br w:val="nil"/>
                    <w:tr2bl w:val="nil"/>
                  </w:tcBorders>
                  <w:vAlign w:val="center"/>
                </w:tcPr>
                <w:p w14:paraId="22E71B55">
                  <w:pPr>
                    <w:snapToGrid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废气</w:t>
                  </w:r>
                </w:p>
              </w:tc>
              <w:tc>
                <w:tcPr>
                  <w:tcW w:w="703" w:type="pct"/>
                  <w:tcBorders>
                    <w:tl2br w:val="nil"/>
                    <w:tr2bl w:val="nil"/>
                  </w:tcBorders>
                  <w:vAlign w:val="center"/>
                </w:tcPr>
                <w:p w14:paraId="54040A22">
                  <w:pPr>
                    <w:snapToGrid w:val="0"/>
                    <w:jc w:val="center"/>
                    <w:rPr>
                      <w:rFonts w:hint="eastAsia" w:eastAsia="宋体"/>
                      <w:b/>
                      <w:color w:val="000000" w:themeColor="text1"/>
                      <w:highlight w:val="none"/>
                      <w:lang w:eastAsia="zh-CN"/>
                      <w14:textFill>
                        <w14:solidFill>
                          <w14:schemeClr w14:val="tx1"/>
                        </w14:solidFill>
                      </w14:textFill>
                    </w:rPr>
                  </w:pPr>
                  <w:r>
                    <w:rPr>
                      <w:rFonts w:hint="eastAsia"/>
                      <w:bCs/>
                      <w:color w:val="000000" w:themeColor="text1"/>
                      <w:highlight w:val="none"/>
                      <w:lang w:eastAsia="zh-CN"/>
                      <w14:textFill>
                        <w14:solidFill>
                          <w14:schemeClr w14:val="tx1"/>
                        </w14:solidFill>
                      </w14:textFill>
                    </w:rPr>
                    <w:t>DA001</w:t>
                  </w:r>
                </w:p>
              </w:tc>
              <w:tc>
                <w:tcPr>
                  <w:tcW w:w="1339" w:type="pct"/>
                  <w:tcBorders>
                    <w:tl2br w:val="nil"/>
                    <w:tr2bl w:val="nil"/>
                  </w:tcBorders>
                  <w:vAlign w:val="center"/>
                </w:tcPr>
                <w:p w14:paraId="47465B61">
                  <w:pPr>
                    <w:snapToGrid w:val="0"/>
                    <w:jc w:val="center"/>
                    <w:rPr>
                      <w:rFonts w:hint="default" w:eastAsia="宋体"/>
                      <w:b/>
                      <w:color w:val="000000" w:themeColor="text1"/>
                      <w:highlight w:val="none"/>
                      <w:lang w:val="en-US" w:eastAsia="zh-CN"/>
                      <w14:textFill>
                        <w14:solidFill>
                          <w14:schemeClr w14:val="tx1"/>
                        </w14:solidFill>
                      </w14:textFill>
                    </w:rPr>
                  </w:pPr>
                  <w:r>
                    <w:rPr>
                      <w:color w:val="000000" w:themeColor="text1"/>
                      <w:kern w:val="0"/>
                      <w:szCs w:val="21"/>
                      <w:highlight w:val="none"/>
                      <w:lang w:bidi="ar"/>
                      <w14:textFill>
                        <w14:solidFill>
                          <w14:schemeClr w14:val="tx1"/>
                        </w14:solidFill>
                      </w14:textFill>
                    </w:rPr>
                    <w:t>非甲烷总烃</w:t>
                  </w:r>
                </w:p>
              </w:tc>
              <w:tc>
                <w:tcPr>
                  <w:tcW w:w="702" w:type="pct"/>
                  <w:vMerge w:val="restart"/>
                  <w:tcBorders>
                    <w:tl2br w:val="nil"/>
                    <w:tr2bl w:val="nil"/>
                  </w:tcBorders>
                  <w:vAlign w:val="center"/>
                </w:tcPr>
                <w:p w14:paraId="1465B79A">
                  <w:pPr>
                    <w:snapToGrid w:val="0"/>
                    <w:jc w:val="center"/>
                    <w:rPr>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1次/</w:t>
                  </w:r>
                  <w:r>
                    <w:rPr>
                      <w:color w:val="000000" w:themeColor="text1"/>
                      <w:szCs w:val="21"/>
                      <w:highlight w:val="none"/>
                      <w14:textFill>
                        <w14:solidFill>
                          <w14:schemeClr w14:val="tx1"/>
                        </w14:solidFill>
                      </w14:textFill>
                    </w:rPr>
                    <w:t>年</w:t>
                  </w:r>
                </w:p>
              </w:tc>
              <w:tc>
                <w:tcPr>
                  <w:tcW w:w="1898" w:type="pct"/>
                  <w:tcBorders>
                    <w:tl2br w:val="nil"/>
                    <w:tr2bl w:val="nil"/>
                  </w:tcBorders>
                  <w:vAlign w:val="center"/>
                </w:tcPr>
                <w:p w14:paraId="513722EB">
                  <w:pPr>
                    <w:snapToGrid w:val="0"/>
                    <w:jc w:val="center"/>
                    <w:rPr>
                      <w:b/>
                      <w:color w:val="000000" w:themeColor="text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《橡胶制品工业污染物排放标准》（GB27632-2011）</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表</w:t>
                  </w:r>
                  <w:r>
                    <w:rPr>
                      <w:rFonts w:hint="eastAsia" w:cs="Times New Roman"/>
                      <w:color w:val="000000" w:themeColor="text1"/>
                      <w:szCs w:val="21"/>
                      <w:highlight w:val="none"/>
                      <w:lang w:val="en-US" w:eastAsia="zh-CN"/>
                      <w14:textFill>
                        <w14:solidFill>
                          <w14:schemeClr w14:val="tx1"/>
                        </w14:solidFill>
                      </w14:textFill>
                    </w:rPr>
                    <w:t>5</w:t>
                  </w:r>
                </w:p>
              </w:tc>
            </w:tr>
            <w:tr w14:paraId="78435230">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0" w:hRule="atLeast"/>
                <w:jc w:val="center"/>
              </w:trPr>
              <w:tc>
                <w:tcPr>
                  <w:tcW w:w="356" w:type="pct"/>
                  <w:vMerge w:val="continue"/>
                  <w:tcBorders>
                    <w:tl2br w:val="nil"/>
                    <w:tr2bl w:val="nil"/>
                  </w:tcBorders>
                  <w:vAlign w:val="center"/>
                </w:tcPr>
                <w:p w14:paraId="283E51B4">
                  <w:pPr>
                    <w:snapToGrid w:val="0"/>
                    <w:jc w:val="center"/>
                    <w:rPr>
                      <w:rFonts w:hint="eastAsia" w:eastAsia="宋体"/>
                      <w:color w:val="000000" w:themeColor="text1"/>
                      <w:highlight w:val="none"/>
                      <w:lang w:val="en-US" w:eastAsia="zh-CN"/>
                      <w14:textFill>
                        <w14:solidFill>
                          <w14:schemeClr w14:val="tx1"/>
                        </w14:solidFill>
                      </w14:textFill>
                    </w:rPr>
                  </w:pPr>
                </w:p>
              </w:tc>
              <w:tc>
                <w:tcPr>
                  <w:tcW w:w="703" w:type="pct"/>
                  <w:tcBorders>
                    <w:tl2br w:val="nil"/>
                    <w:tr2bl w:val="nil"/>
                  </w:tcBorders>
                  <w:vAlign w:val="center"/>
                </w:tcPr>
                <w:p w14:paraId="08BB8CDB">
                  <w:pPr>
                    <w:snapToGrid w:val="0"/>
                    <w:jc w:val="center"/>
                    <w:rPr>
                      <w:rFonts w:hint="eastAsia"/>
                      <w:bCs/>
                      <w:color w:val="000000" w:themeColor="text1"/>
                      <w:highlight w:val="none"/>
                      <w:lang w:eastAsia="zh-CN"/>
                      <w14:textFill>
                        <w14:solidFill>
                          <w14:schemeClr w14:val="tx1"/>
                        </w14:solidFill>
                      </w14:textFill>
                    </w:rPr>
                  </w:pPr>
                  <w:r>
                    <w:rPr>
                      <w:rFonts w:hint="eastAsia"/>
                      <w:bCs/>
                      <w:color w:val="000000" w:themeColor="text1"/>
                      <w:highlight w:val="none"/>
                      <w:lang w:eastAsia="zh-CN"/>
                      <w14:textFill>
                        <w14:solidFill>
                          <w14:schemeClr w14:val="tx1"/>
                        </w14:solidFill>
                      </w14:textFill>
                    </w:rPr>
                    <w:t>DA00</w:t>
                  </w:r>
                  <w:r>
                    <w:rPr>
                      <w:rFonts w:hint="eastAsia"/>
                      <w:bCs/>
                      <w:color w:val="000000" w:themeColor="text1"/>
                      <w:highlight w:val="none"/>
                      <w:lang w:val="en-US" w:eastAsia="zh-CN"/>
                      <w14:textFill>
                        <w14:solidFill>
                          <w14:schemeClr w14:val="tx1"/>
                        </w14:solidFill>
                      </w14:textFill>
                    </w:rPr>
                    <w:t>2</w:t>
                  </w:r>
                </w:p>
              </w:tc>
              <w:tc>
                <w:tcPr>
                  <w:tcW w:w="1339" w:type="pct"/>
                  <w:tcBorders>
                    <w:tl2br w:val="nil"/>
                    <w:tr2bl w:val="nil"/>
                  </w:tcBorders>
                  <w:vAlign w:val="center"/>
                </w:tcPr>
                <w:p w14:paraId="313A6C90">
                  <w:pPr>
                    <w:snapToGrid w:val="0"/>
                    <w:jc w:val="center"/>
                    <w:rPr>
                      <w:color w:val="000000" w:themeColor="text1"/>
                      <w:kern w:val="0"/>
                      <w:szCs w:val="21"/>
                      <w:highlight w:val="none"/>
                      <w:lang w:bidi="ar"/>
                      <w14:textFill>
                        <w14:solidFill>
                          <w14:schemeClr w14:val="tx1"/>
                        </w14:solidFill>
                      </w14:textFill>
                    </w:rPr>
                  </w:pPr>
                  <w:r>
                    <w:rPr>
                      <w:color w:val="000000" w:themeColor="text1"/>
                      <w:kern w:val="0"/>
                      <w:szCs w:val="21"/>
                      <w:highlight w:val="none"/>
                      <w:lang w:bidi="ar"/>
                      <w14:textFill>
                        <w14:solidFill>
                          <w14:schemeClr w14:val="tx1"/>
                        </w14:solidFill>
                      </w14:textFill>
                    </w:rPr>
                    <w:t>非甲烷总烃</w:t>
                  </w:r>
                  <w:r>
                    <w:rPr>
                      <w:rFonts w:hint="eastAsia"/>
                      <w:color w:val="000000" w:themeColor="text1"/>
                      <w:kern w:val="0"/>
                      <w:szCs w:val="21"/>
                      <w:highlight w:val="none"/>
                      <w:lang w:eastAsia="zh-CN" w:bidi="ar"/>
                      <w14:textFill>
                        <w14:solidFill>
                          <w14:schemeClr w14:val="tx1"/>
                        </w14:solidFill>
                      </w14:textFill>
                    </w:rPr>
                    <w:t>、</w:t>
                  </w:r>
                  <w:r>
                    <w:rPr>
                      <w:rFonts w:hint="eastAsia"/>
                      <w:color w:val="000000" w:themeColor="text1"/>
                      <w:kern w:val="0"/>
                      <w:szCs w:val="21"/>
                      <w:highlight w:val="none"/>
                      <w:lang w:val="en-US" w:eastAsia="zh-CN" w:bidi="ar"/>
                      <w14:textFill>
                        <w14:solidFill>
                          <w14:schemeClr w14:val="tx1"/>
                        </w14:solidFill>
                      </w14:textFill>
                    </w:rPr>
                    <w:t>乙醛、</w:t>
                  </w:r>
                  <w:r>
                    <w:rPr>
                      <w:rFonts w:hint="eastAsia"/>
                      <w:color w:val="000000" w:themeColor="text1"/>
                      <w:szCs w:val="21"/>
                      <w:highlight w:val="none"/>
                      <w:lang w:val="en-US" w:eastAsia="zh-CN"/>
                      <w14:textFill>
                        <w14:solidFill>
                          <w14:schemeClr w14:val="tx1"/>
                        </w14:solidFill>
                      </w14:textFill>
                    </w:rPr>
                    <w:t>四氢呋喃</w:t>
                  </w:r>
                </w:p>
              </w:tc>
              <w:tc>
                <w:tcPr>
                  <w:tcW w:w="702" w:type="pct"/>
                  <w:vMerge w:val="continue"/>
                  <w:tcBorders>
                    <w:tl2br w:val="nil"/>
                    <w:tr2bl w:val="nil"/>
                  </w:tcBorders>
                  <w:vAlign w:val="center"/>
                </w:tcPr>
                <w:p w14:paraId="0E8E201A">
                  <w:pPr>
                    <w:snapToGrid w:val="0"/>
                    <w:jc w:val="center"/>
                    <w:rPr>
                      <w:rFonts w:hint="eastAsia"/>
                      <w:bCs/>
                      <w:color w:val="000000" w:themeColor="text1"/>
                      <w:highlight w:val="none"/>
                      <w14:textFill>
                        <w14:solidFill>
                          <w14:schemeClr w14:val="tx1"/>
                        </w14:solidFill>
                      </w14:textFill>
                    </w:rPr>
                  </w:pPr>
                </w:p>
              </w:tc>
              <w:tc>
                <w:tcPr>
                  <w:tcW w:w="1898" w:type="pct"/>
                  <w:tcBorders>
                    <w:tl2br w:val="nil"/>
                    <w:tr2bl w:val="nil"/>
                  </w:tcBorders>
                  <w:vAlign w:val="center"/>
                </w:tcPr>
                <w:p w14:paraId="5CE992F9">
                  <w:pPr>
                    <w:snapToGrid w:val="0"/>
                    <w:spacing w:line="24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《合成树脂工业污染物排放标准》（GB31572-2015）（含2024年修改单）</w:t>
                  </w:r>
                  <w:r>
                    <w:rPr>
                      <w:color w:val="000000" w:themeColor="text1"/>
                      <w:szCs w:val="21"/>
                      <w:highlight w:val="none"/>
                      <w14:textFill>
                        <w14:solidFill>
                          <w14:schemeClr w14:val="tx1"/>
                        </w14:solidFill>
                      </w14:textFill>
                    </w:rPr>
                    <w:t>表5</w:t>
                  </w:r>
                </w:p>
              </w:tc>
            </w:tr>
            <w:tr w14:paraId="53FE4519">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0" w:hRule="atLeast"/>
                <w:jc w:val="center"/>
              </w:trPr>
              <w:tc>
                <w:tcPr>
                  <w:tcW w:w="356" w:type="pct"/>
                  <w:vMerge w:val="continue"/>
                  <w:tcBorders>
                    <w:tl2br w:val="nil"/>
                    <w:tr2bl w:val="nil"/>
                  </w:tcBorders>
                  <w:vAlign w:val="center"/>
                </w:tcPr>
                <w:p w14:paraId="1152B23D">
                  <w:pPr>
                    <w:snapToGrid w:val="0"/>
                    <w:jc w:val="center"/>
                    <w:rPr>
                      <w:rFonts w:hint="eastAsia" w:eastAsia="宋体"/>
                      <w:color w:val="000000" w:themeColor="text1"/>
                      <w:highlight w:val="none"/>
                      <w:lang w:val="en-US" w:eastAsia="zh-CN"/>
                      <w14:textFill>
                        <w14:solidFill>
                          <w14:schemeClr w14:val="tx1"/>
                        </w14:solidFill>
                      </w14:textFill>
                    </w:rPr>
                  </w:pPr>
                </w:p>
              </w:tc>
              <w:tc>
                <w:tcPr>
                  <w:tcW w:w="703" w:type="pct"/>
                  <w:tcBorders>
                    <w:tl2br w:val="nil"/>
                    <w:tr2bl w:val="nil"/>
                  </w:tcBorders>
                  <w:vAlign w:val="center"/>
                </w:tcPr>
                <w:p w14:paraId="02587A36">
                  <w:pPr>
                    <w:snapToGrid w:val="0"/>
                    <w:jc w:val="center"/>
                    <w:rPr>
                      <w:rFonts w:hint="default"/>
                      <w:bCs/>
                      <w:color w:val="000000" w:themeColor="text1"/>
                      <w:highlight w:val="none"/>
                      <w:lang w:val="en-US" w:eastAsia="zh-CN"/>
                      <w14:textFill>
                        <w14:solidFill>
                          <w14:schemeClr w14:val="tx1"/>
                        </w14:solidFill>
                      </w14:textFill>
                    </w:rPr>
                  </w:pPr>
                  <w:r>
                    <w:rPr>
                      <w:rFonts w:hint="eastAsia"/>
                      <w:bCs/>
                      <w:color w:val="000000" w:themeColor="text1"/>
                      <w:highlight w:val="none"/>
                      <w:lang w:eastAsia="zh-CN"/>
                      <w14:textFill>
                        <w14:solidFill>
                          <w14:schemeClr w14:val="tx1"/>
                        </w14:solidFill>
                      </w14:textFill>
                    </w:rPr>
                    <w:t>DA001、</w:t>
                  </w:r>
                  <w:r>
                    <w:rPr>
                      <w:rFonts w:hint="eastAsia"/>
                      <w:bCs/>
                      <w:color w:val="000000" w:themeColor="text1"/>
                      <w:highlight w:val="none"/>
                      <w:lang w:val="en-US" w:eastAsia="zh-CN"/>
                      <w14:textFill>
                        <w14:solidFill>
                          <w14:schemeClr w14:val="tx1"/>
                        </w14:solidFill>
                      </w14:textFill>
                    </w:rPr>
                    <w:t>DA002</w:t>
                  </w:r>
                </w:p>
              </w:tc>
              <w:tc>
                <w:tcPr>
                  <w:tcW w:w="1339" w:type="pct"/>
                  <w:tcBorders>
                    <w:tl2br w:val="nil"/>
                    <w:tr2bl w:val="nil"/>
                  </w:tcBorders>
                  <w:vAlign w:val="center"/>
                </w:tcPr>
                <w:p w14:paraId="717067FD">
                  <w:pPr>
                    <w:snapToGrid w:val="0"/>
                    <w:jc w:val="center"/>
                    <w:rPr>
                      <w:color w:val="000000" w:themeColor="text1"/>
                      <w:kern w:val="0"/>
                      <w:szCs w:val="21"/>
                      <w:highlight w:val="none"/>
                      <w:lang w:bidi="ar"/>
                      <w14:textFill>
                        <w14:solidFill>
                          <w14:schemeClr w14:val="tx1"/>
                        </w14:solidFill>
                      </w14:textFill>
                    </w:rPr>
                  </w:pPr>
                  <w:r>
                    <w:rPr>
                      <w:rFonts w:hint="eastAsia"/>
                      <w:color w:val="000000" w:themeColor="text1"/>
                      <w:kern w:val="0"/>
                      <w:szCs w:val="21"/>
                      <w:highlight w:val="none"/>
                      <w:lang w:val="en-US" w:eastAsia="zh-CN" w:bidi="ar"/>
                      <w14:textFill>
                        <w14:solidFill>
                          <w14:schemeClr w14:val="tx1"/>
                        </w14:solidFill>
                      </w14:textFill>
                    </w:rPr>
                    <w:t>臭气浓度</w:t>
                  </w:r>
                </w:p>
              </w:tc>
              <w:tc>
                <w:tcPr>
                  <w:tcW w:w="702" w:type="pct"/>
                  <w:vMerge w:val="continue"/>
                  <w:tcBorders>
                    <w:tl2br w:val="nil"/>
                    <w:tr2bl w:val="nil"/>
                  </w:tcBorders>
                  <w:vAlign w:val="center"/>
                </w:tcPr>
                <w:p w14:paraId="0A7E6BBB">
                  <w:pPr>
                    <w:snapToGrid w:val="0"/>
                    <w:jc w:val="center"/>
                    <w:rPr>
                      <w:rFonts w:hint="eastAsia"/>
                      <w:bCs/>
                      <w:color w:val="000000" w:themeColor="text1"/>
                      <w:highlight w:val="none"/>
                      <w14:textFill>
                        <w14:solidFill>
                          <w14:schemeClr w14:val="tx1"/>
                        </w14:solidFill>
                      </w14:textFill>
                    </w:rPr>
                  </w:pPr>
                </w:p>
              </w:tc>
              <w:tc>
                <w:tcPr>
                  <w:tcW w:w="1898" w:type="pct"/>
                  <w:tcBorders>
                    <w:tl2br w:val="nil"/>
                    <w:tr2bl w:val="nil"/>
                  </w:tcBorders>
                  <w:vAlign w:val="center"/>
                </w:tcPr>
                <w:p w14:paraId="5EE9F035">
                  <w:pPr>
                    <w:snapToGrid w:val="0"/>
                    <w:spacing w:line="240" w:lineRule="exact"/>
                    <w:jc w:val="center"/>
                    <w:rPr>
                      <w:rFonts w:hint="eastAsia" w:cs="Times New Roman"/>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《恶臭污染物排放标准》（GB14554-1993）表2</w:t>
                  </w:r>
                </w:p>
              </w:tc>
            </w:tr>
            <w:tr w14:paraId="76EC89C9">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0" w:hRule="atLeast"/>
                <w:jc w:val="center"/>
              </w:trPr>
              <w:tc>
                <w:tcPr>
                  <w:tcW w:w="356" w:type="pct"/>
                  <w:vMerge w:val="continue"/>
                  <w:tcBorders>
                    <w:tl2br w:val="nil"/>
                    <w:tr2bl w:val="nil"/>
                  </w:tcBorders>
                  <w:vAlign w:val="center"/>
                </w:tcPr>
                <w:p w14:paraId="735DD86D">
                  <w:pPr>
                    <w:snapToGrid w:val="0"/>
                    <w:jc w:val="center"/>
                    <w:rPr>
                      <w:rFonts w:hint="eastAsia" w:eastAsia="宋体"/>
                      <w:color w:val="000000" w:themeColor="text1"/>
                      <w:highlight w:val="none"/>
                      <w:lang w:val="en-US" w:eastAsia="zh-CN"/>
                      <w14:textFill>
                        <w14:solidFill>
                          <w14:schemeClr w14:val="tx1"/>
                        </w14:solidFill>
                      </w14:textFill>
                    </w:rPr>
                  </w:pPr>
                </w:p>
              </w:tc>
              <w:tc>
                <w:tcPr>
                  <w:tcW w:w="703" w:type="pct"/>
                  <w:vMerge w:val="restart"/>
                  <w:tcBorders>
                    <w:tl2br w:val="nil"/>
                    <w:tr2bl w:val="nil"/>
                  </w:tcBorders>
                  <w:vAlign w:val="center"/>
                </w:tcPr>
                <w:p w14:paraId="2C24C032">
                  <w:pPr>
                    <w:snapToGrid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厂界</w:t>
                  </w:r>
                  <w:r>
                    <w:rPr>
                      <w:rFonts w:hint="eastAsia"/>
                      <w:color w:val="000000" w:themeColor="text1"/>
                      <w:szCs w:val="21"/>
                      <w:highlight w:val="none"/>
                      <w14:textFill>
                        <w14:solidFill>
                          <w14:schemeClr w14:val="tx1"/>
                        </w14:solidFill>
                      </w14:textFill>
                    </w:rPr>
                    <w:t>*</w:t>
                  </w:r>
                </w:p>
              </w:tc>
              <w:tc>
                <w:tcPr>
                  <w:tcW w:w="1339" w:type="pct"/>
                  <w:tcBorders>
                    <w:tl2br w:val="nil"/>
                    <w:tr2bl w:val="nil"/>
                  </w:tcBorders>
                  <w:vAlign w:val="center"/>
                </w:tcPr>
                <w:p w14:paraId="21B4C0DC">
                  <w:pPr>
                    <w:snapToGrid w:val="0"/>
                    <w:jc w:val="center"/>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非甲烷总烃</w:t>
                  </w:r>
                </w:p>
              </w:tc>
              <w:tc>
                <w:tcPr>
                  <w:tcW w:w="702" w:type="pct"/>
                  <w:vMerge w:val="continue"/>
                  <w:tcBorders>
                    <w:tl2br w:val="nil"/>
                    <w:tr2bl w:val="nil"/>
                  </w:tcBorders>
                  <w:vAlign w:val="center"/>
                </w:tcPr>
                <w:p w14:paraId="6F6AEF5E">
                  <w:pPr>
                    <w:snapToGrid w:val="0"/>
                    <w:jc w:val="center"/>
                    <w:rPr>
                      <w:color w:val="000000" w:themeColor="text1"/>
                      <w:highlight w:val="none"/>
                      <w14:textFill>
                        <w14:solidFill>
                          <w14:schemeClr w14:val="tx1"/>
                        </w14:solidFill>
                      </w14:textFill>
                    </w:rPr>
                  </w:pPr>
                </w:p>
              </w:tc>
              <w:tc>
                <w:tcPr>
                  <w:tcW w:w="1898" w:type="pct"/>
                  <w:tcBorders>
                    <w:top w:val="single" w:color="auto" w:sz="4" w:space="0"/>
                    <w:tl2br w:val="nil"/>
                    <w:tr2bl w:val="nil"/>
                  </w:tcBorders>
                  <w:vAlign w:val="center"/>
                </w:tcPr>
                <w:p w14:paraId="02F2BD90">
                  <w:pPr>
                    <w:snapToGrid w:val="0"/>
                    <w:spacing w:line="240" w:lineRule="exact"/>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《橡胶制品工业污染物排放标准》（GB27632-2011）表6</w:t>
                  </w:r>
                </w:p>
              </w:tc>
            </w:tr>
            <w:tr w14:paraId="1BF5802F">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0" w:hRule="atLeast"/>
                <w:jc w:val="center"/>
              </w:trPr>
              <w:tc>
                <w:tcPr>
                  <w:tcW w:w="356" w:type="pct"/>
                  <w:vMerge w:val="continue"/>
                  <w:tcBorders>
                    <w:tl2br w:val="nil"/>
                    <w:tr2bl w:val="nil"/>
                  </w:tcBorders>
                  <w:vAlign w:val="center"/>
                </w:tcPr>
                <w:p w14:paraId="7C11FC63">
                  <w:pPr>
                    <w:snapToGrid w:val="0"/>
                    <w:jc w:val="center"/>
                    <w:rPr>
                      <w:rFonts w:hint="eastAsia" w:eastAsia="宋体"/>
                      <w:color w:val="000000" w:themeColor="text1"/>
                      <w:highlight w:val="none"/>
                      <w:lang w:val="en-US" w:eastAsia="zh-CN"/>
                      <w14:textFill>
                        <w14:solidFill>
                          <w14:schemeClr w14:val="tx1"/>
                        </w14:solidFill>
                      </w14:textFill>
                    </w:rPr>
                  </w:pPr>
                </w:p>
              </w:tc>
              <w:tc>
                <w:tcPr>
                  <w:tcW w:w="703" w:type="pct"/>
                  <w:vMerge w:val="continue"/>
                  <w:tcBorders>
                    <w:tl2br w:val="nil"/>
                    <w:tr2bl w:val="nil"/>
                  </w:tcBorders>
                  <w:vAlign w:val="center"/>
                </w:tcPr>
                <w:p w14:paraId="077E13CF">
                  <w:pPr>
                    <w:snapToGrid w:val="0"/>
                    <w:jc w:val="center"/>
                    <w:rPr>
                      <w:color w:val="000000" w:themeColor="text1"/>
                      <w:highlight w:val="none"/>
                      <w14:textFill>
                        <w14:solidFill>
                          <w14:schemeClr w14:val="tx1"/>
                        </w14:solidFill>
                      </w14:textFill>
                    </w:rPr>
                  </w:pPr>
                </w:p>
              </w:tc>
              <w:tc>
                <w:tcPr>
                  <w:tcW w:w="1339" w:type="pct"/>
                  <w:tcBorders>
                    <w:tl2br w:val="nil"/>
                    <w:tr2bl w:val="nil"/>
                  </w:tcBorders>
                  <w:vAlign w:val="center"/>
                </w:tcPr>
                <w:p w14:paraId="275A6DF2">
                  <w:pPr>
                    <w:snapToGrid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颗粒物</w:t>
                  </w:r>
                </w:p>
              </w:tc>
              <w:tc>
                <w:tcPr>
                  <w:tcW w:w="702" w:type="pct"/>
                  <w:vMerge w:val="continue"/>
                  <w:tcBorders>
                    <w:tl2br w:val="nil"/>
                    <w:tr2bl w:val="nil"/>
                  </w:tcBorders>
                  <w:vAlign w:val="center"/>
                </w:tcPr>
                <w:p w14:paraId="6B80F69E">
                  <w:pPr>
                    <w:snapToGrid w:val="0"/>
                    <w:jc w:val="center"/>
                    <w:rPr>
                      <w:color w:val="000000" w:themeColor="text1"/>
                      <w:highlight w:val="none"/>
                      <w14:textFill>
                        <w14:solidFill>
                          <w14:schemeClr w14:val="tx1"/>
                        </w14:solidFill>
                      </w14:textFill>
                    </w:rPr>
                  </w:pPr>
                </w:p>
              </w:tc>
              <w:tc>
                <w:tcPr>
                  <w:tcW w:w="1898" w:type="pct"/>
                  <w:tcBorders>
                    <w:top w:val="single" w:color="auto" w:sz="4" w:space="0"/>
                    <w:tl2br w:val="nil"/>
                    <w:tr2bl w:val="nil"/>
                  </w:tcBorders>
                  <w:vAlign w:val="center"/>
                </w:tcPr>
                <w:p w14:paraId="56DD581E">
                  <w:pPr>
                    <w:snapToGrid w:val="0"/>
                    <w:spacing w:line="240" w:lineRule="exact"/>
                    <w:jc w:val="center"/>
                    <w:rPr>
                      <w:rFonts w:hint="eastAsia"/>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《合成树脂工业污染物排放标准》（GB31572-2015）（含2024年修改单）</w:t>
                  </w:r>
                  <w:r>
                    <w:rPr>
                      <w:rFonts w:hint="eastAsia"/>
                      <w:color w:val="000000" w:themeColor="text1"/>
                      <w:szCs w:val="21"/>
                      <w:highlight w:val="none"/>
                      <w:lang w:val="en-US" w:eastAsia="zh-CN"/>
                      <w14:textFill>
                        <w14:solidFill>
                          <w14:schemeClr w14:val="tx1"/>
                        </w14:solidFill>
                      </w14:textFill>
                    </w:rPr>
                    <w:t>表9</w:t>
                  </w:r>
                </w:p>
              </w:tc>
            </w:tr>
            <w:tr w14:paraId="02E24F8B">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0" w:hRule="atLeast"/>
                <w:jc w:val="center"/>
              </w:trPr>
              <w:tc>
                <w:tcPr>
                  <w:tcW w:w="356" w:type="pct"/>
                  <w:vMerge w:val="continue"/>
                  <w:tcBorders>
                    <w:tl2br w:val="nil"/>
                    <w:tr2bl w:val="nil"/>
                  </w:tcBorders>
                  <w:vAlign w:val="center"/>
                </w:tcPr>
                <w:p w14:paraId="2C123AC4">
                  <w:pPr>
                    <w:snapToGrid w:val="0"/>
                    <w:jc w:val="center"/>
                    <w:rPr>
                      <w:rFonts w:hint="eastAsia" w:eastAsia="宋体"/>
                      <w:color w:val="000000" w:themeColor="text1"/>
                      <w:highlight w:val="none"/>
                      <w:lang w:val="en-US" w:eastAsia="zh-CN"/>
                      <w14:textFill>
                        <w14:solidFill>
                          <w14:schemeClr w14:val="tx1"/>
                        </w14:solidFill>
                      </w14:textFill>
                    </w:rPr>
                  </w:pPr>
                </w:p>
              </w:tc>
              <w:tc>
                <w:tcPr>
                  <w:tcW w:w="703" w:type="pct"/>
                  <w:vMerge w:val="continue"/>
                  <w:tcBorders>
                    <w:tl2br w:val="nil"/>
                    <w:tr2bl w:val="nil"/>
                  </w:tcBorders>
                  <w:vAlign w:val="center"/>
                </w:tcPr>
                <w:p w14:paraId="026CF51D">
                  <w:pPr>
                    <w:snapToGrid w:val="0"/>
                    <w:jc w:val="center"/>
                    <w:rPr>
                      <w:color w:val="000000" w:themeColor="text1"/>
                      <w:highlight w:val="none"/>
                      <w14:textFill>
                        <w14:solidFill>
                          <w14:schemeClr w14:val="tx1"/>
                        </w14:solidFill>
                      </w14:textFill>
                    </w:rPr>
                  </w:pPr>
                </w:p>
              </w:tc>
              <w:tc>
                <w:tcPr>
                  <w:tcW w:w="1339" w:type="pct"/>
                  <w:tcBorders>
                    <w:tl2br w:val="nil"/>
                    <w:tr2bl w:val="nil"/>
                  </w:tcBorders>
                  <w:vAlign w:val="center"/>
                </w:tcPr>
                <w:p w14:paraId="2D312A05">
                  <w:pPr>
                    <w:snapToGrid w:val="0"/>
                    <w:jc w:val="center"/>
                    <w:rPr>
                      <w:color w:val="000000" w:themeColor="text1"/>
                      <w:highlight w:val="none"/>
                      <w14:textFill>
                        <w14:solidFill>
                          <w14:schemeClr w14:val="tx1"/>
                        </w14:solidFill>
                      </w14:textFill>
                    </w:rPr>
                  </w:pPr>
                  <w:r>
                    <w:rPr>
                      <w:rFonts w:hint="eastAsia"/>
                      <w:color w:val="000000" w:themeColor="text1"/>
                      <w:kern w:val="0"/>
                      <w:szCs w:val="21"/>
                      <w:highlight w:val="none"/>
                      <w:lang w:val="en-US" w:eastAsia="zh-CN" w:bidi="ar"/>
                      <w14:textFill>
                        <w14:solidFill>
                          <w14:schemeClr w14:val="tx1"/>
                        </w14:solidFill>
                      </w14:textFill>
                    </w:rPr>
                    <w:t>臭气浓度</w:t>
                  </w:r>
                </w:p>
              </w:tc>
              <w:tc>
                <w:tcPr>
                  <w:tcW w:w="702" w:type="pct"/>
                  <w:vMerge w:val="continue"/>
                  <w:tcBorders>
                    <w:tl2br w:val="nil"/>
                    <w:tr2bl w:val="nil"/>
                  </w:tcBorders>
                  <w:vAlign w:val="center"/>
                </w:tcPr>
                <w:p w14:paraId="30B4B4BC">
                  <w:pPr>
                    <w:snapToGrid w:val="0"/>
                    <w:jc w:val="center"/>
                    <w:rPr>
                      <w:color w:val="000000" w:themeColor="text1"/>
                      <w:highlight w:val="none"/>
                      <w14:textFill>
                        <w14:solidFill>
                          <w14:schemeClr w14:val="tx1"/>
                        </w14:solidFill>
                      </w14:textFill>
                    </w:rPr>
                  </w:pPr>
                </w:p>
              </w:tc>
              <w:tc>
                <w:tcPr>
                  <w:tcW w:w="1898" w:type="pct"/>
                  <w:tcBorders>
                    <w:top w:val="single" w:color="auto" w:sz="4" w:space="0"/>
                    <w:tl2br w:val="nil"/>
                    <w:tr2bl w:val="nil"/>
                  </w:tcBorders>
                  <w:vAlign w:val="center"/>
                </w:tcPr>
                <w:p w14:paraId="55AFCB4D">
                  <w:pPr>
                    <w:snapToGrid w:val="0"/>
                    <w:spacing w:line="240" w:lineRule="exact"/>
                    <w:jc w:val="center"/>
                    <w:rPr>
                      <w:rFonts w:hint="eastAsia"/>
                      <w:color w:val="000000" w:themeColor="text1"/>
                      <w:highlight w:val="none"/>
                      <w:lang w:eastAsia="zh-CN"/>
                      <w14:textFill>
                        <w14:solidFill>
                          <w14:schemeClr w14:val="tx1"/>
                        </w14:solidFill>
                      </w14:textFill>
                    </w:rPr>
                  </w:pPr>
                  <w:r>
                    <w:rPr>
                      <w:color w:val="000000" w:themeColor="text1"/>
                      <w:szCs w:val="21"/>
                      <w:highlight w:val="none"/>
                      <w14:textFill>
                        <w14:solidFill>
                          <w14:schemeClr w14:val="tx1"/>
                        </w14:solidFill>
                      </w14:textFill>
                    </w:rPr>
                    <w:t>《恶臭污染物排放标准》（GB14554-1993）表1</w:t>
                  </w:r>
                </w:p>
              </w:tc>
            </w:tr>
            <w:tr w14:paraId="4C9AE9C0">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0" w:hRule="atLeast"/>
                <w:jc w:val="center"/>
              </w:trPr>
              <w:tc>
                <w:tcPr>
                  <w:tcW w:w="356" w:type="pct"/>
                  <w:vMerge w:val="continue"/>
                  <w:tcBorders>
                    <w:tl2br w:val="nil"/>
                    <w:tr2bl w:val="nil"/>
                  </w:tcBorders>
                  <w:vAlign w:val="center"/>
                </w:tcPr>
                <w:p w14:paraId="274FDF88">
                  <w:pPr>
                    <w:snapToGrid w:val="0"/>
                    <w:jc w:val="center"/>
                    <w:rPr>
                      <w:rFonts w:eastAsia="Times New Roman"/>
                      <w:color w:val="000000" w:themeColor="text1"/>
                      <w:highlight w:val="none"/>
                      <w14:textFill>
                        <w14:solidFill>
                          <w14:schemeClr w14:val="tx1"/>
                        </w14:solidFill>
                      </w14:textFill>
                    </w:rPr>
                  </w:pPr>
                </w:p>
              </w:tc>
              <w:tc>
                <w:tcPr>
                  <w:tcW w:w="703" w:type="pct"/>
                  <w:tcBorders>
                    <w:tl2br w:val="nil"/>
                    <w:tr2bl w:val="nil"/>
                  </w:tcBorders>
                  <w:vAlign w:val="center"/>
                </w:tcPr>
                <w:p w14:paraId="1BD4CF84">
                  <w:pPr>
                    <w:snapToGrid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厂区</w:t>
                  </w:r>
                </w:p>
              </w:tc>
              <w:tc>
                <w:tcPr>
                  <w:tcW w:w="1339" w:type="pct"/>
                  <w:tcBorders>
                    <w:tl2br w:val="nil"/>
                    <w:tr2bl w:val="nil"/>
                  </w:tcBorders>
                  <w:vAlign w:val="center"/>
                </w:tcPr>
                <w:p w14:paraId="6E18ABB3">
                  <w:pPr>
                    <w:snapToGrid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非甲烷总烃</w:t>
                  </w:r>
                </w:p>
              </w:tc>
              <w:tc>
                <w:tcPr>
                  <w:tcW w:w="702" w:type="pct"/>
                  <w:vMerge w:val="continue"/>
                  <w:tcBorders>
                    <w:tl2br w:val="nil"/>
                    <w:tr2bl w:val="nil"/>
                  </w:tcBorders>
                  <w:vAlign w:val="center"/>
                </w:tcPr>
                <w:p w14:paraId="12A709C1">
                  <w:pPr>
                    <w:jc w:val="center"/>
                    <w:rPr>
                      <w:color w:val="000000" w:themeColor="text1"/>
                      <w:highlight w:val="none"/>
                      <w14:textFill>
                        <w14:solidFill>
                          <w14:schemeClr w14:val="tx1"/>
                        </w14:solidFill>
                      </w14:textFill>
                    </w:rPr>
                  </w:pPr>
                </w:p>
              </w:tc>
              <w:tc>
                <w:tcPr>
                  <w:tcW w:w="1898" w:type="pct"/>
                  <w:tcBorders>
                    <w:top w:val="single" w:color="auto" w:sz="4" w:space="0"/>
                    <w:tl2br w:val="nil"/>
                    <w:tr2bl w:val="nil"/>
                  </w:tcBorders>
                  <w:vAlign w:val="center"/>
                </w:tcPr>
                <w:p w14:paraId="6D79D050">
                  <w:pPr>
                    <w:snapToGrid w:val="0"/>
                    <w:jc w:val="center"/>
                    <w:rPr>
                      <w:rFonts w:hint="eastAsia" w:eastAsia="宋体"/>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《大气污染物综合排放标准》（DB32/4041-2021）表2</w:t>
                  </w:r>
                </w:p>
              </w:tc>
            </w:tr>
          </w:tbl>
          <w:p w14:paraId="13174BC5">
            <w:pPr>
              <w:spacing w:line="240" w:lineRule="exact"/>
              <w:rPr>
                <w:b/>
                <w:bCs/>
                <w:snapToGrid w:val="0"/>
                <w:color w:val="000000" w:themeColor="text1"/>
                <w:sz w:val="18"/>
                <w:szCs w:val="18"/>
                <w:highlight w:val="none"/>
                <w14:textFill>
                  <w14:solidFill>
                    <w14:schemeClr w14:val="tx1"/>
                  </w14:solidFill>
                </w14:textFill>
              </w:rPr>
            </w:pPr>
            <w:r>
              <w:rPr>
                <w:b/>
                <w:bCs/>
                <w:snapToGrid w:val="0"/>
                <w:color w:val="000000" w:themeColor="text1"/>
                <w:sz w:val="18"/>
                <w:szCs w:val="18"/>
                <w:highlight w:val="none"/>
                <w14:textFill>
                  <w14:solidFill>
                    <w14:schemeClr w14:val="tx1"/>
                  </w14:solidFill>
                </w14:textFill>
              </w:rPr>
              <w:t>*：厂界分为上风向1个点位和下风向3个点位。</w:t>
            </w:r>
          </w:p>
          <w:p w14:paraId="066837DF">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1.</w:t>
            </w:r>
            <w:r>
              <w:rPr>
                <w:rFonts w:hint="eastAsia"/>
                <w:color w:val="000000" w:themeColor="text1"/>
                <w:sz w:val="24"/>
                <w:highlight w:val="none"/>
                <w:lang w:val="en-US" w:eastAsia="zh-CN"/>
                <w14:textFill>
                  <w14:solidFill>
                    <w14:schemeClr w14:val="tx1"/>
                  </w14:solidFill>
                </w14:textFill>
              </w:rPr>
              <w:t>5</w:t>
            </w:r>
            <w:r>
              <w:rPr>
                <w:color w:val="000000" w:themeColor="text1"/>
                <w:sz w:val="24"/>
                <w:highlight w:val="none"/>
                <w:lang w:val="zh-CN"/>
                <w14:textFill>
                  <w14:solidFill>
                    <w14:schemeClr w14:val="tx1"/>
                  </w14:solidFill>
                </w14:textFill>
              </w:rPr>
              <w:t>大气环境影响分析结论</w:t>
            </w:r>
          </w:p>
          <w:p w14:paraId="28055097">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本项目废气收集经处理后达标排放，废气经处理后得到有效削减，对区域环境空气质量影响较小。</w:t>
            </w:r>
          </w:p>
          <w:p w14:paraId="43F44A18">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本项目采取的废气污染防治措施均具有可行性，各类废气污染物经处理后均能达标排放，满足总量控制的要求。在落实本报告提出的环境污染治理和环境管理措施的情况下，本项目运行对周边大气环境影响可接受。</w:t>
            </w:r>
          </w:p>
          <w:p w14:paraId="7826E196">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2、废水</w:t>
            </w:r>
          </w:p>
          <w:p w14:paraId="39905FE9">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（1）源强核算</w:t>
            </w:r>
          </w:p>
          <w:p w14:paraId="31DDF0C7">
            <w:pPr>
              <w:adjustRightInd w:val="0"/>
              <w:snapToGrid w:val="0"/>
              <w:spacing w:line="440" w:lineRule="exact"/>
              <w:ind w:firstLine="480" w:firstLineChars="200"/>
              <w:rPr>
                <w:rFonts w:ascii="Times New Roman" w:hAnsi="Times New Roman" w:eastAsia="宋体" w:cs="Times New Roman"/>
                <w:color w:val="000000" w:themeColor="text1"/>
                <w:sz w:val="24"/>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生活用水</w:t>
            </w:r>
          </w:p>
          <w:p w14:paraId="03C3785B">
            <w:pPr>
              <w:adjustRightInd w:val="0"/>
              <w:snapToGrid w:val="0"/>
              <w:spacing w:line="440" w:lineRule="exact"/>
              <w:ind w:firstLine="480" w:firstLineChars="200"/>
              <w:rPr>
                <w:rFonts w:hint="eastAsia" w:ascii="Times New Roman" w:hAnsi="Times New Roman" w:eastAsia="宋体" w:cs="Times New Roman"/>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sz w:val="24"/>
                <w:highlight w:val="none"/>
                <w14:textFill>
                  <w14:solidFill>
                    <w14:schemeClr w14:val="tx1"/>
                  </w14:solidFill>
                </w14:textFill>
              </w:rPr>
              <w:t>本项目职工定员</w:t>
            </w:r>
            <w:r>
              <w:rPr>
                <w:rFonts w:hint="eastAsia" w:cs="Times New Roman"/>
                <w:color w:val="000000" w:themeColor="text1"/>
                <w:sz w:val="24"/>
                <w:highlight w:val="none"/>
                <w:lang w:val="en-US" w:eastAsia="zh-CN"/>
                <w14:textFill>
                  <w14:solidFill>
                    <w14:schemeClr w14:val="tx1"/>
                  </w14:solidFill>
                </w14:textFill>
              </w:rPr>
              <w:t>16</w:t>
            </w:r>
            <w:r>
              <w:rPr>
                <w:rFonts w:hint="eastAsia" w:ascii="Times New Roman" w:hAnsi="Times New Roman" w:eastAsia="宋体" w:cs="Times New Roman"/>
                <w:color w:val="000000" w:themeColor="text1"/>
                <w:sz w:val="24"/>
                <w:highlight w:val="none"/>
                <w14:textFill>
                  <w14:solidFill>
                    <w14:schemeClr w14:val="tx1"/>
                  </w14:solidFill>
                </w14:textFill>
              </w:rPr>
              <w:t>人，年工作300天，</w:t>
            </w:r>
            <w:r>
              <w:rPr>
                <w:rFonts w:hint="default" w:ascii="Times New Roman" w:hAnsi="Times New Roman" w:cs="Times New Roman"/>
                <w:color w:val="000000" w:themeColor="text1"/>
                <w:sz w:val="24"/>
                <w:szCs w:val="32"/>
                <w:highlight w:val="none"/>
                <w14:textFill>
                  <w14:solidFill>
                    <w14:schemeClr w14:val="tx1"/>
                  </w14:solidFill>
                </w14:textFill>
              </w:rPr>
              <w:t>根据</w:t>
            </w:r>
            <w:r>
              <w:rPr>
                <w:rFonts w:hint="eastAsia" w:ascii="Times New Roman" w:hAnsi="Times New Roman" w:cs="Times New Roman"/>
                <w:color w:val="000000" w:themeColor="text1"/>
                <w:sz w:val="24"/>
                <w:szCs w:val="32"/>
                <w:highlight w:val="none"/>
                <w:lang w:eastAsia="zh-CN"/>
                <w14:textFill>
                  <w14:solidFill>
                    <w14:schemeClr w14:val="tx1"/>
                  </w14:solidFill>
                </w14:textFill>
              </w:rPr>
              <w:t>《江苏省工业、建筑业、服务业、生活和农业用水定额（2025年修订）》</w:t>
            </w:r>
            <w:r>
              <w:rPr>
                <w:rFonts w:hint="default" w:ascii="Times New Roman" w:hAnsi="Times New Roman" w:cs="Times New Roman"/>
                <w:color w:val="000000" w:themeColor="text1"/>
                <w:sz w:val="24"/>
                <w:szCs w:val="32"/>
                <w:highlight w:val="none"/>
                <w14:textFill>
                  <w14:solidFill>
                    <w14:schemeClr w14:val="tx1"/>
                  </w14:solidFill>
                </w14:textFill>
              </w:rPr>
              <w:t>中的城市居民生活用水定额为</w:t>
            </w:r>
            <w:r>
              <w:rPr>
                <w:rFonts w:hint="eastAsia" w:ascii="Times New Roman" w:hAnsi="Times New Roman" w:cs="Times New Roman"/>
                <w:color w:val="000000" w:themeColor="text1"/>
                <w:sz w:val="24"/>
                <w:szCs w:val="32"/>
                <w:highlight w:val="none"/>
                <w:lang w:val="en-US" w:eastAsia="zh-CN"/>
                <w14:textFill>
                  <w14:solidFill>
                    <w14:schemeClr w14:val="tx1"/>
                  </w14:solidFill>
                </w14:textFill>
              </w:rPr>
              <w:t>1</w:t>
            </w:r>
            <w:r>
              <w:rPr>
                <w:rFonts w:hint="default" w:ascii="Times New Roman" w:hAnsi="Times New Roman" w:cs="Times New Roman"/>
                <w:color w:val="000000" w:themeColor="text1"/>
                <w:sz w:val="24"/>
                <w:szCs w:val="32"/>
                <w:highlight w:val="none"/>
                <w14:textFill>
                  <w14:solidFill>
                    <w14:schemeClr w14:val="tx1"/>
                  </w14:solidFill>
                </w14:textFill>
              </w:rPr>
              <w:t>50L/（人·d）</w:t>
            </w:r>
            <w:r>
              <w:rPr>
                <w:rFonts w:hint="eastAsia" w:ascii="Times New Roman" w:hAnsi="Times New Roman" w:eastAsia="宋体" w:cs="Times New Roman"/>
                <w:color w:val="000000" w:themeColor="text1"/>
                <w:sz w:val="24"/>
                <w:highlight w:val="none"/>
                <w14:textFill>
                  <w14:solidFill>
                    <w14:schemeClr w14:val="tx1"/>
                  </w14:solidFill>
                </w14:textFill>
              </w:rPr>
              <w:t>，厂区内不提供住宿，</w:t>
            </w:r>
            <w:r>
              <w:rPr>
                <w:rFonts w:hint="default" w:ascii="Times New Roman" w:hAnsi="Times New Roman" w:cs="Times New Roman"/>
                <w:color w:val="000000" w:themeColor="text1"/>
                <w:sz w:val="24"/>
                <w:szCs w:val="32"/>
                <w:highlight w:val="none"/>
                <w14:textFill>
                  <w14:solidFill>
                    <w14:schemeClr w14:val="tx1"/>
                  </w14:solidFill>
                </w14:textFill>
              </w:rPr>
              <w:t>本项目</w:t>
            </w:r>
            <w:r>
              <w:rPr>
                <w:rFonts w:hint="eastAsia" w:ascii="Times New Roman" w:hAnsi="Times New Roman" w:eastAsia="宋体" w:cs="Times New Roman"/>
                <w:color w:val="000000" w:themeColor="text1"/>
                <w:sz w:val="24"/>
                <w:highlight w:val="none"/>
                <w14:textFill>
                  <w14:solidFill>
                    <w14:schemeClr w14:val="tx1"/>
                  </w14:solidFill>
                </w14:textFill>
              </w:rPr>
              <w:t>用水定额按50L/人·d，则生活用水量为</w:t>
            </w:r>
            <w:r>
              <w:rPr>
                <w:rFonts w:hint="eastAsia" w:cs="Times New Roman"/>
                <w:color w:val="000000" w:themeColor="text1"/>
                <w:sz w:val="24"/>
                <w:highlight w:val="none"/>
                <w:lang w:val="en-US" w:eastAsia="zh-CN"/>
                <w14:textFill>
                  <w14:solidFill>
                    <w14:schemeClr w14:val="tx1"/>
                  </w14:solidFill>
                </w14:textFill>
              </w:rPr>
              <w:t>240</w:t>
            </w:r>
            <w:r>
              <w:rPr>
                <w:rFonts w:hint="eastAsia" w:ascii="Times New Roman" w:hAnsi="Times New Roman" w:eastAsia="宋体" w:cs="Times New Roman"/>
                <w:color w:val="000000" w:themeColor="text1"/>
                <w:sz w:val="24"/>
                <w:highlight w:val="none"/>
                <w14:textFill>
                  <w14:solidFill>
                    <w14:schemeClr w14:val="tx1"/>
                  </w14:solidFill>
                </w14:textFill>
              </w:rPr>
              <w:t>m</w:t>
            </w:r>
            <w:r>
              <w:rPr>
                <w:rFonts w:hint="eastAsia" w:ascii="Times New Roman" w:hAnsi="Times New Roman" w:eastAsia="宋体" w:cs="Times New Roman"/>
                <w:color w:val="000000" w:themeColor="text1"/>
                <w:sz w:val="24"/>
                <w:highlight w:val="none"/>
                <w:vertAlign w:val="superscript"/>
                <w14:textFill>
                  <w14:solidFill>
                    <w14:schemeClr w14:val="tx1"/>
                  </w14:solidFill>
                </w14:textFill>
              </w:rPr>
              <w:t>3</w:t>
            </w:r>
            <w:r>
              <w:rPr>
                <w:rFonts w:hint="eastAsia" w:ascii="Times New Roman" w:hAnsi="Times New Roman" w:eastAsia="宋体" w:cs="Times New Roman"/>
                <w:color w:val="000000" w:themeColor="text1"/>
                <w:sz w:val="24"/>
                <w:highlight w:val="none"/>
                <w14:textFill>
                  <w14:solidFill>
                    <w14:schemeClr w14:val="tx1"/>
                  </w14:solidFill>
                </w14:textFill>
              </w:rPr>
              <w:t>/a，生活污水产生量按用水量的80%计，则生活污水排放量约为</w:t>
            </w:r>
            <w:r>
              <w:rPr>
                <w:rFonts w:hint="eastAsia" w:cs="Times New Roman"/>
                <w:color w:val="000000" w:themeColor="text1"/>
                <w:sz w:val="24"/>
                <w:highlight w:val="none"/>
                <w:lang w:val="en-US" w:eastAsia="zh-CN"/>
                <w14:textFill>
                  <w14:solidFill>
                    <w14:schemeClr w14:val="tx1"/>
                  </w14:solidFill>
                </w14:textFill>
              </w:rPr>
              <w:t>192</w:t>
            </w:r>
            <w:r>
              <w:rPr>
                <w:rFonts w:hint="eastAsia" w:ascii="Times New Roman" w:hAnsi="Times New Roman" w:eastAsia="宋体" w:cs="Times New Roman"/>
                <w:color w:val="000000" w:themeColor="text1"/>
                <w:sz w:val="24"/>
                <w:highlight w:val="none"/>
                <w14:textFill>
                  <w14:solidFill>
                    <w14:schemeClr w14:val="tx1"/>
                  </w14:solidFill>
                </w14:textFill>
              </w:rPr>
              <w:t>m</w:t>
            </w:r>
            <w:r>
              <w:rPr>
                <w:rFonts w:hint="eastAsia" w:ascii="Times New Roman" w:hAnsi="Times New Roman" w:eastAsia="宋体" w:cs="Times New Roman"/>
                <w:color w:val="000000" w:themeColor="text1"/>
                <w:sz w:val="24"/>
                <w:highlight w:val="none"/>
                <w:vertAlign w:val="superscript"/>
                <w14:textFill>
                  <w14:solidFill>
                    <w14:schemeClr w14:val="tx1"/>
                  </w14:solidFill>
                </w14:textFill>
              </w:rPr>
              <w:t>3</w:t>
            </w:r>
            <w:r>
              <w:rPr>
                <w:rFonts w:hint="eastAsia" w:ascii="Times New Roman" w:hAnsi="Times New Roman" w:eastAsia="宋体" w:cs="Times New Roman"/>
                <w:color w:val="000000" w:themeColor="text1"/>
                <w:sz w:val="24"/>
                <w:highlight w:val="none"/>
                <w14:textFill>
                  <w14:solidFill>
                    <w14:schemeClr w14:val="tx1"/>
                  </w14:solidFill>
                </w14:textFill>
              </w:rPr>
              <w:t>/a</w:t>
            </w:r>
            <w:r>
              <w:rPr>
                <w:rFonts w:ascii="Times New Roman" w:hAnsi="Times New Roman" w:eastAsia="宋体" w:cs="Times New Roman"/>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污染物浓度为：</w:t>
            </w:r>
            <w:r>
              <w:rPr>
                <w:rFonts w:hint="eastAsia"/>
                <w:color w:val="000000" w:themeColor="text1"/>
                <w:sz w:val="24"/>
                <w:highlight w:val="none"/>
                <w14:textFill>
                  <w14:solidFill>
                    <w14:schemeClr w14:val="tx1"/>
                  </w14:solidFill>
                </w14:textFill>
              </w:rPr>
              <w:t>COD</w:t>
            </w:r>
            <w:r>
              <w:rPr>
                <w:rFonts w:hint="eastAsia"/>
                <w:color w:val="000000" w:themeColor="text1"/>
                <w:sz w:val="24"/>
                <w:highlight w:val="none"/>
                <w:lang w:val="en-US" w:eastAsia="zh-CN"/>
                <w14:textFill>
                  <w14:solidFill>
                    <w14:schemeClr w14:val="tx1"/>
                  </w14:solidFill>
                </w14:textFill>
              </w:rPr>
              <w:t>4</w:t>
            </w:r>
            <w:r>
              <w:rPr>
                <w:rFonts w:hint="eastAsia"/>
                <w:color w:val="000000" w:themeColor="text1"/>
                <w:sz w:val="24"/>
                <w:highlight w:val="none"/>
                <w14:textFill>
                  <w14:solidFill>
                    <w14:schemeClr w14:val="tx1"/>
                  </w14:solidFill>
                </w14:textFill>
              </w:rPr>
              <w:t>00mg/L、SS200mg/L、氨氮25mg/L、TP</w:t>
            </w:r>
            <w:r>
              <w:rPr>
                <w:rFonts w:hint="eastAsia"/>
                <w:color w:val="000000" w:themeColor="text1"/>
                <w:sz w:val="24"/>
                <w:highlight w:val="none"/>
                <w:lang w:val="en-US" w:eastAsia="zh-CN"/>
                <w14:textFill>
                  <w14:solidFill>
                    <w14:schemeClr w14:val="tx1"/>
                  </w14:solidFill>
                </w14:textFill>
              </w:rPr>
              <w:t>4</w:t>
            </w:r>
            <w:r>
              <w:rPr>
                <w:rFonts w:hint="eastAsia"/>
                <w:color w:val="000000" w:themeColor="text1"/>
                <w:sz w:val="24"/>
                <w:highlight w:val="none"/>
                <w14:textFill>
                  <w14:solidFill>
                    <w14:schemeClr w14:val="tx1"/>
                  </w14:solidFill>
                </w14:textFill>
              </w:rPr>
              <w:t>mg/L、TN35mg/L。</w:t>
            </w:r>
          </w:p>
          <w:p w14:paraId="5793BEDB">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本项目废水产生、接管和排放情况见</w:t>
            </w:r>
            <w:r>
              <w:rPr>
                <w:color w:val="000000" w:themeColor="text1"/>
                <w:sz w:val="24"/>
                <w:highlight w:val="none"/>
                <w14:textFill>
                  <w14:solidFill>
                    <w14:schemeClr w14:val="tx1"/>
                  </w14:solidFill>
                </w14:textFill>
              </w:rPr>
              <w:t>下表</w:t>
            </w:r>
            <w:r>
              <w:rPr>
                <w:color w:val="000000" w:themeColor="text1"/>
                <w:sz w:val="24"/>
                <w:highlight w:val="none"/>
                <w:lang w:val="zh-CN"/>
                <w14:textFill>
                  <w14:solidFill>
                    <w14:schemeClr w14:val="tx1"/>
                  </w14:solidFill>
                </w14:textFill>
              </w:rPr>
              <w:t>。</w:t>
            </w:r>
          </w:p>
          <w:p w14:paraId="78ED05DD">
            <w:pPr>
              <w:pStyle w:val="125"/>
              <w:numPr>
                <w:ilvl w:val="0"/>
                <w:numId w:val="0"/>
              </w:numPr>
              <w:spacing w:line="440" w:lineRule="exact"/>
              <w:rPr>
                <w:rFonts w:hint="default"/>
                <w:color w:val="000000" w:themeColor="text1"/>
                <w:sz w:val="24"/>
                <w:highlight w:val="none"/>
                <w14:textFill>
                  <w14:solidFill>
                    <w14:schemeClr w14:val="tx1"/>
                  </w14:solidFill>
                </w14:textFill>
              </w:rPr>
            </w:pPr>
            <w:r>
              <w:rPr>
                <w:rFonts w:hint="default"/>
                <w:color w:val="000000" w:themeColor="text1"/>
                <w:sz w:val="24"/>
                <w:highlight w:val="none"/>
                <w14:textFill>
                  <w14:solidFill>
                    <w14:schemeClr w14:val="tx1"/>
                  </w14:solidFill>
                </w14:textFill>
              </w:rPr>
              <w:t>表4-1</w:t>
            </w:r>
            <w:r>
              <w:rPr>
                <w:rFonts w:hint="eastAsia"/>
                <w:color w:val="000000" w:themeColor="text1"/>
                <w:sz w:val="24"/>
                <w:highlight w:val="none"/>
                <w:lang w:val="en-US" w:eastAsia="zh-CN"/>
                <w14:textFill>
                  <w14:solidFill>
                    <w14:schemeClr w14:val="tx1"/>
                  </w14:solidFill>
                </w14:textFill>
              </w:rPr>
              <w:t xml:space="preserve">7  </w:t>
            </w:r>
            <w:r>
              <w:rPr>
                <w:rFonts w:hint="default"/>
                <w:color w:val="000000" w:themeColor="text1"/>
                <w:sz w:val="24"/>
                <w:highlight w:val="none"/>
                <w14:textFill>
                  <w14:solidFill>
                    <w14:schemeClr w14:val="tx1"/>
                  </w14:solidFill>
                </w14:textFill>
              </w:rPr>
              <w:t>建设项目水污染物产生及排放情况一览表</w:t>
            </w:r>
          </w:p>
          <w:tbl>
            <w:tblPr>
              <w:tblStyle w:val="38"/>
              <w:tblW w:w="8471"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88"/>
              <w:gridCol w:w="794"/>
              <w:gridCol w:w="835"/>
              <w:gridCol w:w="1116"/>
              <w:gridCol w:w="970"/>
              <w:gridCol w:w="896"/>
              <w:gridCol w:w="1321"/>
              <w:gridCol w:w="1005"/>
              <w:gridCol w:w="1046"/>
            </w:tblGrid>
            <w:tr w14:paraId="207EA6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2" w:hRule="atLeast"/>
              </w:trPr>
              <w:tc>
                <w:tcPr>
                  <w:tcW w:w="488" w:type="dxa"/>
                  <w:vMerge w:val="restart"/>
                  <w:vAlign w:val="center"/>
                </w:tcPr>
                <w:p w14:paraId="12A978EF">
                  <w:pPr>
                    <w:pStyle w:val="107"/>
                    <w:rPr>
                      <w:rFonts w:ascii="Times New Roman" w:eastAsia="宋体" w:cs="Times New Roman"/>
                      <w:b/>
                      <w:color w:val="000000" w:themeColor="text1"/>
                      <w:highlight w:val="none"/>
                      <w14:textFill>
                        <w14:solidFill>
                          <w14:schemeClr w14:val="tx1"/>
                        </w14:solidFill>
                      </w14:textFill>
                    </w:rPr>
                  </w:pPr>
                  <w:r>
                    <w:rPr>
                      <w:rFonts w:ascii="Times New Roman" w:eastAsia="宋体" w:cs="Times New Roman"/>
                      <w:b/>
                      <w:color w:val="000000" w:themeColor="text1"/>
                      <w:highlight w:val="none"/>
                      <w14:textFill>
                        <w14:solidFill>
                          <w14:schemeClr w14:val="tx1"/>
                        </w14:solidFill>
                      </w14:textFill>
                    </w:rPr>
                    <w:t>废水</w:t>
                  </w:r>
                </w:p>
                <w:p w14:paraId="0B613B8D">
                  <w:pPr>
                    <w:pStyle w:val="107"/>
                    <w:rPr>
                      <w:rFonts w:ascii="Times New Roman" w:eastAsia="宋体" w:cs="Times New Roman"/>
                      <w:b/>
                      <w:color w:val="000000" w:themeColor="text1"/>
                      <w:highlight w:val="none"/>
                      <w14:textFill>
                        <w14:solidFill>
                          <w14:schemeClr w14:val="tx1"/>
                        </w14:solidFill>
                      </w14:textFill>
                    </w:rPr>
                  </w:pPr>
                  <w:r>
                    <w:rPr>
                      <w:rFonts w:ascii="Times New Roman" w:eastAsia="宋体" w:cs="Times New Roman"/>
                      <w:b/>
                      <w:color w:val="000000" w:themeColor="text1"/>
                      <w:highlight w:val="none"/>
                      <w14:textFill>
                        <w14:solidFill>
                          <w14:schemeClr w14:val="tx1"/>
                        </w14:solidFill>
                      </w14:textFill>
                    </w:rPr>
                    <w:t>来源</w:t>
                  </w:r>
                </w:p>
              </w:tc>
              <w:tc>
                <w:tcPr>
                  <w:tcW w:w="794" w:type="dxa"/>
                  <w:vMerge w:val="restart"/>
                  <w:vAlign w:val="center"/>
                </w:tcPr>
                <w:p w14:paraId="3EDBCDDA">
                  <w:pPr>
                    <w:pStyle w:val="107"/>
                    <w:rPr>
                      <w:rFonts w:ascii="Times New Roman" w:eastAsia="宋体" w:cs="Times New Roman"/>
                      <w:b/>
                      <w:color w:val="000000" w:themeColor="text1"/>
                      <w:highlight w:val="none"/>
                      <w14:textFill>
                        <w14:solidFill>
                          <w14:schemeClr w14:val="tx1"/>
                        </w14:solidFill>
                      </w14:textFill>
                    </w:rPr>
                  </w:pPr>
                  <w:r>
                    <w:rPr>
                      <w:rFonts w:ascii="Times New Roman" w:eastAsia="宋体" w:cs="Times New Roman"/>
                      <w:b/>
                      <w:color w:val="000000" w:themeColor="text1"/>
                      <w:highlight w:val="none"/>
                      <w14:textFill>
                        <w14:solidFill>
                          <w14:schemeClr w14:val="tx1"/>
                        </w14:solidFill>
                      </w14:textFill>
                    </w:rPr>
                    <w:t>废水量</w:t>
                  </w:r>
                </w:p>
                <w:p w14:paraId="79DDFF7D">
                  <w:pPr>
                    <w:pStyle w:val="107"/>
                    <w:rPr>
                      <w:rFonts w:ascii="Times New Roman" w:eastAsia="宋体" w:cs="Times New Roman"/>
                      <w:b/>
                      <w:color w:val="000000" w:themeColor="text1"/>
                      <w:highlight w:val="none"/>
                      <w14:textFill>
                        <w14:solidFill>
                          <w14:schemeClr w14:val="tx1"/>
                        </w14:solidFill>
                      </w14:textFill>
                    </w:rPr>
                  </w:pPr>
                  <w:r>
                    <w:rPr>
                      <w:rFonts w:ascii="Times New Roman" w:eastAsia="宋体" w:cs="Times New Roman"/>
                      <w:b/>
                      <w:color w:val="000000" w:themeColor="text1"/>
                      <w:highlight w:val="none"/>
                      <w14:textFill>
                        <w14:solidFill>
                          <w14:schemeClr w14:val="tx1"/>
                        </w14:solidFill>
                      </w14:textFill>
                    </w:rPr>
                    <w:t>m</w:t>
                  </w:r>
                  <w:r>
                    <w:rPr>
                      <w:rFonts w:ascii="Times New Roman" w:eastAsia="宋体" w:cs="Times New Roman"/>
                      <w:b/>
                      <w:color w:val="000000" w:themeColor="text1"/>
                      <w:highlight w:val="none"/>
                      <w:vertAlign w:val="superscript"/>
                      <w14:textFill>
                        <w14:solidFill>
                          <w14:schemeClr w14:val="tx1"/>
                        </w14:solidFill>
                      </w14:textFill>
                    </w:rPr>
                    <w:t>3</w:t>
                  </w:r>
                  <w:r>
                    <w:rPr>
                      <w:rFonts w:ascii="Times New Roman" w:eastAsia="宋体" w:cs="Times New Roman"/>
                      <w:b/>
                      <w:color w:val="000000" w:themeColor="text1"/>
                      <w:highlight w:val="none"/>
                      <w14:textFill>
                        <w14:solidFill>
                          <w14:schemeClr w14:val="tx1"/>
                        </w14:solidFill>
                      </w14:textFill>
                    </w:rPr>
                    <w:t>/a</w:t>
                  </w:r>
                </w:p>
              </w:tc>
              <w:tc>
                <w:tcPr>
                  <w:tcW w:w="835" w:type="dxa"/>
                  <w:vMerge w:val="restart"/>
                  <w:vAlign w:val="center"/>
                </w:tcPr>
                <w:p w14:paraId="6DCEA0CE">
                  <w:pPr>
                    <w:pStyle w:val="107"/>
                    <w:rPr>
                      <w:rFonts w:ascii="Times New Roman" w:eastAsia="宋体" w:cs="Times New Roman"/>
                      <w:b/>
                      <w:color w:val="000000" w:themeColor="text1"/>
                      <w:highlight w:val="none"/>
                      <w14:textFill>
                        <w14:solidFill>
                          <w14:schemeClr w14:val="tx1"/>
                        </w14:solidFill>
                      </w14:textFill>
                    </w:rPr>
                  </w:pPr>
                  <w:r>
                    <w:rPr>
                      <w:rFonts w:ascii="Times New Roman" w:eastAsia="宋体" w:cs="Times New Roman"/>
                      <w:b/>
                      <w:color w:val="000000" w:themeColor="text1"/>
                      <w:highlight w:val="none"/>
                      <w14:textFill>
                        <w14:solidFill>
                          <w14:schemeClr w14:val="tx1"/>
                        </w14:solidFill>
                      </w14:textFill>
                    </w:rPr>
                    <w:t>污染物</w:t>
                  </w:r>
                </w:p>
                <w:p w14:paraId="01197B43">
                  <w:pPr>
                    <w:pStyle w:val="107"/>
                    <w:rPr>
                      <w:rFonts w:ascii="Times New Roman" w:eastAsia="宋体" w:cs="Times New Roman"/>
                      <w:b/>
                      <w:color w:val="000000" w:themeColor="text1"/>
                      <w:highlight w:val="none"/>
                      <w14:textFill>
                        <w14:solidFill>
                          <w14:schemeClr w14:val="tx1"/>
                        </w14:solidFill>
                      </w14:textFill>
                    </w:rPr>
                  </w:pPr>
                  <w:r>
                    <w:rPr>
                      <w:rFonts w:ascii="Times New Roman" w:eastAsia="宋体" w:cs="Times New Roman"/>
                      <w:b/>
                      <w:color w:val="000000" w:themeColor="text1"/>
                      <w:highlight w:val="none"/>
                      <w14:textFill>
                        <w14:solidFill>
                          <w14:schemeClr w14:val="tx1"/>
                        </w14:solidFill>
                      </w14:textFill>
                    </w:rPr>
                    <w:t>名称</w:t>
                  </w:r>
                </w:p>
              </w:tc>
              <w:tc>
                <w:tcPr>
                  <w:tcW w:w="2086" w:type="dxa"/>
                  <w:gridSpan w:val="2"/>
                  <w:vAlign w:val="center"/>
                </w:tcPr>
                <w:p w14:paraId="32FBC222">
                  <w:pPr>
                    <w:pStyle w:val="107"/>
                    <w:rPr>
                      <w:rFonts w:ascii="Times New Roman" w:eastAsia="宋体" w:cs="Times New Roman"/>
                      <w:b/>
                      <w:color w:val="000000" w:themeColor="text1"/>
                      <w:highlight w:val="none"/>
                      <w14:textFill>
                        <w14:solidFill>
                          <w14:schemeClr w14:val="tx1"/>
                        </w14:solidFill>
                      </w14:textFill>
                    </w:rPr>
                  </w:pPr>
                  <w:r>
                    <w:rPr>
                      <w:rFonts w:ascii="Times New Roman" w:eastAsia="宋体" w:cs="Times New Roman"/>
                      <w:b/>
                      <w:color w:val="000000" w:themeColor="text1"/>
                      <w:highlight w:val="none"/>
                      <w14:textFill>
                        <w14:solidFill>
                          <w14:schemeClr w14:val="tx1"/>
                        </w14:solidFill>
                      </w14:textFill>
                    </w:rPr>
                    <w:t>污染物产生量</w:t>
                  </w:r>
                </w:p>
              </w:tc>
              <w:tc>
                <w:tcPr>
                  <w:tcW w:w="896" w:type="dxa"/>
                  <w:vMerge w:val="restart"/>
                  <w:vAlign w:val="center"/>
                </w:tcPr>
                <w:p w14:paraId="79D31367">
                  <w:pPr>
                    <w:pStyle w:val="107"/>
                    <w:rPr>
                      <w:rFonts w:ascii="Times New Roman" w:eastAsia="宋体" w:cs="Times New Roman"/>
                      <w:b/>
                      <w:color w:val="000000" w:themeColor="text1"/>
                      <w:highlight w:val="none"/>
                      <w14:textFill>
                        <w14:solidFill>
                          <w14:schemeClr w14:val="tx1"/>
                        </w14:solidFill>
                      </w14:textFill>
                    </w:rPr>
                  </w:pPr>
                  <w:r>
                    <w:rPr>
                      <w:rFonts w:ascii="Times New Roman" w:eastAsia="宋体" w:cs="Times New Roman"/>
                      <w:b/>
                      <w:color w:val="000000" w:themeColor="text1"/>
                      <w:highlight w:val="none"/>
                      <w14:textFill>
                        <w14:solidFill>
                          <w14:schemeClr w14:val="tx1"/>
                        </w14:solidFill>
                      </w14:textFill>
                    </w:rPr>
                    <w:t>治理</w:t>
                  </w:r>
                </w:p>
                <w:p w14:paraId="5EB40896">
                  <w:pPr>
                    <w:pStyle w:val="107"/>
                    <w:rPr>
                      <w:rFonts w:ascii="Times New Roman" w:eastAsia="宋体" w:cs="Times New Roman"/>
                      <w:b/>
                      <w:color w:val="000000" w:themeColor="text1"/>
                      <w:highlight w:val="none"/>
                      <w14:textFill>
                        <w14:solidFill>
                          <w14:schemeClr w14:val="tx1"/>
                        </w14:solidFill>
                      </w14:textFill>
                    </w:rPr>
                  </w:pPr>
                  <w:r>
                    <w:rPr>
                      <w:rFonts w:ascii="Times New Roman" w:eastAsia="宋体" w:cs="Times New Roman"/>
                      <w:b/>
                      <w:color w:val="000000" w:themeColor="text1"/>
                      <w:highlight w:val="none"/>
                      <w14:textFill>
                        <w14:solidFill>
                          <w14:schemeClr w14:val="tx1"/>
                        </w14:solidFill>
                      </w14:textFill>
                    </w:rPr>
                    <w:t>措施</w:t>
                  </w:r>
                </w:p>
              </w:tc>
              <w:tc>
                <w:tcPr>
                  <w:tcW w:w="2326" w:type="dxa"/>
                  <w:gridSpan w:val="2"/>
                  <w:vAlign w:val="center"/>
                </w:tcPr>
                <w:p w14:paraId="441F6DA4">
                  <w:pPr>
                    <w:pStyle w:val="107"/>
                    <w:rPr>
                      <w:rFonts w:ascii="Times New Roman" w:eastAsia="宋体" w:cs="Times New Roman"/>
                      <w:b/>
                      <w:color w:val="000000" w:themeColor="text1"/>
                      <w:highlight w:val="none"/>
                      <w14:textFill>
                        <w14:solidFill>
                          <w14:schemeClr w14:val="tx1"/>
                        </w14:solidFill>
                      </w14:textFill>
                    </w:rPr>
                  </w:pPr>
                  <w:r>
                    <w:rPr>
                      <w:rFonts w:ascii="Times New Roman" w:eastAsia="宋体" w:cs="Times New Roman"/>
                      <w:b/>
                      <w:color w:val="000000" w:themeColor="text1"/>
                      <w:highlight w:val="none"/>
                      <w14:textFill>
                        <w14:solidFill>
                          <w14:schemeClr w14:val="tx1"/>
                        </w14:solidFill>
                      </w14:textFill>
                    </w:rPr>
                    <w:t>污染物</w:t>
                  </w:r>
                  <w:r>
                    <w:rPr>
                      <w:rFonts w:hint="eastAsia" w:ascii="Times New Roman" w:eastAsia="宋体" w:cs="Times New Roman"/>
                      <w:b/>
                      <w:color w:val="000000" w:themeColor="text1"/>
                      <w:highlight w:val="none"/>
                      <w14:textFill>
                        <w14:solidFill>
                          <w14:schemeClr w14:val="tx1"/>
                        </w14:solidFill>
                      </w14:textFill>
                    </w:rPr>
                    <w:t>排</w:t>
                  </w:r>
                  <w:r>
                    <w:rPr>
                      <w:rFonts w:ascii="Times New Roman" w:eastAsia="宋体" w:cs="Times New Roman"/>
                      <w:b/>
                      <w:color w:val="000000" w:themeColor="text1"/>
                      <w:highlight w:val="none"/>
                      <w14:textFill>
                        <w14:solidFill>
                          <w14:schemeClr w14:val="tx1"/>
                        </w14:solidFill>
                      </w14:textFill>
                    </w:rPr>
                    <w:t>放量</w:t>
                  </w:r>
                </w:p>
              </w:tc>
              <w:tc>
                <w:tcPr>
                  <w:tcW w:w="1046" w:type="dxa"/>
                  <w:vMerge w:val="restart"/>
                  <w:vAlign w:val="center"/>
                </w:tcPr>
                <w:p w14:paraId="4EC6872A">
                  <w:pPr>
                    <w:pStyle w:val="107"/>
                    <w:rPr>
                      <w:rFonts w:ascii="Times New Roman" w:eastAsia="宋体" w:cs="Times New Roman"/>
                      <w:b/>
                      <w:color w:val="000000" w:themeColor="text1"/>
                      <w:highlight w:val="none"/>
                      <w14:textFill>
                        <w14:solidFill>
                          <w14:schemeClr w14:val="tx1"/>
                        </w14:solidFill>
                      </w14:textFill>
                    </w:rPr>
                  </w:pPr>
                  <w:r>
                    <w:rPr>
                      <w:rFonts w:ascii="Times New Roman" w:eastAsia="宋体" w:cs="Times New Roman"/>
                      <w:b/>
                      <w:color w:val="000000" w:themeColor="text1"/>
                      <w:highlight w:val="none"/>
                      <w14:textFill>
                        <w14:solidFill>
                          <w14:schemeClr w14:val="tx1"/>
                        </w14:solidFill>
                      </w14:textFill>
                    </w:rPr>
                    <w:t>排放方式与去向</w:t>
                  </w:r>
                </w:p>
              </w:tc>
            </w:tr>
            <w:tr w14:paraId="6DCF55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596" w:hRule="atLeast"/>
              </w:trPr>
              <w:tc>
                <w:tcPr>
                  <w:tcW w:w="488" w:type="dxa"/>
                  <w:vMerge w:val="continue"/>
                  <w:tcBorders>
                    <w:bottom w:val="single" w:color="auto" w:sz="4" w:space="0"/>
                  </w:tcBorders>
                  <w:vAlign w:val="center"/>
                </w:tcPr>
                <w:p w14:paraId="60813A01">
                  <w:pPr>
                    <w:pStyle w:val="107"/>
                    <w:rPr>
                      <w:rFonts w:ascii="Times New Roman" w:eastAsia="宋体" w:cs="Times New Roman"/>
                      <w:color w:val="000000" w:themeColor="text1"/>
                      <w:highlight w:val="none"/>
                      <w14:textFill>
                        <w14:solidFill>
                          <w14:schemeClr w14:val="tx1"/>
                        </w14:solidFill>
                      </w14:textFill>
                    </w:rPr>
                  </w:pPr>
                </w:p>
              </w:tc>
              <w:tc>
                <w:tcPr>
                  <w:tcW w:w="794" w:type="dxa"/>
                  <w:vMerge w:val="continue"/>
                  <w:tcBorders>
                    <w:bottom w:val="single" w:color="auto" w:sz="4" w:space="0"/>
                  </w:tcBorders>
                  <w:vAlign w:val="center"/>
                </w:tcPr>
                <w:p w14:paraId="5A3D1501">
                  <w:pPr>
                    <w:pStyle w:val="107"/>
                    <w:rPr>
                      <w:rFonts w:ascii="Times New Roman" w:eastAsia="宋体" w:cs="Times New Roman"/>
                      <w:color w:val="000000" w:themeColor="text1"/>
                      <w:highlight w:val="none"/>
                      <w14:textFill>
                        <w14:solidFill>
                          <w14:schemeClr w14:val="tx1"/>
                        </w14:solidFill>
                      </w14:textFill>
                    </w:rPr>
                  </w:pPr>
                </w:p>
              </w:tc>
              <w:tc>
                <w:tcPr>
                  <w:tcW w:w="835" w:type="dxa"/>
                  <w:vMerge w:val="continue"/>
                  <w:vAlign w:val="center"/>
                </w:tcPr>
                <w:p w14:paraId="66045EED">
                  <w:pPr>
                    <w:pStyle w:val="107"/>
                    <w:rPr>
                      <w:rFonts w:ascii="Times New Roman" w:eastAsia="宋体" w:cs="Times New Roman"/>
                      <w:color w:val="000000" w:themeColor="text1"/>
                      <w:highlight w:val="none"/>
                      <w14:textFill>
                        <w14:solidFill>
                          <w14:schemeClr w14:val="tx1"/>
                        </w14:solidFill>
                      </w14:textFill>
                    </w:rPr>
                  </w:pPr>
                </w:p>
              </w:tc>
              <w:tc>
                <w:tcPr>
                  <w:tcW w:w="1116" w:type="dxa"/>
                  <w:vAlign w:val="center"/>
                </w:tcPr>
                <w:p w14:paraId="39902A85">
                  <w:pPr>
                    <w:pStyle w:val="107"/>
                    <w:rPr>
                      <w:rFonts w:ascii="Times New Roman" w:eastAsia="宋体" w:cs="Times New Roman"/>
                      <w:b/>
                      <w:color w:val="000000" w:themeColor="text1"/>
                      <w:highlight w:val="none"/>
                      <w14:textFill>
                        <w14:solidFill>
                          <w14:schemeClr w14:val="tx1"/>
                        </w14:solidFill>
                      </w14:textFill>
                    </w:rPr>
                  </w:pPr>
                  <w:r>
                    <w:rPr>
                      <w:rFonts w:ascii="Times New Roman" w:eastAsia="宋体" w:cs="Times New Roman"/>
                      <w:b/>
                      <w:color w:val="000000" w:themeColor="text1"/>
                      <w:highlight w:val="none"/>
                      <w14:textFill>
                        <w14:solidFill>
                          <w14:schemeClr w14:val="tx1"/>
                        </w14:solidFill>
                      </w14:textFill>
                    </w:rPr>
                    <w:t>浓度</w:t>
                  </w:r>
                </w:p>
                <w:p w14:paraId="4199D3F2">
                  <w:pPr>
                    <w:pStyle w:val="107"/>
                    <w:rPr>
                      <w:rFonts w:hint="eastAsia" w:ascii="Times New Roman" w:eastAsia="宋体" w:cs="Times New Roman"/>
                      <w:b/>
                      <w:color w:val="000000" w:themeColor="text1"/>
                      <w:highlight w:val="none"/>
                      <w:lang w:eastAsia="zh-CN"/>
                      <w14:textFill>
                        <w14:solidFill>
                          <w14:schemeClr w14:val="tx1"/>
                        </w14:solidFill>
                      </w14:textFill>
                    </w:rPr>
                  </w:pPr>
                  <w:r>
                    <w:rPr>
                      <w:rFonts w:hint="eastAsia" w:ascii="Times New Roman" w:eastAsia="宋体" w:cs="Times New Roman"/>
                      <w:b/>
                      <w:color w:val="000000" w:themeColor="text1"/>
                      <w:highlight w:val="none"/>
                      <w:lang w:eastAsia="zh-CN"/>
                      <w14:textFill>
                        <w14:solidFill>
                          <w14:schemeClr w14:val="tx1"/>
                        </w14:solidFill>
                      </w14:textFill>
                    </w:rPr>
                    <w:t>（</w:t>
                  </w:r>
                  <w:r>
                    <w:rPr>
                      <w:rFonts w:ascii="Times New Roman" w:eastAsia="宋体" w:cs="Times New Roman"/>
                      <w:b/>
                      <w:color w:val="000000" w:themeColor="text1"/>
                      <w:highlight w:val="none"/>
                      <w14:textFill>
                        <w14:solidFill>
                          <w14:schemeClr w14:val="tx1"/>
                        </w14:solidFill>
                      </w14:textFill>
                    </w:rPr>
                    <w:t>mg</w:t>
                  </w:r>
                  <w:r>
                    <w:rPr>
                      <w:rFonts w:hint="eastAsia" w:ascii="Times New Roman" w:eastAsia="宋体" w:cs="Times New Roman"/>
                      <w:b/>
                      <w:color w:val="000000" w:themeColor="text1"/>
                      <w:highlight w:val="none"/>
                      <w14:textFill>
                        <w14:solidFill>
                          <w14:schemeClr w14:val="tx1"/>
                        </w14:solidFill>
                      </w14:textFill>
                    </w:rPr>
                    <w:t>/L</w:t>
                  </w:r>
                  <w:r>
                    <w:rPr>
                      <w:rFonts w:hint="eastAsia" w:ascii="Times New Roman" w:eastAsia="宋体" w:cs="Times New Roman"/>
                      <w:b/>
                      <w:color w:val="000000" w:themeColor="text1"/>
                      <w:highlight w:val="none"/>
                      <w:lang w:eastAsia="zh-CN"/>
                      <w14:textFill>
                        <w14:solidFill>
                          <w14:schemeClr w14:val="tx1"/>
                        </w14:solidFill>
                      </w14:textFill>
                    </w:rPr>
                    <w:t>）</w:t>
                  </w:r>
                </w:p>
              </w:tc>
              <w:tc>
                <w:tcPr>
                  <w:tcW w:w="970" w:type="dxa"/>
                  <w:vAlign w:val="center"/>
                </w:tcPr>
                <w:p w14:paraId="1FF0979F">
                  <w:pPr>
                    <w:pStyle w:val="107"/>
                    <w:rPr>
                      <w:rFonts w:ascii="Times New Roman" w:eastAsia="宋体" w:cs="Times New Roman"/>
                      <w:b/>
                      <w:color w:val="000000" w:themeColor="text1"/>
                      <w:highlight w:val="none"/>
                      <w14:textFill>
                        <w14:solidFill>
                          <w14:schemeClr w14:val="tx1"/>
                        </w14:solidFill>
                      </w14:textFill>
                    </w:rPr>
                  </w:pPr>
                  <w:r>
                    <w:rPr>
                      <w:rFonts w:ascii="Times New Roman" w:eastAsia="宋体" w:cs="Times New Roman"/>
                      <w:b/>
                      <w:color w:val="000000" w:themeColor="text1"/>
                      <w:highlight w:val="none"/>
                      <w14:textFill>
                        <w14:solidFill>
                          <w14:schemeClr w14:val="tx1"/>
                        </w14:solidFill>
                      </w14:textFill>
                    </w:rPr>
                    <w:t>产生量</w:t>
                  </w:r>
                  <w:r>
                    <w:rPr>
                      <w:rFonts w:hint="eastAsia" w:ascii="Times New Roman" w:eastAsia="宋体" w:cs="Times New Roman"/>
                      <w:b/>
                      <w:color w:val="000000" w:themeColor="text1"/>
                      <w:highlight w:val="none"/>
                      <w:lang w:eastAsia="zh-CN"/>
                      <w14:textFill>
                        <w14:solidFill>
                          <w14:schemeClr w14:val="tx1"/>
                        </w14:solidFill>
                      </w14:textFill>
                    </w:rPr>
                    <w:t>（</w:t>
                  </w:r>
                  <w:r>
                    <w:rPr>
                      <w:rFonts w:ascii="Times New Roman" w:eastAsia="宋体" w:cs="Times New Roman"/>
                      <w:b/>
                      <w:color w:val="000000" w:themeColor="text1"/>
                      <w:highlight w:val="none"/>
                      <w14:textFill>
                        <w14:solidFill>
                          <w14:schemeClr w14:val="tx1"/>
                        </w14:solidFill>
                      </w14:textFill>
                    </w:rPr>
                    <w:t>t/a</w:t>
                  </w:r>
                  <w:r>
                    <w:rPr>
                      <w:rFonts w:hint="eastAsia" w:ascii="Times New Roman" w:eastAsia="宋体" w:cs="Times New Roman"/>
                      <w:b/>
                      <w:color w:val="000000" w:themeColor="text1"/>
                      <w:highlight w:val="none"/>
                      <w:lang w:eastAsia="zh-CN"/>
                      <w14:textFill>
                        <w14:solidFill>
                          <w14:schemeClr w14:val="tx1"/>
                        </w14:solidFill>
                      </w14:textFill>
                    </w:rPr>
                    <w:t>）</w:t>
                  </w:r>
                </w:p>
              </w:tc>
              <w:tc>
                <w:tcPr>
                  <w:tcW w:w="896" w:type="dxa"/>
                  <w:vMerge w:val="continue"/>
                  <w:vAlign w:val="center"/>
                </w:tcPr>
                <w:p w14:paraId="16CDAF28">
                  <w:pPr>
                    <w:pStyle w:val="107"/>
                    <w:rPr>
                      <w:rFonts w:ascii="Times New Roman" w:eastAsia="宋体" w:cs="Times New Roman"/>
                      <w:b/>
                      <w:color w:val="000000" w:themeColor="text1"/>
                      <w:highlight w:val="none"/>
                      <w14:textFill>
                        <w14:solidFill>
                          <w14:schemeClr w14:val="tx1"/>
                        </w14:solidFill>
                      </w14:textFill>
                    </w:rPr>
                  </w:pPr>
                </w:p>
              </w:tc>
              <w:tc>
                <w:tcPr>
                  <w:tcW w:w="1321" w:type="dxa"/>
                  <w:vAlign w:val="center"/>
                </w:tcPr>
                <w:p w14:paraId="079773CF">
                  <w:pPr>
                    <w:pStyle w:val="107"/>
                    <w:rPr>
                      <w:rFonts w:ascii="Times New Roman" w:eastAsia="宋体" w:cs="Times New Roman"/>
                      <w:b/>
                      <w:color w:val="000000" w:themeColor="text1"/>
                      <w:highlight w:val="none"/>
                      <w14:textFill>
                        <w14:solidFill>
                          <w14:schemeClr w14:val="tx1"/>
                        </w14:solidFill>
                      </w14:textFill>
                    </w:rPr>
                  </w:pPr>
                  <w:r>
                    <w:rPr>
                      <w:rFonts w:ascii="Times New Roman" w:eastAsia="宋体" w:cs="Times New Roman"/>
                      <w:b/>
                      <w:color w:val="000000" w:themeColor="text1"/>
                      <w:highlight w:val="none"/>
                      <w14:textFill>
                        <w14:solidFill>
                          <w14:schemeClr w14:val="tx1"/>
                        </w14:solidFill>
                      </w14:textFill>
                    </w:rPr>
                    <w:t>浓度</w:t>
                  </w:r>
                </w:p>
                <w:p w14:paraId="220D1EF2">
                  <w:pPr>
                    <w:pStyle w:val="107"/>
                    <w:rPr>
                      <w:rFonts w:hint="eastAsia" w:ascii="Times New Roman" w:eastAsia="宋体" w:cs="Times New Roman"/>
                      <w:b/>
                      <w:color w:val="000000" w:themeColor="text1"/>
                      <w:highlight w:val="none"/>
                      <w:lang w:eastAsia="zh-CN"/>
                      <w14:textFill>
                        <w14:solidFill>
                          <w14:schemeClr w14:val="tx1"/>
                        </w14:solidFill>
                      </w14:textFill>
                    </w:rPr>
                  </w:pPr>
                  <w:r>
                    <w:rPr>
                      <w:rFonts w:hint="eastAsia" w:ascii="Times New Roman" w:eastAsia="宋体" w:cs="Times New Roman"/>
                      <w:b/>
                      <w:color w:val="000000" w:themeColor="text1"/>
                      <w:highlight w:val="none"/>
                      <w:lang w:eastAsia="zh-CN"/>
                      <w14:textFill>
                        <w14:solidFill>
                          <w14:schemeClr w14:val="tx1"/>
                        </w14:solidFill>
                      </w14:textFill>
                    </w:rPr>
                    <w:t>（</w:t>
                  </w:r>
                  <w:r>
                    <w:rPr>
                      <w:rFonts w:ascii="Times New Roman" w:eastAsia="宋体" w:cs="Times New Roman"/>
                      <w:b/>
                      <w:color w:val="000000" w:themeColor="text1"/>
                      <w:highlight w:val="none"/>
                      <w14:textFill>
                        <w14:solidFill>
                          <w14:schemeClr w14:val="tx1"/>
                        </w14:solidFill>
                      </w14:textFill>
                    </w:rPr>
                    <w:t>mg/L</w:t>
                  </w:r>
                  <w:r>
                    <w:rPr>
                      <w:rFonts w:hint="eastAsia" w:ascii="Times New Roman" w:eastAsia="宋体" w:cs="Times New Roman"/>
                      <w:b/>
                      <w:color w:val="000000" w:themeColor="text1"/>
                      <w:highlight w:val="none"/>
                      <w:lang w:eastAsia="zh-CN"/>
                      <w14:textFill>
                        <w14:solidFill>
                          <w14:schemeClr w14:val="tx1"/>
                        </w14:solidFill>
                      </w14:textFill>
                    </w:rPr>
                    <w:t>）</w:t>
                  </w:r>
                </w:p>
              </w:tc>
              <w:tc>
                <w:tcPr>
                  <w:tcW w:w="1005" w:type="dxa"/>
                  <w:vAlign w:val="center"/>
                </w:tcPr>
                <w:p w14:paraId="56F21EDD">
                  <w:pPr>
                    <w:pStyle w:val="107"/>
                    <w:rPr>
                      <w:rFonts w:ascii="Times New Roman" w:eastAsia="宋体" w:cs="Times New Roman"/>
                      <w:b/>
                      <w:color w:val="000000" w:themeColor="text1"/>
                      <w:highlight w:val="none"/>
                      <w14:textFill>
                        <w14:solidFill>
                          <w14:schemeClr w14:val="tx1"/>
                        </w14:solidFill>
                      </w14:textFill>
                    </w:rPr>
                  </w:pPr>
                  <w:r>
                    <w:rPr>
                      <w:rFonts w:ascii="Times New Roman" w:eastAsia="宋体" w:cs="Times New Roman"/>
                      <w:b/>
                      <w:color w:val="000000" w:themeColor="text1"/>
                      <w:highlight w:val="none"/>
                      <w14:textFill>
                        <w14:solidFill>
                          <w14:schemeClr w14:val="tx1"/>
                        </w14:solidFill>
                      </w14:textFill>
                    </w:rPr>
                    <w:t>排放量</w:t>
                  </w:r>
                  <w:r>
                    <w:rPr>
                      <w:rFonts w:hint="eastAsia" w:ascii="Times New Roman" w:eastAsia="宋体" w:cs="Times New Roman"/>
                      <w:b/>
                      <w:color w:val="000000" w:themeColor="text1"/>
                      <w:highlight w:val="none"/>
                      <w:lang w:eastAsia="zh-CN"/>
                      <w14:textFill>
                        <w14:solidFill>
                          <w14:schemeClr w14:val="tx1"/>
                        </w14:solidFill>
                      </w14:textFill>
                    </w:rPr>
                    <w:t>（</w:t>
                  </w:r>
                  <w:r>
                    <w:rPr>
                      <w:rFonts w:ascii="Times New Roman" w:eastAsia="宋体" w:cs="Times New Roman"/>
                      <w:b/>
                      <w:color w:val="000000" w:themeColor="text1"/>
                      <w:highlight w:val="none"/>
                      <w14:textFill>
                        <w14:solidFill>
                          <w14:schemeClr w14:val="tx1"/>
                        </w14:solidFill>
                      </w14:textFill>
                    </w:rPr>
                    <w:t>t/a</w:t>
                  </w:r>
                  <w:r>
                    <w:rPr>
                      <w:rFonts w:hint="eastAsia" w:ascii="Times New Roman" w:eastAsia="宋体" w:cs="Times New Roman"/>
                      <w:b/>
                      <w:color w:val="000000" w:themeColor="text1"/>
                      <w:highlight w:val="none"/>
                      <w:lang w:eastAsia="zh-CN"/>
                      <w14:textFill>
                        <w14:solidFill>
                          <w14:schemeClr w14:val="tx1"/>
                        </w14:solidFill>
                      </w14:textFill>
                    </w:rPr>
                    <w:t>）</w:t>
                  </w:r>
                </w:p>
              </w:tc>
              <w:tc>
                <w:tcPr>
                  <w:tcW w:w="1046" w:type="dxa"/>
                  <w:vMerge w:val="continue"/>
                  <w:vAlign w:val="center"/>
                </w:tcPr>
                <w:p w14:paraId="0BDB5DA0">
                  <w:pPr>
                    <w:pStyle w:val="107"/>
                    <w:rPr>
                      <w:rFonts w:ascii="Times New Roman" w:eastAsia="宋体" w:cs="Times New Roman"/>
                      <w:color w:val="000000" w:themeColor="text1"/>
                      <w:highlight w:val="none"/>
                      <w14:textFill>
                        <w14:solidFill>
                          <w14:schemeClr w14:val="tx1"/>
                        </w14:solidFill>
                      </w14:textFill>
                    </w:rPr>
                  </w:pPr>
                </w:p>
              </w:tc>
            </w:tr>
            <w:tr w14:paraId="3661DB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2" w:hRule="atLeast"/>
              </w:trPr>
              <w:tc>
                <w:tcPr>
                  <w:tcW w:w="488" w:type="dxa"/>
                  <w:vMerge w:val="restart"/>
                  <w:vAlign w:val="center"/>
                </w:tcPr>
                <w:p w14:paraId="4FA1210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生活</w:t>
                  </w:r>
                </w:p>
                <w:p w14:paraId="5A1C2AF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污水</w:t>
                  </w:r>
                </w:p>
              </w:tc>
              <w:tc>
                <w:tcPr>
                  <w:tcW w:w="794" w:type="dxa"/>
                  <w:vMerge w:val="restart"/>
                  <w:vAlign w:val="center"/>
                </w:tcPr>
                <w:p w14:paraId="147EA26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192</w:t>
                  </w:r>
                </w:p>
              </w:tc>
              <w:tc>
                <w:tcPr>
                  <w:tcW w:w="835" w:type="dxa"/>
                  <w:vAlign w:val="center"/>
                </w:tcPr>
                <w:p w14:paraId="26BECD1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COD</w:t>
                  </w:r>
                </w:p>
              </w:tc>
              <w:tc>
                <w:tcPr>
                  <w:tcW w:w="1116" w:type="dxa"/>
                  <w:vAlign w:val="center"/>
                </w:tcPr>
                <w:p w14:paraId="35363BE0">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400</w:t>
                  </w:r>
                </w:p>
              </w:tc>
              <w:tc>
                <w:tcPr>
                  <w:tcW w:w="970" w:type="dxa"/>
                  <w:vAlign w:val="center"/>
                </w:tcPr>
                <w:p w14:paraId="6DFB2408">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0.0768</w:t>
                  </w:r>
                </w:p>
              </w:tc>
              <w:tc>
                <w:tcPr>
                  <w:tcW w:w="896" w:type="dxa"/>
                  <w:vMerge w:val="restart"/>
                  <w:vAlign w:val="center"/>
                </w:tcPr>
                <w:p w14:paraId="090B1CFC">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化粪池</w:t>
                  </w:r>
                </w:p>
              </w:tc>
              <w:tc>
                <w:tcPr>
                  <w:tcW w:w="1321" w:type="dxa"/>
                  <w:vAlign w:val="center"/>
                </w:tcPr>
                <w:p w14:paraId="71E61690">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300</w:t>
                  </w:r>
                </w:p>
              </w:tc>
              <w:tc>
                <w:tcPr>
                  <w:tcW w:w="1005" w:type="dxa"/>
                  <w:vAlign w:val="center"/>
                </w:tcPr>
                <w:p w14:paraId="7F841C48">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0.0576</w:t>
                  </w:r>
                </w:p>
              </w:tc>
              <w:tc>
                <w:tcPr>
                  <w:tcW w:w="1046" w:type="dxa"/>
                  <w:vMerge w:val="restart"/>
                  <w:vAlign w:val="center"/>
                </w:tcPr>
                <w:p w14:paraId="5572AA1D">
                  <w:pPr>
                    <w:pStyle w:val="107"/>
                    <w:rPr>
                      <w:rFonts w:hint="eastAsia" w:ascii="Times New Roman" w:eastAsia="宋体" w:cs="Times New Roman"/>
                      <w:color w:val="000000" w:themeColor="text1"/>
                      <w:highlight w:val="none"/>
                      <w:lang w:eastAsia="zh-CN"/>
                      <w14:textFill>
                        <w14:solidFill>
                          <w14:schemeClr w14:val="tx1"/>
                        </w14:solidFill>
                      </w14:textFill>
                    </w:rPr>
                  </w:pPr>
                  <w:r>
                    <w:rPr>
                      <w:rFonts w:hint="eastAsia" w:ascii="Times New Roman" w:eastAsia="宋体" w:cs="Times New Roman"/>
                      <w:color w:val="000000" w:themeColor="text1"/>
                      <w:highlight w:val="none"/>
                      <w14:textFill>
                        <w14:solidFill>
                          <w14:schemeClr w14:val="tx1"/>
                        </w14:solidFill>
                      </w14:textFill>
                    </w:rPr>
                    <w:t>接管至</w:t>
                  </w:r>
                  <w:r>
                    <w:rPr>
                      <w:rFonts w:hint="eastAsia" w:ascii="Times New Roman" w:eastAsia="宋体" w:cs="Times New Roman"/>
                      <w:color w:val="000000" w:themeColor="text1"/>
                      <w:highlight w:val="none"/>
                      <w:lang w:eastAsia="zh-CN"/>
                      <w14:textFill>
                        <w14:solidFill>
                          <w14:schemeClr w14:val="tx1"/>
                        </w14:solidFill>
                      </w14:textFill>
                    </w:rPr>
                    <w:t>禄口污水处理厂</w:t>
                  </w:r>
                </w:p>
              </w:tc>
            </w:tr>
            <w:tr w14:paraId="61F776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2" w:hRule="atLeast"/>
              </w:trPr>
              <w:tc>
                <w:tcPr>
                  <w:tcW w:w="488" w:type="dxa"/>
                  <w:vMerge w:val="continue"/>
                  <w:vAlign w:val="center"/>
                </w:tcPr>
                <w:p w14:paraId="53BCA55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794" w:type="dxa"/>
                  <w:vMerge w:val="continue"/>
                  <w:vAlign w:val="center"/>
                </w:tcPr>
                <w:p w14:paraId="5BB1ABA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835" w:type="dxa"/>
                  <w:vAlign w:val="center"/>
                </w:tcPr>
                <w:p w14:paraId="4455C0A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SS</w:t>
                  </w:r>
                </w:p>
              </w:tc>
              <w:tc>
                <w:tcPr>
                  <w:tcW w:w="1116" w:type="dxa"/>
                  <w:vAlign w:val="center"/>
                </w:tcPr>
                <w:p w14:paraId="3EB5BE07">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200</w:t>
                  </w:r>
                </w:p>
              </w:tc>
              <w:tc>
                <w:tcPr>
                  <w:tcW w:w="970" w:type="dxa"/>
                  <w:vAlign w:val="center"/>
                </w:tcPr>
                <w:p w14:paraId="7639C49D">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0.0384</w:t>
                  </w:r>
                </w:p>
              </w:tc>
              <w:tc>
                <w:tcPr>
                  <w:tcW w:w="896" w:type="dxa"/>
                  <w:vMerge w:val="continue"/>
                  <w:vAlign w:val="center"/>
                </w:tcPr>
                <w:p w14:paraId="2F24FC4E">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p>
              </w:tc>
              <w:tc>
                <w:tcPr>
                  <w:tcW w:w="1321" w:type="dxa"/>
                  <w:vAlign w:val="center"/>
                </w:tcPr>
                <w:p w14:paraId="68ACB80E">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150</w:t>
                  </w:r>
                </w:p>
              </w:tc>
              <w:tc>
                <w:tcPr>
                  <w:tcW w:w="1005" w:type="dxa"/>
                  <w:vAlign w:val="center"/>
                </w:tcPr>
                <w:p w14:paraId="26D8A99F">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0.0288</w:t>
                  </w:r>
                </w:p>
              </w:tc>
              <w:tc>
                <w:tcPr>
                  <w:tcW w:w="1046" w:type="dxa"/>
                  <w:vMerge w:val="continue"/>
                  <w:vAlign w:val="center"/>
                </w:tcPr>
                <w:p w14:paraId="69F8E79B">
                  <w:pPr>
                    <w:pStyle w:val="107"/>
                    <w:rPr>
                      <w:rFonts w:ascii="Times New Roman" w:eastAsia="宋体" w:cs="Times New Roman"/>
                      <w:color w:val="000000" w:themeColor="text1"/>
                      <w:highlight w:val="none"/>
                      <w14:textFill>
                        <w14:solidFill>
                          <w14:schemeClr w14:val="tx1"/>
                        </w14:solidFill>
                      </w14:textFill>
                    </w:rPr>
                  </w:pPr>
                </w:p>
              </w:tc>
            </w:tr>
            <w:tr w14:paraId="45DCF3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2" w:hRule="atLeast"/>
              </w:trPr>
              <w:tc>
                <w:tcPr>
                  <w:tcW w:w="488" w:type="dxa"/>
                  <w:vMerge w:val="continue"/>
                  <w:vAlign w:val="center"/>
                </w:tcPr>
                <w:p w14:paraId="174EF6E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794" w:type="dxa"/>
                  <w:vMerge w:val="continue"/>
                  <w:vAlign w:val="center"/>
                </w:tcPr>
                <w:p w14:paraId="5D57747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835" w:type="dxa"/>
                  <w:vAlign w:val="center"/>
                </w:tcPr>
                <w:p w14:paraId="0E73A1D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氨氮</w:t>
                  </w:r>
                </w:p>
              </w:tc>
              <w:tc>
                <w:tcPr>
                  <w:tcW w:w="1116" w:type="dxa"/>
                  <w:vAlign w:val="center"/>
                </w:tcPr>
                <w:p w14:paraId="743E7EC4">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w:t>
                  </w:r>
                </w:p>
              </w:tc>
              <w:tc>
                <w:tcPr>
                  <w:tcW w:w="970" w:type="dxa"/>
                  <w:vAlign w:val="center"/>
                </w:tcPr>
                <w:p w14:paraId="57B4C37D">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0.0048</w:t>
                  </w:r>
                </w:p>
              </w:tc>
              <w:tc>
                <w:tcPr>
                  <w:tcW w:w="896" w:type="dxa"/>
                  <w:vMerge w:val="continue"/>
                  <w:vAlign w:val="center"/>
                </w:tcPr>
                <w:p w14:paraId="313991AE">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p>
              </w:tc>
              <w:tc>
                <w:tcPr>
                  <w:tcW w:w="1321" w:type="dxa"/>
                  <w:vAlign w:val="center"/>
                </w:tcPr>
                <w:p w14:paraId="2BB791F2">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w:t>
                  </w:r>
                </w:p>
              </w:tc>
              <w:tc>
                <w:tcPr>
                  <w:tcW w:w="1005" w:type="dxa"/>
                  <w:vAlign w:val="center"/>
                </w:tcPr>
                <w:p w14:paraId="558A4A9D">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0.0048</w:t>
                  </w:r>
                </w:p>
              </w:tc>
              <w:tc>
                <w:tcPr>
                  <w:tcW w:w="1046" w:type="dxa"/>
                  <w:vMerge w:val="continue"/>
                  <w:vAlign w:val="center"/>
                </w:tcPr>
                <w:p w14:paraId="1189533E">
                  <w:pPr>
                    <w:pStyle w:val="107"/>
                    <w:rPr>
                      <w:rFonts w:ascii="Times New Roman" w:eastAsia="宋体" w:cs="Times New Roman"/>
                      <w:color w:val="000000" w:themeColor="text1"/>
                      <w:highlight w:val="none"/>
                      <w14:textFill>
                        <w14:solidFill>
                          <w14:schemeClr w14:val="tx1"/>
                        </w14:solidFill>
                      </w14:textFill>
                    </w:rPr>
                  </w:pPr>
                </w:p>
              </w:tc>
            </w:tr>
            <w:tr w14:paraId="65FE9B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2" w:hRule="atLeast"/>
              </w:trPr>
              <w:tc>
                <w:tcPr>
                  <w:tcW w:w="488" w:type="dxa"/>
                  <w:vMerge w:val="continue"/>
                  <w:vAlign w:val="center"/>
                </w:tcPr>
                <w:p w14:paraId="24A6AD6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794" w:type="dxa"/>
                  <w:vMerge w:val="continue"/>
                  <w:vAlign w:val="center"/>
                </w:tcPr>
                <w:p w14:paraId="642EEA3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835" w:type="dxa"/>
                  <w:vAlign w:val="center"/>
                </w:tcPr>
                <w:p w14:paraId="7AE06BC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总磷</w:t>
                  </w:r>
                </w:p>
              </w:tc>
              <w:tc>
                <w:tcPr>
                  <w:tcW w:w="1116" w:type="dxa"/>
                  <w:vAlign w:val="center"/>
                </w:tcPr>
                <w:p w14:paraId="43E60C3D">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w:t>
                  </w:r>
                </w:p>
              </w:tc>
              <w:tc>
                <w:tcPr>
                  <w:tcW w:w="970" w:type="dxa"/>
                  <w:vAlign w:val="center"/>
                </w:tcPr>
                <w:p w14:paraId="6516CA23">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0.000</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8</w:t>
                  </w:r>
                </w:p>
              </w:tc>
              <w:tc>
                <w:tcPr>
                  <w:tcW w:w="896" w:type="dxa"/>
                  <w:vMerge w:val="continue"/>
                  <w:vAlign w:val="center"/>
                </w:tcPr>
                <w:p w14:paraId="452AF95F">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p>
              </w:tc>
              <w:tc>
                <w:tcPr>
                  <w:tcW w:w="1321" w:type="dxa"/>
                  <w:vAlign w:val="center"/>
                </w:tcPr>
                <w:p w14:paraId="5D5E6684">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w:t>
                  </w:r>
                </w:p>
              </w:tc>
              <w:tc>
                <w:tcPr>
                  <w:tcW w:w="1005" w:type="dxa"/>
                  <w:vAlign w:val="center"/>
                </w:tcPr>
                <w:p w14:paraId="2D34AB62">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0.000</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8</w:t>
                  </w:r>
                </w:p>
              </w:tc>
              <w:tc>
                <w:tcPr>
                  <w:tcW w:w="1046" w:type="dxa"/>
                  <w:vMerge w:val="continue"/>
                  <w:vAlign w:val="center"/>
                </w:tcPr>
                <w:p w14:paraId="69222326">
                  <w:pPr>
                    <w:pStyle w:val="107"/>
                    <w:rPr>
                      <w:rFonts w:ascii="Times New Roman" w:eastAsia="宋体" w:cs="Times New Roman"/>
                      <w:color w:val="000000" w:themeColor="text1"/>
                      <w:highlight w:val="none"/>
                      <w14:textFill>
                        <w14:solidFill>
                          <w14:schemeClr w14:val="tx1"/>
                        </w14:solidFill>
                      </w14:textFill>
                    </w:rPr>
                  </w:pPr>
                </w:p>
              </w:tc>
            </w:tr>
            <w:tr w14:paraId="3FEC6A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2" w:hRule="atLeast"/>
              </w:trPr>
              <w:tc>
                <w:tcPr>
                  <w:tcW w:w="488" w:type="dxa"/>
                  <w:vMerge w:val="continue"/>
                  <w:vAlign w:val="center"/>
                </w:tcPr>
                <w:p w14:paraId="2D417F2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794" w:type="dxa"/>
                  <w:vMerge w:val="continue"/>
                  <w:vAlign w:val="center"/>
                </w:tcPr>
                <w:p w14:paraId="6A7475A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835" w:type="dxa"/>
                  <w:vAlign w:val="center"/>
                </w:tcPr>
                <w:p w14:paraId="3487BB1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总氮</w:t>
                  </w:r>
                </w:p>
              </w:tc>
              <w:tc>
                <w:tcPr>
                  <w:tcW w:w="1116" w:type="dxa"/>
                  <w:vAlign w:val="center"/>
                </w:tcPr>
                <w:p w14:paraId="600FD185">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35</w:t>
                  </w:r>
                </w:p>
              </w:tc>
              <w:tc>
                <w:tcPr>
                  <w:tcW w:w="970" w:type="dxa"/>
                  <w:vAlign w:val="center"/>
                </w:tcPr>
                <w:p w14:paraId="48573060">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0.0067</w:t>
                  </w:r>
                </w:p>
              </w:tc>
              <w:tc>
                <w:tcPr>
                  <w:tcW w:w="896" w:type="dxa"/>
                  <w:vMerge w:val="continue"/>
                  <w:vAlign w:val="center"/>
                </w:tcPr>
                <w:p w14:paraId="3EE44F11">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p>
              </w:tc>
              <w:tc>
                <w:tcPr>
                  <w:tcW w:w="1321" w:type="dxa"/>
                  <w:vAlign w:val="center"/>
                </w:tcPr>
                <w:p w14:paraId="1EB233D6">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35</w:t>
                  </w:r>
                </w:p>
              </w:tc>
              <w:tc>
                <w:tcPr>
                  <w:tcW w:w="1005" w:type="dxa"/>
                  <w:vAlign w:val="center"/>
                </w:tcPr>
                <w:p w14:paraId="419E0B24">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0.0067</w:t>
                  </w:r>
                </w:p>
              </w:tc>
              <w:tc>
                <w:tcPr>
                  <w:tcW w:w="1046" w:type="dxa"/>
                  <w:vMerge w:val="continue"/>
                  <w:vAlign w:val="center"/>
                </w:tcPr>
                <w:p w14:paraId="79A2FF0B">
                  <w:pPr>
                    <w:pStyle w:val="107"/>
                    <w:rPr>
                      <w:rFonts w:ascii="Times New Roman" w:eastAsia="宋体" w:cs="Times New Roman"/>
                      <w:color w:val="000000" w:themeColor="text1"/>
                      <w:highlight w:val="none"/>
                      <w14:textFill>
                        <w14:solidFill>
                          <w14:schemeClr w14:val="tx1"/>
                        </w14:solidFill>
                      </w14:textFill>
                    </w:rPr>
                  </w:pPr>
                </w:p>
              </w:tc>
            </w:tr>
          </w:tbl>
          <w:p w14:paraId="5B9BB43B">
            <w:pPr>
              <w:pStyle w:val="125"/>
              <w:numPr>
                <w:ilvl w:val="0"/>
                <w:numId w:val="0"/>
              </w:numPr>
              <w:spacing w:line="440" w:lineRule="exact"/>
              <w:rPr>
                <w:rFonts w:hint="default"/>
                <w:color w:val="000000" w:themeColor="text1"/>
                <w:sz w:val="24"/>
                <w:highlight w:val="none"/>
                <w14:textFill>
                  <w14:solidFill>
                    <w14:schemeClr w14:val="tx1"/>
                  </w14:solidFill>
                </w14:textFill>
              </w:rPr>
            </w:pPr>
            <w:r>
              <w:rPr>
                <w:rFonts w:hint="default"/>
                <w:color w:val="000000" w:themeColor="text1"/>
                <w:sz w:val="24"/>
                <w:highlight w:val="none"/>
                <w14:textFill>
                  <w14:solidFill>
                    <w14:schemeClr w14:val="tx1"/>
                  </w14:solidFill>
                </w14:textFill>
              </w:rPr>
              <w:t>表4-1</w:t>
            </w:r>
            <w:r>
              <w:rPr>
                <w:rFonts w:hint="eastAsia"/>
                <w:color w:val="000000" w:themeColor="text1"/>
                <w:sz w:val="24"/>
                <w:highlight w:val="none"/>
                <w:lang w:val="en-US" w:eastAsia="zh-CN"/>
                <w14:textFill>
                  <w14:solidFill>
                    <w14:schemeClr w14:val="tx1"/>
                  </w14:solidFill>
                </w14:textFill>
              </w:rPr>
              <w:t xml:space="preserve">8  </w:t>
            </w:r>
            <w:r>
              <w:rPr>
                <w:color w:val="000000" w:themeColor="text1"/>
                <w:sz w:val="24"/>
                <w:highlight w:val="none"/>
                <w14:textFill>
                  <w14:solidFill>
                    <w14:schemeClr w14:val="tx1"/>
                  </w14:solidFill>
                </w14:textFill>
              </w:rPr>
              <w:t>本项目</w:t>
            </w:r>
            <w:r>
              <w:rPr>
                <w:rFonts w:hint="default"/>
                <w:color w:val="000000" w:themeColor="text1"/>
                <w:sz w:val="24"/>
                <w:highlight w:val="none"/>
                <w14:textFill>
                  <w14:solidFill>
                    <w14:schemeClr w14:val="tx1"/>
                  </w14:solidFill>
                </w14:textFill>
              </w:rPr>
              <w:t>污水接管及最终排放情况表</w:t>
            </w:r>
          </w:p>
          <w:tbl>
            <w:tblPr>
              <w:tblStyle w:val="39"/>
              <w:tblW w:w="84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14"/>
              <w:gridCol w:w="1138"/>
              <w:gridCol w:w="1085"/>
              <w:gridCol w:w="1402"/>
              <w:gridCol w:w="1545"/>
              <w:gridCol w:w="1085"/>
              <w:gridCol w:w="1402"/>
            </w:tblGrid>
            <w:tr w14:paraId="2C0F0F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814" w:type="dxa"/>
                  <w:vMerge w:val="restart"/>
                  <w:tcBorders>
                    <w:tl2br w:val="nil"/>
                    <w:tr2bl w:val="nil"/>
                  </w:tcBorders>
                  <w:vAlign w:val="center"/>
                </w:tcPr>
                <w:p w14:paraId="72C3CAE2">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废水量（t/a）</w:t>
                  </w:r>
                </w:p>
              </w:tc>
              <w:tc>
                <w:tcPr>
                  <w:tcW w:w="1138" w:type="dxa"/>
                  <w:vMerge w:val="restart"/>
                  <w:tcBorders>
                    <w:tl2br w:val="nil"/>
                    <w:tr2bl w:val="nil"/>
                  </w:tcBorders>
                  <w:vAlign w:val="center"/>
                </w:tcPr>
                <w:p w14:paraId="0B084A25">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污染物名称</w:t>
                  </w:r>
                </w:p>
              </w:tc>
              <w:tc>
                <w:tcPr>
                  <w:tcW w:w="4032" w:type="dxa"/>
                  <w:gridSpan w:val="3"/>
                  <w:tcBorders>
                    <w:tl2br w:val="nil"/>
                    <w:tr2bl w:val="nil"/>
                  </w:tcBorders>
                  <w:vAlign w:val="center"/>
                </w:tcPr>
                <w:p w14:paraId="3A03DF95">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接管情况</w:t>
                  </w:r>
                </w:p>
              </w:tc>
              <w:tc>
                <w:tcPr>
                  <w:tcW w:w="2487" w:type="dxa"/>
                  <w:gridSpan w:val="2"/>
                  <w:tcBorders>
                    <w:tl2br w:val="nil"/>
                    <w:tr2bl w:val="nil"/>
                  </w:tcBorders>
                  <w:vAlign w:val="center"/>
                </w:tcPr>
                <w:p w14:paraId="13A7561E">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最终排放情况</w:t>
                  </w:r>
                </w:p>
              </w:tc>
            </w:tr>
            <w:tr w14:paraId="2CC59A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14" w:type="dxa"/>
                  <w:vMerge w:val="continue"/>
                  <w:tcBorders>
                    <w:tl2br w:val="nil"/>
                    <w:tr2bl w:val="nil"/>
                  </w:tcBorders>
                  <w:vAlign w:val="center"/>
                </w:tcPr>
                <w:p w14:paraId="5B0983A2">
                  <w:pPr>
                    <w:snapToGrid w:val="0"/>
                    <w:spacing w:line="240" w:lineRule="exact"/>
                    <w:jc w:val="center"/>
                    <w:rPr>
                      <w:b/>
                      <w:bCs/>
                      <w:color w:val="000000" w:themeColor="text1"/>
                      <w:szCs w:val="21"/>
                      <w:highlight w:val="none"/>
                      <w14:textFill>
                        <w14:solidFill>
                          <w14:schemeClr w14:val="tx1"/>
                        </w14:solidFill>
                      </w14:textFill>
                    </w:rPr>
                  </w:pPr>
                </w:p>
              </w:tc>
              <w:tc>
                <w:tcPr>
                  <w:tcW w:w="1138" w:type="dxa"/>
                  <w:vMerge w:val="continue"/>
                  <w:tcBorders>
                    <w:tl2br w:val="nil"/>
                    <w:tr2bl w:val="nil"/>
                  </w:tcBorders>
                  <w:vAlign w:val="center"/>
                </w:tcPr>
                <w:p w14:paraId="79098513">
                  <w:pPr>
                    <w:snapToGrid w:val="0"/>
                    <w:spacing w:line="240" w:lineRule="exact"/>
                    <w:jc w:val="center"/>
                    <w:rPr>
                      <w:b/>
                      <w:bCs/>
                      <w:color w:val="000000" w:themeColor="text1"/>
                      <w:szCs w:val="21"/>
                      <w:highlight w:val="none"/>
                      <w14:textFill>
                        <w14:solidFill>
                          <w14:schemeClr w14:val="tx1"/>
                        </w14:solidFill>
                      </w14:textFill>
                    </w:rPr>
                  </w:pPr>
                </w:p>
              </w:tc>
              <w:tc>
                <w:tcPr>
                  <w:tcW w:w="1085" w:type="dxa"/>
                  <w:tcBorders>
                    <w:tl2br w:val="nil"/>
                    <w:tr2bl w:val="nil"/>
                  </w:tcBorders>
                  <w:vAlign w:val="center"/>
                </w:tcPr>
                <w:p w14:paraId="21B5AA43">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接管量（t/a）</w:t>
                  </w:r>
                </w:p>
              </w:tc>
              <w:tc>
                <w:tcPr>
                  <w:tcW w:w="1402" w:type="dxa"/>
                  <w:tcBorders>
                    <w:tl2br w:val="nil"/>
                    <w:tr2bl w:val="nil"/>
                  </w:tcBorders>
                  <w:vAlign w:val="center"/>
                </w:tcPr>
                <w:p w14:paraId="00F078AF">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接管浓度（mg/L）</w:t>
                  </w:r>
                </w:p>
              </w:tc>
              <w:tc>
                <w:tcPr>
                  <w:tcW w:w="1545" w:type="dxa"/>
                  <w:tcBorders>
                    <w:tl2br w:val="nil"/>
                    <w:tr2bl w:val="nil"/>
                  </w:tcBorders>
                  <w:vAlign w:val="center"/>
                </w:tcPr>
                <w:p w14:paraId="414C7152">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接管浓度限值（mg/L）</w:t>
                  </w:r>
                </w:p>
              </w:tc>
              <w:tc>
                <w:tcPr>
                  <w:tcW w:w="1085" w:type="dxa"/>
                  <w:tcBorders>
                    <w:tl2br w:val="nil"/>
                    <w:tr2bl w:val="nil"/>
                  </w:tcBorders>
                  <w:vAlign w:val="center"/>
                </w:tcPr>
                <w:p w14:paraId="1D94A5CB">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排放量（t/a）</w:t>
                  </w:r>
                </w:p>
              </w:tc>
              <w:tc>
                <w:tcPr>
                  <w:tcW w:w="1402" w:type="dxa"/>
                  <w:tcBorders>
                    <w:tl2br w:val="nil"/>
                    <w:tr2bl w:val="nil"/>
                  </w:tcBorders>
                  <w:vAlign w:val="center"/>
                </w:tcPr>
                <w:p w14:paraId="5E503ECF">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排放浓度（mg/L）</w:t>
                  </w:r>
                </w:p>
              </w:tc>
            </w:tr>
            <w:tr w14:paraId="568AF0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14" w:type="dxa"/>
                  <w:vMerge w:val="restart"/>
                  <w:tcBorders>
                    <w:tl2br w:val="nil"/>
                    <w:tr2bl w:val="nil"/>
                  </w:tcBorders>
                  <w:vAlign w:val="center"/>
                </w:tcPr>
                <w:p w14:paraId="21D2618A">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192</w:t>
                  </w:r>
                </w:p>
              </w:tc>
              <w:tc>
                <w:tcPr>
                  <w:tcW w:w="1138" w:type="dxa"/>
                  <w:tcBorders>
                    <w:tl2br w:val="nil"/>
                    <w:tr2bl w:val="nil"/>
                  </w:tcBorders>
                  <w:vAlign w:val="center"/>
                </w:tcPr>
                <w:p w14:paraId="75E9BA2C">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COD</w:t>
                  </w:r>
                </w:p>
              </w:tc>
              <w:tc>
                <w:tcPr>
                  <w:tcW w:w="1085" w:type="dxa"/>
                  <w:tcBorders>
                    <w:tl2br w:val="nil"/>
                    <w:tr2bl w:val="nil"/>
                  </w:tcBorders>
                  <w:vAlign w:val="center"/>
                </w:tcPr>
                <w:p w14:paraId="5248B3E7">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0.057</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6</w:t>
                  </w:r>
                </w:p>
              </w:tc>
              <w:tc>
                <w:tcPr>
                  <w:tcW w:w="1402" w:type="dxa"/>
                  <w:tcBorders>
                    <w:tl2br w:val="nil"/>
                    <w:tr2bl w:val="nil"/>
                  </w:tcBorders>
                  <w:vAlign w:val="center"/>
                </w:tcPr>
                <w:p w14:paraId="7D4734F9">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300</w:t>
                  </w:r>
                </w:p>
              </w:tc>
              <w:tc>
                <w:tcPr>
                  <w:tcW w:w="1545" w:type="dxa"/>
                  <w:tcBorders>
                    <w:tl2br w:val="nil"/>
                    <w:tr2bl w:val="nil"/>
                  </w:tcBorders>
                  <w:vAlign w:val="center"/>
                </w:tcPr>
                <w:p w14:paraId="0C12E9CC">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5</w:t>
                  </w: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w:t>
                  </w:r>
                </w:p>
              </w:tc>
              <w:tc>
                <w:tcPr>
                  <w:tcW w:w="1085" w:type="dxa"/>
                  <w:tcBorders>
                    <w:tl2br w:val="nil"/>
                    <w:tr2bl w:val="nil"/>
                  </w:tcBorders>
                  <w:vAlign w:val="center"/>
                </w:tcPr>
                <w:p w14:paraId="7FBD9527">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0.0058</w:t>
                  </w:r>
                </w:p>
              </w:tc>
              <w:tc>
                <w:tcPr>
                  <w:tcW w:w="1402" w:type="dxa"/>
                  <w:tcBorders>
                    <w:tl2br w:val="nil"/>
                    <w:tr2bl w:val="nil"/>
                  </w:tcBorders>
                  <w:vAlign w:val="center"/>
                </w:tcPr>
                <w:p w14:paraId="49F90A2D">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30</w:t>
                  </w:r>
                </w:p>
              </w:tc>
            </w:tr>
            <w:tr w14:paraId="262BC6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14" w:type="dxa"/>
                  <w:vMerge w:val="continue"/>
                  <w:tcBorders>
                    <w:tl2br w:val="nil"/>
                    <w:tr2bl w:val="nil"/>
                  </w:tcBorders>
                  <w:vAlign w:val="center"/>
                </w:tcPr>
                <w:p w14:paraId="7F464002">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p>
              </w:tc>
              <w:tc>
                <w:tcPr>
                  <w:tcW w:w="1138" w:type="dxa"/>
                  <w:tcBorders>
                    <w:tl2br w:val="nil"/>
                    <w:tr2bl w:val="nil"/>
                  </w:tcBorders>
                  <w:vAlign w:val="center"/>
                </w:tcPr>
                <w:p w14:paraId="342569AB">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SS</w:t>
                  </w:r>
                </w:p>
              </w:tc>
              <w:tc>
                <w:tcPr>
                  <w:tcW w:w="1085" w:type="dxa"/>
                  <w:tcBorders>
                    <w:tl2br w:val="nil"/>
                    <w:tr2bl w:val="nil"/>
                  </w:tcBorders>
                  <w:vAlign w:val="center"/>
                </w:tcPr>
                <w:p w14:paraId="7B20CCED">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0.02</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88</w:t>
                  </w:r>
                </w:p>
              </w:tc>
              <w:tc>
                <w:tcPr>
                  <w:tcW w:w="1402" w:type="dxa"/>
                  <w:tcBorders>
                    <w:tl2br w:val="nil"/>
                    <w:tr2bl w:val="nil"/>
                  </w:tcBorders>
                  <w:vAlign w:val="center"/>
                </w:tcPr>
                <w:p w14:paraId="665A1F16">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150</w:t>
                  </w:r>
                </w:p>
              </w:tc>
              <w:tc>
                <w:tcPr>
                  <w:tcW w:w="1545" w:type="dxa"/>
                  <w:tcBorders>
                    <w:tl2br w:val="nil"/>
                    <w:tr2bl w:val="nil"/>
                  </w:tcBorders>
                  <w:vAlign w:val="center"/>
                </w:tcPr>
                <w:p w14:paraId="17C8C1BD">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400</w:t>
                  </w:r>
                </w:p>
              </w:tc>
              <w:tc>
                <w:tcPr>
                  <w:tcW w:w="1085" w:type="dxa"/>
                  <w:tcBorders>
                    <w:tl2br w:val="nil"/>
                    <w:tr2bl w:val="nil"/>
                  </w:tcBorders>
                  <w:vAlign w:val="center"/>
                </w:tcPr>
                <w:p w14:paraId="6707E2AD">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0.0010</w:t>
                  </w:r>
                </w:p>
              </w:tc>
              <w:tc>
                <w:tcPr>
                  <w:tcW w:w="1402" w:type="dxa"/>
                  <w:tcBorders>
                    <w:tl2br w:val="nil"/>
                    <w:tr2bl w:val="nil"/>
                  </w:tcBorders>
                  <w:vAlign w:val="center"/>
                </w:tcPr>
                <w:p w14:paraId="41B3E87A">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5</w:t>
                  </w:r>
                </w:p>
              </w:tc>
            </w:tr>
            <w:tr w14:paraId="06AD4D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14" w:type="dxa"/>
                  <w:vMerge w:val="continue"/>
                  <w:tcBorders>
                    <w:tl2br w:val="nil"/>
                    <w:tr2bl w:val="nil"/>
                  </w:tcBorders>
                  <w:vAlign w:val="center"/>
                </w:tcPr>
                <w:p w14:paraId="0C4315F2">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p>
              </w:tc>
              <w:tc>
                <w:tcPr>
                  <w:tcW w:w="1138" w:type="dxa"/>
                  <w:tcBorders>
                    <w:tl2br w:val="nil"/>
                    <w:tr2bl w:val="nil"/>
                  </w:tcBorders>
                  <w:vAlign w:val="center"/>
                </w:tcPr>
                <w:p w14:paraId="66B05334">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氨氮</w:t>
                  </w:r>
                </w:p>
              </w:tc>
              <w:tc>
                <w:tcPr>
                  <w:tcW w:w="1085" w:type="dxa"/>
                  <w:tcBorders>
                    <w:tl2br w:val="nil"/>
                    <w:tr2bl w:val="nil"/>
                  </w:tcBorders>
                  <w:vAlign w:val="center"/>
                </w:tcPr>
                <w:p w14:paraId="6FB2985E">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0.0048</w:t>
                  </w:r>
                </w:p>
              </w:tc>
              <w:tc>
                <w:tcPr>
                  <w:tcW w:w="1402" w:type="dxa"/>
                  <w:tcBorders>
                    <w:tl2br w:val="nil"/>
                    <w:tr2bl w:val="nil"/>
                  </w:tcBorders>
                  <w:vAlign w:val="center"/>
                </w:tcPr>
                <w:p w14:paraId="307713AC">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w:t>
                  </w:r>
                </w:p>
              </w:tc>
              <w:tc>
                <w:tcPr>
                  <w:tcW w:w="1545" w:type="dxa"/>
                  <w:tcBorders>
                    <w:tl2br w:val="nil"/>
                    <w:tr2bl w:val="nil"/>
                  </w:tcBorders>
                  <w:vAlign w:val="center"/>
                </w:tcPr>
                <w:p w14:paraId="5A2589A5">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45</w:t>
                  </w:r>
                </w:p>
              </w:tc>
              <w:tc>
                <w:tcPr>
                  <w:tcW w:w="1085" w:type="dxa"/>
                  <w:tcBorders>
                    <w:tl2br w:val="nil"/>
                    <w:tr2bl w:val="nil"/>
                  </w:tcBorders>
                  <w:vAlign w:val="center"/>
                </w:tcPr>
                <w:p w14:paraId="60D49FE8">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0.0003</w:t>
                  </w:r>
                </w:p>
              </w:tc>
              <w:tc>
                <w:tcPr>
                  <w:tcW w:w="1402" w:type="dxa"/>
                  <w:tcBorders>
                    <w:tl2br w:val="nil"/>
                    <w:tr2bl w:val="nil"/>
                  </w:tcBorders>
                  <w:vAlign w:val="center"/>
                </w:tcPr>
                <w:p w14:paraId="1594F51F">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1.5</w:t>
                  </w:r>
                </w:p>
              </w:tc>
            </w:tr>
            <w:tr w14:paraId="19CE48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814" w:type="dxa"/>
                  <w:vMerge w:val="continue"/>
                  <w:tcBorders>
                    <w:tl2br w:val="nil"/>
                    <w:tr2bl w:val="nil"/>
                  </w:tcBorders>
                  <w:vAlign w:val="center"/>
                </w:tcPr>
                <w:p w14:paraId="75DA070E">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p>
              </w:tc>
              <w:tc>
                <w:tcPr>
                  <w:tcW w:w="1138" w:type="dxa"/>
                  <w:tcBorders>
                    <w:tl2br w:val="nil"/>
                    <w:tr2bl w:val="nil"/>
                  </w:tcBorders>
                  <w:vAlign w:val="center"/>
                </w:tcPr>
                <w:p w14:paraId="684DF6BC">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总磷</w:t>
                  </w:r>
                </w:p>
              </w:tc>
              <w:tc>
                <w:tcPr>
                  <w:tcW w:w="1085" w:type="dxa"/>
                  <w:tcBorders>
                    <w:tl2br w:val="nil"/>
                    <w:tr2bl w:val="nil"/>
                  </w:tcBorders>
                  <w:vAlign w:val="center"/>
                </w:tcPr>
                <w:p w14:paraId="6DB4C302">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0.000</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8</w:t>
                  </w:r>
                </w:p>
              </w:tc>
              <w:tc>
                <w:tcPr>
                  <w:tcW w:w="1402" w:type="dxa"/>
                  <w:tcBorders>
                    <w:tl2br w:val="nil"/>
                    <w:tr2bl w:val="nil"/>
                  </w:tcBorders>
                  <w:vAlign w:val="center"/>
                </w:tcPr>
                <w:p w14:paraId="0FEBBD15">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w:t>
                  </w:r>
                </w:p>
              </w:tc>
              <w:tc>
                <w:tcPr>
                  <w:tcW w:w="1545" w:type="dxa"/>
                  <w:tcBorders>
                    <w:tl2br w:val="nil"/>
                    <w:tr2bl w:val="nil"/>
                  </w:tcBorders>
                  <w:vAlign w:val="center"/>
                </w:tcPr>
                <w:p w14:paraId="7C6F71B2">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8</w:t>
                  </w:r>
                </w:p>
              </w:tc>
              <w:tc>
                <w:tcPr>
                  <w:tcW w:w="1085" w:type="dxa"/>
                  <w:tcBorders>
                    <w:tl2br w:val="nil"/>
                    <w:tr2bl w:val="nil"/>
                  </w:tcBorders>
                  <w:vAlign w:val="center"/>
                </w:tcPr>
                <w:p w14:paraId="13C6FE71">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0.0001</w:t>
                  </w:r>
                </w:p>
              </w:tc>
              <w:tc>
                <w:tcPr>
                  <w:tcW w:w="1402" w:type="dxa"/>
                  <w:tcBorders>
                    <w:tl2br w:val="nil"/>
                    <w:tr2bl w:val="nil"/>
                  </w:tcBorders>
                  <w:vAlign w:val="center"/>
                </w:tcPr>
                <w:p w14:paraId="254DED89">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0.3</w:t>
                  </w:r>
                </w:p>
              </w:tc>
            </w:tr>
            <w:tr w14:paraId="752070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814" w:type="dxa"/>
                  <w:vMerge w:val="continue"/>
                  <w:tcBorders>
                    <w:tl2br w:val="nil"/>
                    <w:tr2bl w:val="nil"/>
                  </w:tcBorders>
                  <w:vAlign w:val="center"/>
                </w:tcPr>
                <w:p w14:paraId="27E4E0EF">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p>
              </w:tc>
              <w:tc>
                <w:tcPr>
                  <w:tcW w:w="1138" w:type="dxa"/>
                  <w:tcBorders>
                    <w:tl2br w:val="nil"/>
                    <w:tr2bl w:val="nil"/>
                  </w:tcBorders>
                  <w:vAlign w:val="center"/>
                </w:tcPr>
                <w:p w14:paraId="06EF7A04">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总氮</w:t>
                  </w:r>
                </w:p>
              </w:tc>
              <w:tc>
                <w:tcPr>
                  <w:tcW w:w="1085" w:type="dxa"/>
                  <w:tcBorders>
                    <w:tl2br w:val="nil"/>
                    <w:tr2bl w:val="nil"/>
                  </w:tcBorders>
                  <w:vAlign w:val="center"/>
                </w:tcPr>
                <w:p w14:paraId="36277CB9">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0.0067</w:t>
                  </w:r>
                </w:p>
              </w:tc>
              <w:tc>
                <w:tcPr>
                  <w:tcW w:w="1402" w:type="dxa"/>
                  <w:tcBorders>
                    <w:tl2br w:val="nil"/>
                    <w:tr2bl w:val="nil"/>
                  </w:tcBorders>
                  <w:vAlign w:val="center"/>
                </w:tcPr>
                <w:p w14:paraId="2602494C">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35</w:t>
                  </w:r>
                </w:p>
              </w:tc>
              <w:tc>
                <w:tcPr>
                  <w:tcW w:w="1545" w:type="dxa"/>
                  <w:tcBorders>
                    <w:tl2br w:val="nil"/>
                    <w:tr2bl w:val="nil"/>
                  </w:tcBorders>
                  <w:vAlign w:val="center"/>
                </w:tcPr>
                <w:p w14:paraId="127BB1A9">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7</w:t>
                  </w: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w:t>
                  </w:r>
                </w:p>
              </w:tc>
              <w:tc>
                <w:tcPr>
                  <w:tcW w:w="1085" w:type="dxa"/>
                  <w:tcBorders>
                    <w:tl2br w:val="nil"/>
                    <w:tr2bl w:val="nil"/>
                  </w:tcBorders>
                  <w:vAlign w:val="center"/>
                </w:tcPr>
                <w:p w14:paraId="4D0490CC">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t>0.0023</w:t>
                  </w:r>
                </w:p>
              </w:tc>
              <w:tc>
                <w:tcPr>
                  <w:tcW w:w="1402" w:type="dxa"/>
                  <w:tcBorders>
                    <w:tl2br w:val="nil"/>
                    <w:tr2bl w:val="nil"/>
                  </w:tcBorders>
                  <w:vAlign w:val="center"/>
                </w:tcPr>
                <w:p w14:paraId="1CD23960">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12</w:t>
                  </w:r>
                </w:p>
              </w:tc>
            </w:tr>
          </w:tbl>
          <w:p w14:paraId="1EA2642D">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（2）地表水环境影响分析</w:t>
            </w:r>
          </w:p>
          <w:p w14:paraId="7C130893">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1）本项目废水排放情况</w:t>
            </w:r>
          </w:p>
          <w:p w14:paraId="08F8BA92">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本项目采取</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雨污分流、清污分流</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r>
              <w:rPr>
                <w:rFonts w:hint="eastAsia"/>
                <w:color w:val="000000" w:themeColor="text1"/>
                <w:sz w:val="24"/>
                <w:highlight w:val="none"/>
                <w:lang w:eastAsia="zh-CN"/>
                <w14:textFill>
                  <w14:solidFill>
                    <w14:schemeClr w14:val="tx1"/>
                  </w14:solidFill>
                </w14:textFill>
              </w:rPr>
              <w:t>本项目生活污水经化粪池预处理后接管至禄口污水处理厂</w:t>
            </w:r>
            <w:r>
              <w:rPr>
                <w:color w:val="000000" w:themeColor="text1"/>
                <w:sz w:val="24"/>
                <w:highlight w:val="none"/>
                <w14:textFill>
                  <w14:solidFill>
                    <w14:schemeClr w14:val="tx1"/>
                  </w14:solidFill>
                </w14:textFill>
              </w:rPr>
              <w:t>。本项目废水可达到</w:t>
            </w:r>
            <w:r>
              <w:rPr>
                <w:rFonts w:hint="eastAsia"/>
                <w:color w:val="000000" w:themeColor="text1"/>
                <w:sz w:val="24"/>
                <w:highlight w:val="none"/>
                <w:lang w:eastAsia="zh-CN"/>
                <w14:textFill>
                  <w14:solidFill>
                    <w14:schemeClr w14:val="tx1"/>
                  </w14:solidFill>
                </w14:textFill>
              </w:rPr>
              <w:t>禄口污水处理厂</w:t>
            </w:r>
            <w:r>
              <w:rPr>
                <w:color w:val="000000" w:themeColor="text1"/>
                <w:sz w:val="24"/>
                <w:highlight w:val="none"/>
                <w14:textFill>
                  <w14:solidFill>
                    <w14:schemeClr w14:val="tx1"/>
                  </w14:solidFill>
                </w14:textFill>
              </w:rPr>
              <w:t>接管标准，且本项目水量较小，不会影响污水处理厂处理负荷，经</w:t>
            </w:r>
            <w:r>
              <w:rPr>
                <w:rFonts w:hint="eastAsia"/>
                <w:color w:val="000000" w:themeColor="text1"/>
                <w:sz w:val="24"/>
                <w:highlight w:val="none"/>
                <w:lang w:eastAsia="zh-CN"/>
                <w14:textFill>
                  <w14:solidFill>
                    <w14:schemeClr w14:val="tx1"/>
                  </w14:solidFill>
                </w14:textFill>
              </w:rPr>
              <w:t>禄口污水处理厂</w:t>
            </w:r>
            <w:r>
              <w:rPr>
                <w:color w:val="000000" w:themeColor="text1"/>
                <w:sz w:val="24"/>
                <w:highlight w:val="none"/>
                <w14:textFill>
                  <w14:solidFill>
                    <w14:schemeClr w14:val="tx1"/>
                  </w14:solidFill>
                </w14:textFill>
              </w:rPr>
              <w:t>处理后达到</w:t>
            </w:r>
            <w:r>
              <w:rPr>
                <w:rFonts w:ascii="Times New Roman" w:hAnsi="Times New Roman" w:eastAsia="宋体" w:cs="Times New Roman"/>
                <w:color w:val="000000" w:themeColor="text1"/>
                <w:sz w:val="24"/>
                <w:highlight w:val="none"/>
                <w:lang w:val="zh-CN"/>
                <w14:textFill>
                  <w14:solidFill>
                    <w14:schemeClr w14:val="tx1"/>
                  </w14:solidFill>
                </w14:textFill>
              </w:rPr>
              <w:t>《地表水环境质量标准》（GB3838-2002）</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准Ⅳ类</w:t>
            </w:r>
            <w:r>
              <w:rPr>
                <w:rFonts w:hint="eastAsia" w:ascii="Times New Roman" w:hAnsi="Times New Roman" w:eastAsia="宋体" w:cs="Times New Roman"/>
                <w:color w:val="000000" w:themeColor="text1"/>
                <w:sz w:val="24"/>
                <w:highlight w:val="none"/>
                <w:lang w:val="zh-CN"/>
                <w14:textFill>
                  <w14:solidFill>
                    <w14:schemeClr w14:val="tx1"/>
                  </w14:solidFill>
                </w14:textFill>
              </w:rPr>
              <w:t>标准</w:t>
            </w:r>
            <w:r>
              <w:rPr>
                <w:rFonts w:hint="eastAsia" w:ascii="Times New Roman" w:hAnsi="Times New Roman" w:eastAsia="宋体" w:cs="Times New Roman"/>
                <w:color w:val="000000" w:themeColor="text1"/>
                <w:sz w:val="24"/>
                <w:highlight w:val="none"/>
                <w:lang w:val="zh-CN"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TN达到</w:t>
            </w:r>
            <w:r>
              <w:rPr>
                <w:rFonts w:hint="eastAsia" w:ascii="Times New Roman" w:hAnsi="Times New Roman" w:eastAsia="宋体" w:cs="Times New Roman"/>
                <w:color w:val="000000" w:themeColor="text1"/>
                <w:sz w:val="24"/>
                <w:highlight w:val="none"/>
                <w:lang w:val="zh-CN"/>
                <w14:textFill>
                  <w14:solidFill>
                    <w14:schemeClr w14:val="tx1"/>
                  </w14:solidFill>
                </w14:textFill>
              </w:rPr>
              <w:t>《城镇污水处理厂污染物排放标准》（DB32/4440-2022）表1中C标准</w:t>
            </w:r>
            <w:r>
              <w:rPr>
                <w:color w:val="000000" w:themeColor="text1"/>
                <w:sz w:val="24"/>
                <w:highlight w:val="none"/>
                <w14:textFill>
                  <w14:solidFill>
                    <w14:schemeClr w14:val="tx1"/>
                  </w14:solidFill>
                </w14:textFill>
              </w:rPr>
              <w:t>。本项目</w:t>
            </w:r>
            <w:r>
              <w:rPr>
                <w:rFonts w:hint="eastAsia"/>
                <w:color w:val="000000" w:themeColor="text1"/>
                <w:sz w:val="24"/>
                <w:highlight w:val="none"/>
                <w14:textFill>
                  <w14:solidFill>
                    <w14:schemeClr w14:val="tx1"/>
                  </w14:solidFill>
                </w14:textFill>
              </w:rPr>
              <w:t>总排</w:t>
            </w:r>
            <w:r>
              <w:rPr>
                <w:color w:val="000000" w:themeColor="text1"/>
                <w:sz w:val="24"/>
                <w:highlight w:val="none"/>
                <w14:textFill>
                  <w14:solidFill>
                    <w14:schemeClr w14:val="tx1"/>
                  </w14:solidFill>
                </w14:textFill>
              </w:rPr>
              <w:t>口需根据《江苏省排污口设置及规范化整治管理办法》进行规范化设置。</w:t>
            </w:r>
          </w:p>
          <w:p w14:paraId="4D924033">
            <w:pPr>
              <w:pStyle w:val="125"/>
              <w:numPr>
                <w:ilvl w:val="0"/>
                <w:numId w:val="0"/>
              </w:numPr>
              <w:spacing w:line="440" w:lineRule="exact"/>
              <w:rPr>
                <w:rFonts w:hint="default"/>
                <w:color w:val="000000" w:themeColor="text1"/>
                <w:sz w:val="24"/>
                <w:highlight w:val="none"/>
                <w14:textFill>
                  <w14:solidFill>
                    <w14:schemeClr w14:val="tx1"/>
                  </w14:solidFill>
                </w14:textFill>
              </w:rPr>
            </w:pPr>
            <w:r>
              <w:rPr>
                <w:rFonts w:hint="default"/>
                <w:color w:val="000000" w:themeColor="text1"/>
                <w:sz w:val="24"/>
                <w:highlight w:val="none"/>
                <w14:textFill>
                  <w14:solidFill>
                    <w14:schemeClr w14:val="tx1"/>
                  </w14:solidFill>
                </w14:textFill>
              </w:rPr>
              <w:t>表4-1</w:t>
            </w:r>
            <w:r>
              <w:rPr>
                <w:rFonts w:hint="eastAsia"/>
                <w:color w:val="000000" w:themeColor="text1"/>
                <w:sz w:val="24"/>
                <w:highlight w:val="none"/>
                <w:lang w:val="en-US" w:eastAsia="zh-CN"/>
                <w14:textFill>
                  <w14:solidFill>
                    <w14:schemeClr w14:val="tx1"/>
                  </w14:solidFill>
                </w14:textFill>
              </w:rPr>
              <w:t xml:space="preserve">9 </w:t>
            </w:r>
            <w:r>
              <w:rPr>
                <w:rFonts w:hint="default"/>
                <w:color w:val="000000" w:themeColor="text1"/>
                <w:sz w:val="24"/>
                <w:highlight w:val="none"/>
                <w14:textFill>
                  <w14:solidFill>
                    <w14:schemeClr w14:val="tx1"/>
                  </w14:solidFill>
                </w14:textFill>
              </w:rPr>
              <w:t>废水类别、污染物及污染治理设施信息表</w:t>
            </w:r>
          </w:p>
          <w:tbl>
            <w:tblPr>
              <w:tblStyle w:val="38"/>
              <w:tblW w:w="84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7"/>
              <w:gridCol w:w="601"/>
              <w:gridCol w:w="1321"/>
              <w:gridCol w:w="509"/>
              <w:gridCol w:w="551"/>
              <w:gridCol w:w="949"/>
              <w:gridCol w:w="1019"/>
              <w:gridCol w:w="688"/>
              <w:gridCol w:w="605"/>
              <w:gridCol w:w="454"/>
              <w:gridCol w:w="468"/>
              <w:gridCol w:w="451"/>
              <w:gridCol w:w="428"/>
            </w:tblGrid>
            <w:tr w14:paraId="3797CB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427" w:type="dxa"/>
                  <w:vMerge w:val="restart"/>
                  <w:vAlign w:val="center"/>
                </w:tcPr>
                <w:p w14:paraId="0C7FF94E">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序号</w:t>
                  </w:r>
                </w:p>
              </w:tc>
              <w:tc>
                <w:tcPr>
                  <w:tcW w:w="601" w:type="dxa"/>
                  <w:vMerge w:val="restart"/>
                  <w:vAlign w:val="center"/>
                </w:tcPr>
                <w:p w14:paraId="2773E442">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废水</w:t>
                  </w:r>
                </w:p>
                <w:p w14:paraId="71700E7F">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类别</w:t>
                  </w:r>
                </w:p>
              </w:tc>
              <w:tc>
                <w:tcPr>
                  <w:tcW w:w="1321" w:type="dxa"/>
                  <w:vMerge w:val="restart"/>
                  <w:vAlign w:val="center"/>
                </w:tcPr>
                <w:p w14:paraId="33D973D5">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污染物种类</w:t>
                  </w:r>
                </w:p>
              </w:tc>
              <w:tc>
                <w:tcPr>
                  <w:tcW w:w="509" w:type="dxa"/>
                  <w:vMerge w:val="restart"/>
                  <w:vAlign w:val="center"/>
                </w:tcPr>
                <w:p w14:paraId="5EA580B4">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排放去向</w:t>
                  </w:r>
                </w:p>
              </w:tc>
              <w:tc>
                <w:tcPr>
                  <w:tcW w:w="551" w:type="dxa"/>
                  <w:vMerge w:val="restart"/>
                  <w:vAlign w:val="center"/>
                </w:tcPr>
                <w:p w14:paraId="0E6482CA">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排放规律</w:t>
                  </w:r>
                </w:p>
              </w:tc>
              <w:tc>
                <w:tcPr>
                  <w:tcW w:w="3261" w:type="dxa"/>
                  <w:gridSpan w:val="4"/>
                  <w:vAlign w:val="center"/>
                </w:tcPr>
                <w:p w14:paraId="4A0D48B6">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污染治理设施</w:t>
                  </w:r>
                </w:p>
              </w:tc>
              <w:tc>
                <w:tcPr>
                  <w:tcW w:w="454" w:type="dxa"/>
                  <w:vMerge w:val="restart"/>
                  <w:vAlign w:val="center"/>
                </w:tcPr>
                <w:p w14:paraId="06916B6D">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排放方式</w:t>
                  </w:r>
                </w:p>
              </w:tc>
              <w:tc>
                <w:tcPr>
                  <w:tcW w:w="468" w:type="dxa"/>
                  <w:vMerge w:val="restart"/>
                  <w:vAlign w:val="center"/>
                </w:tcPr>
                <w:p w14:paraId="5E141372">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排放口编号</w:t>
                  </w:r>
                </w:p>
              </w:tc>
              <w:tc>
                <w:tcPr>
                  <w:tcW w:w="451" w:type="dxa"/>
                  <w:vMerge w:val="restart"/>
                  <w:vAlign w:val="center"/>
                </w:tcPr>
                <w:p w14:paraId="45D578E5">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排放口设置是否符合要求</w:t>
                  </w:r>
                </w:p>
              </w:tc>
              <w:tc>
                <w:tcPr>
                  <w:tcW w:w="428" w:type="dxa"/>
                  <w:vMerge w:val="restart"/>
                  <w:vAlign w:val="center"/>
                </w:tcPr>
                <w:p w14:paraId="40AD4C13">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排放口类型</w:t>
                  </w:r>
                </w:p>
              </w:tc>
            </w:tr>
            <w:tr w14:paraId="458AF1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09" w:hRule="atLeast"/>
                <w:jc w:val="center"/>
              </w:trPr>
              <w:tc>
                <w:tcPr>
                  <w:tcW w:w="427" w:type="dxa"/>
                  <w:vMerge w:val="continue"/>
                  <w:vAlign w:val="center"/>
                </w:tcPr>
                <w:p w14:paraId="4CFF0A2C">
                  <w:pPr>
                    <w:snapToGrid w:val="0"/>
                    <w:spacing w:line="240" w:lineRule="exact"/>
                    <w:jc w:val="center"/>
                    <w:rPr>
                      <w:b/>
                      <w:bCs/>
                      <w:color w:val="000000" w:themeColor="text1"/>
                      <w:szCs w:val="21"/>
                      <w:highlight w:val="none"/>
                      <w14:textFill>
                        <w14:solidFill>
                          <w14:schemeClr w14:val="tx1"/>
                        </w14:solidFill>
                      </w14:textFill>
                    </w:rPr>
                  </w:pPr>
                </w:p>
              </w:tc>
              <w:tc>
                <w:tcPr>
                  <w:tcW w:w="601" w:type="dxa"/>
                  <w:vMerge w:val="continue"/>
                  <w:vAlign w:val="center"/>
                </w:tcPr>
                <w:p w14:paraId="5BFDA7CF">
                  <w:pPr>
                    <w:snapToGrid w:val="0"/>
                    <w:spacing w:line="240" w:lineRule="exact"/>
                    <w:jc w:val="center"/>
                    <w:rPr>
                      <w:b/>
                      <w:bCs/>
                      <w:color w:val="000000" w:themeColor="text1"/>
                      <w:szCs w:val="21"/>
                      <w:highlight w:val="none"/>
                      <w14:textFill>
                        <w14:solidFill>
                          <w14:schemeClr w14:val="tx1"/>
                        </w14:solidFill>
                      </w14:textFill>
                    </w:rPr>
                  </w:pPr>
                </w:p>
              </w:tc>
              <w:tc>
                <w:tcPr>
                  <w:tcW w:w="1321" w:type="dxa"/>
                  <w:vMerge w:val="continue"/>
                  <w:vAlign w:val="center"/>
                </w:tcPr>
                <w:p w14:paraId="06E940B4">
                  <w:pPr>
                    <w:snapToGrid w:val="0"/>
                    <w:spacing w:line="240" w:lineRule="exact"/>
                    <w:jc w:val="center"/>
                    <w:rPr>
                      <w:b/>
                      <w:bCs/>
                      <w:color w:val="000000" w:themeColor="text1"/>
                      <w:szCs w:val="21"/>
                      <w:highlight w:val="none"/>
                      <w14:textFill>
                        <w14:solidFill>
                          <w14:schemeClr w14:val="tx1"/>
                        </w14:solidFill>
                      </w14:textFill>
                    </w:rPr>
                  </w:pPr>
                </w:p>
              </w:tc>
              <w:tc>
                <w:tcPr>
                  <w:tcW w:w="509" w:type="dxa"/>
                  <w:vMerge w:val="continue"/>
                  <w:vAlign w:val="center"/>
                </w:tcPr>
                <w:p w14:paraId="6F31A618">
                  <w:pPr>
                    <w:snapToGrid w:val="0"/>
                    <w:spacing w:line="240" w:lineRule="exact"/>
                    <w:jc w:val="center"/>
                    <w:rPr>
                      <w:b/>
                      <w:bCs/>
                      <w:color w:val="000000" w:themeColor="text1"/>
                      <w:szCs w:val="21"/>
                      <w:highlight w:val="none"/>
                      <w14:textFill>
                        <w14:solidFill>
                          <w14:schemeClr w14:val="tx1"/>
                        </w14:solidFill>
                      </w14:textFill>
                    </w:rPr>
                  </w:pPr>
                </w:p>
              </w:tc>
              <w:tc>
                <w:tcPr>
                  <w:tcW w:w="551" w:type="dxa"/>
                  <w:vMerge w:val="continue"/>
                  <w:vAlign w:val="center"/>
                </w:tcPr>
                <w:p w14:paraId="43A0BF67">
                  <w:pPr>
                    <w:snapToGrid w:val="0"/>
                    <w:spacing w:line="240" w:lineRule="exact"/>
                    <w:jc w:val="center"/>
                    <w:rPr>
                      <w:b/>
                      <w:bCs/>
                      <w:color w:val="000000" w:themeColor="text1"/>
                      <w:szCs w:val="21"/>
                      <w:highlight w:val="none"/>
                      <w14:textFill>
                        <w14:solidFill>
                          <w14:schemeClr w14:val="tx1"/>
                        </w14:solidFill>
                      </w14:textFill>
                    </w:rPr>
                  </w:pPr>
                </w:p>
              </w:tc>
              <w:tc>
                <w:tcPr>
                  <w:tcW w:w="949" w:type="dxa"/>
                  <w:vAlign w:val="center"/>
                </w:tcPr>
                <w:p w14:paraId="11DD4C98">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污染治理设施编号</w:t>
                  </w:r>
                </w:p>
              </w:tc>
              <w:tc>
                <w:tcPr>
                  <w:tcW w:w="1019" w:type="dxa"/>
                  <w:vAlign w:val="center"/>
                </w:tcPr>
                <w:p w14:paraId="60323728">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污染治理设施名称</w:t>
                  </w:r>
                </w:p>
              </w:tc>
              <w:tc>
                <w:tcPr>
                  <w:tcW w:w="688" w:type="dxa"/>
                  <w:vAlign w:val="center"/>
                </w:tcPr>
                <w:p w14:paraId="280FFD1B">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污染治理设施工艺</w:t>
                  </w:r>
                </w:p>
              </w:tc>
              <w:tc>
                <w:tcPr>
                  <w:tcW w:w="605" w:type="dxa"/>
                  <w:vAlign w:val="center"/>
                </w:tcPr>
                <w:p w14:paraId="14E2D330">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是否为可行技术</w:t>
                  </w:r>
                </w:p>
              </w:tc>
              <w:tc>
                <w:tcPr>
                  <w:tcW w:w="454" w:type="dxa"/>
                  <w:vMerge w:val="continue"/>
                  <w:vAlign w:val="center"/>
                </w:tcPr>
                <w:p w14:paraId="5EC81428">
                  <w:pPr>
                    <w:snapToGrid w:val="0"/>
                    <w:spacing w:line="240" w:lineRule="exact"/>
                    <w:jc w:val="center"/>
                    <w:rPr>
                      <w:b/>
                      <w:bCs/>
                      <w:color w:val="000000" w:themeColor="text1"/>
                      <w:szCs w:val="21"/>
                      <w:highlight w:val="none"/>
                      <w14:textFill>
                        <w14:solidFill>
                          <w14:schemeClr w14:val="tx1"/>
                        </w14:solidFill>
                      </w14:textFill>
                    </w:rPr>
                  </w:pPr>
                </w:p>
              </w:tc>
              <w:tc>
                <w:tcPr>
                  <w:tcW w:w="468" w:type="dxa"/>
                  <w:vMerge w:val="continue"/>
                  <w:vAlign w:val="center"/>
                </w:tcPr>
                <w:p w14:paraId="08940499">
                  <w:pPr>
                    <w:snapToGrid w:val="0"/>
                    <w:spacing w:line="240" w:lineRule="exact"/>
                    <w:jc w:val="center"/>
                    <w:rPr>
                      <w:b/>
                      <w:bCs/>
                      <w:color w:val="000000" w:themeColor="text1"/>
                      <w:szCs w:val="21"/>
                      <w:highlight w:val="none"/>
                      <w14:textFill>
                        <w14:solidFill>
                          <w14:schemeClr w14:val="tx1"/>
                        </w14:solidFill>
                      </w14:textFill>
                    </w:rPr>
                  </w:pPr>
                </w:p>
              </w:tc>
              <w:tc>
                <w:tcPr>
                  <w:tcW w:w="451" w:type="dxa"/>
                  <w:vMerge w:val="continue"/>
                  <w:vAlign w:val="center"/>
                </w:tcPr>
                <w:p w14:paraId="231581AF">
                  <w:pPr>
                    <w:snapToGrid w:val="0"/>
                    <w:spacing w:line="240" w:lineRule="exact"/>
                    <w:jc w:val="center"/>
                    <w:rPr>
                      <w:b/>
                      <w:bCs/>
                      <w:color w:val="000000" w:themeColor="text1"/>
                      <w:szCs w:val="21"/>
                      <w:highlight w:val="none"/>
                      <w14:textFill>
                        <w14:solidFill>
                          <w14:schemeClr w14:val="tx1"/>
                        </w14:solidFill>
                      </w14:textFill>
                    </w:rPr>
                  </w:pPr>
                </w:p>
              </w:tc>
              <w:tc>
                <w:tcPr>
                  <w:tcW w:w="428" w:type="dxa"/>
                  <w:vMerge w:val="continue"/>
                  <w:vAlign w:val="center"/>
                </w:tcPr>
                <w:p w14:paraId="2DC3DCDF">
                  <w:pPr>
                    <w:snapToGrid w:val="0"/>
                    <w:spacing w:line="240" w:lineRule="exact"/>
                    <w:jc w:val="center"/>
                    <w:rPr>
                      <w:b/>
                      <w:bCs/>
                      <w:color w:val="000000" w:themeColor="text1"/>
                      <w:szCs w:val="21"/>
                      <w:highlight w:val="none"/>
                      <w14:textFill>
                        <w14:solidFill>
                          <w14:schemeClr w14:val="tx1"/>
                        </w14:solidFill>
                      </w14:textFill>
                    </w:rPr>
                  </w:pPr>
                </w:p>
              </w:tc>
            </w:tr>
            <w:tr w14:paraId="2FC325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09" w:hRule="atLeast"/>
                <w:jc w:val="center"/>
              </w:trPr>
              <w:tc>
                <w:tcPr>
                  <w:tcW w:w="427" w:type="dxa"/>
                  <w:vAlign w:val="center"/>
                </w:tcPr>
                <w:p w14:paraId="7F752B45">
                  <w:pPr>
                    <w:spacing w:line="200" w:lineRule="atLeas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w:t>
                  </w:r>
                </w:p>
              </w:tc>
              <w:tc>
                <w:tcPr>
                  <w:tcW w:w="601" w:type="dxa"/>
                  <w:vAlign w:val="center"/>
                </w:tcPr>
                <w:p w14:paraId="778371A7">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生活污水</w:t>
                  </w:r>
                </w:p>
              </w:tc>
              <w:tc>
                <w:tcPr>
                  <w:tcW w:w="1321" w:type="dxa"/>
                  <w:vAlign w:val="center"/>
                </w:tcPr>
                <w:p w14:paraId="4DD08582">
                  <w:pPr>
                    <w:adjustRightInd w:val="0"/>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color w:val="000000" w:themeColor="text1"/>
                      <w:highlight w:val="none"/>
                      <w14:textFill>
                        <w14:solidFill>
                          <w14:schemeClr w14:val="tx1"/>
                        </w14:solidFill>
                      </w14:textFill>
                    </w:rPr>
                    <w:t>pH、COD、SS、NH</w:t>
                  </w:r>
                  <w:r>
                    <w:rPr>
                      <w:color w:val="000000" w:themeColor="text1"/>
                      <w:highlight w:val="none"/>
                      <w:vertAlign w:val="subscript"/>
                      <w14:textFill>
                        <w14:solidFill>
                          <w14:schemeClr w14:val="tx1"/>
                        </w14:solidFill>
                      </w14:textFill>
                    </w:rPr>
                    <w:t>3</w:t>
                  </w:r>
                  <w:r>
                    <w:rPr>
                      <w:color w:val="000000" w:themeColor="text1"/>
                      <w:highlight w:val="none"/>
                      <w14:textFill>
                        <w14:solidFill>
                          <w14:schemeClr w14:val="tx1"/>
                        </w14:solidFill>
                      </w14:textFill>
                    </w:rPr>
                    <w:t>-N、TN、TP</w:t>
                  </w:r>
                </w:p>
              </w:tc>
              <w:tc>
                <w:tcPr>
                  <w:tcW w:w="509" w:type="dxa"/>
                  <w:vAlign w:val="center"/>
                </w:tcPr>
                <w:p w14:paraId="23B51F44">
                  <w:pPr>
                    <w:snapToGrid w:val="0"/>
                    <w:spacing w:line="240" w:lineRule="exact"/>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禄口污水处理厂</w:t>
                  </w:r>
                </w:p>
              </w:tc>
              <w:tc>
                <w:tcPr>
                  <w:tcW w:w="551" w:type="dxa"/>
                  <w:vAlign w:val="center"/>
                </w:tcPr>
                <w:p w14:paraId="693EFE56">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间歇</w:t>
                  </w:r>
                </w:p>
              </w:tc>
              <w:tc>
                <w:tcPr>
                  <w:tcW w:w="949" w:type="dxa"/>
                  <w:vAlign w:val="center"/>
                </w:tcPr>
                <w:p w14:paraId="47AA17A0">
                  <w:pPr>
                    <w:adjustRightInd w:val="0"/>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TW001</w:t>
                  </w:r>
                </w:p>
              </w:tc>
              <w:tc>
                <w:tcPr>
                  <w:tcW w:w="1019" w:type="dxa"/>
                  <w:vAlign w:val="center"/>
                </w:tcPr>
                <w:p w14:paraId="6E1712AD">
                  <w:pPr>
                    <w:adjustRightInd w:val="0"/>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化粪池</w:t>
                  </w:r>
                </w:p>
              </w:tc>
              <w:tc>
                <w:tcPr>
                  <w:tcW w:w="688" w:type="dxa"/>
                  <w:vAlign w:val="center"/>
                </w:tcPr>
                <w:p w14:paraId="478E758B">
                  <w:pPr>
                    <w:pStyle w:val="142"/>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厌氧发酵</w:t>
                  </w:r>
                </w:p>
              </w:tc>
              <w:tc>
                <w:tcPr>
                  <w:tcW w:w="605" w:type="dxa"/>
                  <w:vAlign w:val="center"/>
                </w:tcPr>
                <w:p w14:paraId="149D2736">
                  <w:pPr>
                    <w:adjustRightInd w:val="0"/>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是</w:t>
                  </w:r>
                </w:p>
              </w:tc>
              <w:tc>
                <w:tcPr>
                  <w:tcW w:w="454" w:type="dxa"/>
                  <w:vAlign w:val="center"/>
                </w:tcPr>
                <w:p w14:paraId="1C6D0657">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间接排放</w:t>
                  </w:r>
                </w:p>
              </w:tc>
              <w:tc>
                <w:tcPr>
                  <w:tcW w:w="468" w:type="dxa"/>
                  <w:vAlign w:val="center"/>
                </w:tcPr>
                <w:p w14:paraId="2E06F03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DW001</w:t>
                  </w:r>
                </w:p>
              </w:tc>
              <w:tc>
                <w:tcPr>
                  <w:tcW w:w="451" w:type="dxa"/>
                  <w:vAlign w:val="center"/>
                </w:tcPr>
                <w:p w14:paraId="7F8959B4">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是</w:t>
                  </w:r>
                </w:p>
              </w:tc>
              <w:tc>
                <w:tcPr>
                  <w:tcW w:w="428" w:type="dxa"/>
                  <w:vAlign w:val="center"/>
                </w:tcPr>
                <w:p w14:paraId="78E26D16">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厂区总排口</w:t>
                  </w:r>
                </w:p>
              </w:tc>
            </w:tr>
          </w:tbl>
          <w:p w14:paraId="3C217FB6">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本项目废水间接排放口及受纳污水处理厂情况</w:t>
            </w:r>
            <w:r>
              <w:rPr>
                <w:rFonts w:hint="eastAsia"/>
                <w:color w:val="000000" w:themeColor="text1"/>
                <w:sz w:val="24"/>
                <w:highlight w:val="none"/>
                <w:lang w:eastAsia="zh-CN"/>
                <w14:textFill>
                  <w14:solidFill>
                    <w14:schemeClr w14:val="tx1"/>
                  </w14:solidFill>
                </w14:textFill>
              </w:rPr>
              <w:t>见下表</w:t>
            </w:r>
            <w:r>
              <w:rPr>
                <w:color w:val="000000" w:themeColor="text1"/>
                <w:sz w:val="24"/>
                <w:highlight w:val="none"/>
                <w14:textFill>
                  <w14:solidFill>
                    <w14:schemeClr w14:val="tx1"/>
                  </w14:solidFill>
                </w14:textFill>
              </w:rPr>
              <w:t>。</w:t>
            </w:r>
          </w:p>
          <w:p w14:paraId="6CCC31E3">
            <w:pPr>
              <w:pStyle w:val="125"/>
              <w:numPr>
                <w:ilvl w:val="0"/>
                <w:numId w:val="0"/>
              </w:numPr>
              <w:spacing w:line="440" w:lineRule="exact"/>
              <w:rPr>
                <w:rFonts w:hint="default"/>
                <w:color w:val="000000" w:themeColor="text1"/>
                <w:sz w:val="24"/>
                <w:highlight w:val="none"/>
                <w14:textFill>
                  <w14:solidFill>
                    <w14:schemeClr w14:val="tx1"/>
                  </w14:solidFill>
                </w14:textFill>
              </w:rPr>
            </w:pPr>
            <w:r>
              <w:rPr>
                <w:rFonts w:hint="default"/>
                <w:color w:val="000000" w:themeColor="text1"/>
                <w:sz w:val="24"/>
                <w:highlight w:val="none"/>
                <w14:textFill>
                  <w14:solidFill>
                    <w14:schemeClr w14:val="tx1"/>
                  </w14:solidFill>
                </w14:textFill>
              </w:rPr>
              <w:t>表4-</w:t>
            </w:r>
            <w:r>
              <w:rPr>
                <w:rFonts w:hint="eastAsia"/>
                <w:color w:val="000000" w:themeColor="text1"/>
                <w:sz w:val="24"/>
                <w:highlight w:val="none"/>
                <w:lang w:val="en-US" w:eastAsia="zh-CN"/>
                <w14:textFill>
                  <w14:solidFill>
                    <w14:schemeClr w14:val="tx1"/>
                  </w14:solidFill>
                </w14:textFill>
              </w:rPr>
              <w:t xml:space="preserve">20  </w:t>
            </w:r>
            <w:r>
              <w:rPr>
                <w:rFonts w:hint="default"/>
                <w:color w:val="000000" w:themeColor="text1"/>
                <w:sz w:val="24"/>
                <w:highlight w:val="none"/>
                <w14:textFill>
                  <w14:solidFill>
                    <w14:schemeClr w14:val="tx1"/>
                  </w14:solidFill>
                </w14:textFill>
              </w:rPr>
              <w:t>本项目废水间接排放口基本情况表</w:t>
            </w:r>
          </w:p>
          <w:tbl>
            <w:tblPr>
              <w:tblStyle w:val="38"/>
              <w:tblW w:w="834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7"/>
              <w:gridCol w:w="881"/>
              <w:gridCol w:w="1424"/>
              <w:gridCol w:w="1319"/>
              <w:gridCol w:w="661"/>
              <w:gridCol w:w="427"/>
              <w:gridCol w:w="427"/>
              <w:gridCol w:w="427"/>
              <w:gridCol w:w="427"/>
              <w:gridCol w:w="809"/>
              <w:gridCol w:w="1116"/>
            </w:tblGrid>
            <w:tr w14:paraId="76427E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dxa"/>
                  <w:vMerge w:val="restart"/>
                  <w:vAlign w:val="center"/>
                </w:tcPr>
                <w:p w14:paraId="4ADCC3E9">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序号</w:t>
                  </w:r>
                </w:p>
              </w:tc>
              <w:tc>
                <w:tcPr>
                  <w:tcW w:w="881" w:type="dxa"/>
                  <w:vMerge w:val="restart"/>
                  <w:vAlign w:val="center"/>
                </w:tcPr>
                <w:p w14:paraId="17C34D9C">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排放口编号</w:t>
                  </w:r>
                </w:p>
              </w:tc>
              <w:tc>
                <w:tcPr>
                  <w:tcW w:w="2743" w:type="dxa"/>
                  <w:gridSpan w:val="2"/>
                  <w:vAlign w:val="center"/>
                </w:tcPr>
                <w:p w14:paraId="0DB1951E">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排放口地理位置</w:t>
                  </w:r>
                </w:p>
              </w:tc>
              <w:tc>
                <w:tcPr>
                  <w:tcW w:w="661" w:type="dxa"/>
                  <w:vMerge w:val="restart"/>
                  <w:vAlign w:val="center"/>
                </w:tcPr>
                <w:p w14:paraId="0B0FD79C">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废水排放量</w:t>
                  </w:r>
                </w:p>
                <w:p w14:paraId="14E03550">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（万t/a）</w:t>
                  </w:r>
                </w:p>
              </w:tc>
              <w:tc>
                <w:tcPr>
                  <w:tcW w:w="427" w:type="dxa"/>
                  <w:vMerge w:val="restart"/>
                  <w:vAlign w:val="center"/>
                </w:tcPr>
                <w:p w14:paraId="578D21A8">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排放</w:t>
                  </w:r>
                </w:p>
                <w:p w14:paraId="3D39516D">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去向</w:t>
                  </w:r>
                </w:p>
              </w:tc>
              <w:tc>
                <w:tcPr>
                  <w:tcW w:w="427" w:type="dxa"/>
                  <w:vMerge w:val="restart"/>
                  <w:vAlign w:val="center"/>
                </w:tcPr>
                <w:p w14:paraId="0F3E9B95">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排放规律</w:t>
                  </w:r>
                </w:p>
              </w:tc>
              <w:tc>
                <w:tcPr>
                  <w:tcW w:w="427" w:type="dxa"/>
                  <w:vMerge w:val="restart"/>
                  <w:vAlign w:val="center"/>
                </w:tcPr>
                <w:p w14:paraId="110AE804">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间歇排放时段</w:t>
                  </w:r>
                </w:p>
              </w:tc>
              <w:tc>
                <w:tcPr>
                  <w:tcW w:w="2352" w:type="dxa"/>
                  <w:gridSpan w:val="3"/>
                  <w:vAlign w:val="center"/>
                </w:tcPr>
                <w:p w14:paraId="241B6561">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受纳污水处理厂信息</w:t>
                  </w:r>
                </w:p>
              </w:tc>
            </w:tr>
            <w:tr w14:paraId="2BFCD6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dxa"/>
                  <w:vMerge w:val="continue"/>
                  <w:vAlign w:val="center"/>
                </w:tcPr>
                <w:p w14:paraId="331BAA42">
                  <w:pPr>
                    <w:snapToGrid w:val="0"/>
                    <w:spacing w:line="240" w:lineRule="exact"/>
                    <w:jc w:val="center"/>
                    <w:rPr>
                      <w:b/>
                      <w:bCs/>
                      <w:color w:val="000000" w:themeColor="text1"/>
                      <w:szCs w:val="21"/>
                      <w:highlight w:val="none"/>
                      <w14:textFill>
                        <w14:solidFill>
                          <w14:schemeClr w14:val="tx1"/>
                        </w14:solidFill>
                      </w14:textFill>
                    </w:rPr>
                  </w:pPr>
                </w:p>
              </w:tc>
              <w:tc>
                <w:tcPr>
                  <w:tcW w:w="881" w:type="dxa"/>
                  <w:vMerge w:val="continue"/>
                  <w:vAlign w:val="center"/>
                </w:tcPr>
                <w:p w14:paraId="4C4EA8EC">
                  <w:pPr>
                    <w:snapToGrid w:val="0"/>
                    <w:spacing w:line="240" w:lineRule="exact"/>
                    <w:jc w:val="center"/>
                    <w:rPr>
                      <w:b/>
                      <w:bCs/>
                      <w:color w:val="000000" w:themeColor="text1"/>
                      <w:szCs w:val="21"/>
                      <w:highlight w:val="none"/>
                      <w14:textFill>
                        <w14:solidFill>
                          <w14:schemeClr w14:val="tx1"/>
                        </w14:solidFill>
                      </w14:textFill>
                    </w:rPr>
                  </w:pPr>
                </w:p>
              </w:tc>
              <w:tc>
                <w:tcPr>
                  <w:tcW w:w="1424" w:type="dxa"/>
                  <w:vAlign w:val="center"/>
                </w:tcPr>
                <w:p w14:paraId="6144DFB5">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经度（°）</w:t>
                  </w:r>
                </w:p>
              </w:tc>
              <w:tc>
                <w:tcPr>
                  <w:tcW w:w="1319" w:type="dxa"/>
                  <w:vAlign w:val="center"/>
                </w:tcPr>
                <w:p w14:paraId="02949B18">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纬度（°）</w:t>
                  </w:r>
                </w:p>
              </w:tc>
              <w:tc>
                <w:tcPr>
                  <w:tcW w:w="661" w:type="dxa"/>
                  <w:vMerge w:val="continue"/>
                  <w:vAlign w:val="center"/>
                </w:tcPr>
                <w:p w14:paraId="2B1CB183">
                  <w:pPr>
                    <w:snapToGrid w:val="0"/>
                    <w:spacing w:line="240" w:lineRule="exact"/>
                    <w:jc w:val="center"/>
                    <w:rPr>
                      <w:b/>
                      <w:bCs/>
                      <w:color w:val="000000" w:themeColor="text1"/>
                      <w:szCs w:val="21"/>
                      <w:highlight w:val="none"/>
                      <w14:textFill>
                        <w14:solidFill>
                          <w14:schemeClr w14:val="tx1"/>
                        </w14:solidFill>
                      </w14:textFill>
                    </w:rPr>
                  </w:pPr>
                </w:p>
              </w:tc>
              <w:tc>
                <w:tcPr>
                  <w:tcW w:w="427" w:type="dxa"/>
                  <w:vMerge w:val="continue"/>
                  <w:vAlign w:val="center"/>
                </w:tcPr>
                <w:p w14:paraId="17FEF9CD">
                  <w:pPr>
                    <w:snapToGrid w:val="0"/>
                    <w:spacing w:line="240" w:lineRule="exact"/>
                    <w:jc w:val="center"/>
                    <w:rPr>
                      <w:b/>
                      <w:bCs/>
                      <w:color w:val="000000" w:themeColor="text1"/>
                      <w:szCs w:val="21"/>
                      <w:highlight w:val="none"/>
                      <w14:textFill>
                        <w14:solidFill>
                          <w14:schemeClr w14:val="tx1"/>
                        </w14:solidFill>
                      </w14:textFill>
                    </w:rPr>
                  </w:pPr>
                </w:p>
              </w:tc>
              <w:tc>
                <w:tcPr>
                  <w:tcW w:w="427" w:type="dxa"/>
                  <w:vMerge w:val="continue"/>
                  <w:vAlign w:val="center"/>
                </w:tcPr>
                <w:p w14:paraId="1F5EFCFA">
                  <w:pPr>
                    <w:snapToGrid w:val="0"/>
                    <w:spacing w:line="240" w:lineRule="exact"/>
                    <w:jc w:val="center"/>
                    <w:rPr>
                      <w:b/>
                      <w:bCs/>
                      <w:color w:val="000000" w:themeColor="text1"/>
                      <w:szCs w:val="21"/>
                      <w:highlight w:val="none"/>
                      <w14:textFill>
                        <w14:solidFill>
                          <w14:schemeClr w14:val="tx1"/>
                        </w14:solidFill>
                      </w14:textFill>
                    </w:rPr>
                  </w:pPr>
                </w:p>
              </w:tc>
              <w:tc>
                <w:tcPr>
                  <w:tcW w:w="427" w:type="dxa"/>
                  <w:vMerge w:val="continue"/>
                  <w:vAlign w:val="center"/>
                </w:tcPr>
                <w:p w14:paraId="378772E2">
                  <w:pPr>
                    <w:snapToGrid w:val="0"/>
                    <w:spacing w:line="240" w:lineRule="exact"/>
                    <w:jc w:val="center"/>
                    <w:rPr>
                      <w:b/>
                      <w:bCs/>
                      <w:color w:val="000000" w:themeColor="text1"/>
                      <w:szCs w:val="21"/>
                      <w:highlight w:val="none"/>
                      <w14:textFill>
                        <w14:solidFill>
                          <w14:schemeClr w14:val="tx1"/>
                        </w14:solidFill>
                      </w14:textFill>
                    </w:rPr>
                  </w:pPr>
                </w:p>
              </w:tc>
              <w:tc>
                <w:tcPr>
                  <w:tcW w:w="427" w:type="dxa"/>
                  <w:vAlign w:val="center"/>
                </w:tcPr>
                <w:p w14:paraId="7A956FFA">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名称</w:t>
                  </w:r>
                </w:p>
              </w:tc>
              <w:tc>
                <w:tcPr>
                  <w:tcW w:w="809" w:type="dxa"/>
                  <w:vAlign w:val="center"/>
                </w:tcPr>
                <w:p w14:paraId="19A778AD">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污染物种类</w:t>
                  </w:r>
                </w:p>
              </w:tc>
              <w:tc>
                <w:tcPr>
                  <w:tcW w:w="1116" w:type="dxa"/>
                  <w:vAlign w:val="center"/>
                </w:tcPr>
                <w:p w14:paraId="64074606">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国家或地方污染物排放标准浓度限值（mg/L）</w:t>
                  </w:r>
                </w:p>
              </w:tc>
            </w:tr>
            <w:tr w14:paraId="260F3D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dxa"/>
                  <w:vMerge w:val="restart"/>
                  <w:vAlign w:val="center"/>
                </w:tcPr>
                <w:p w14:paraId="2093310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881" w:type="dxa"/>
                  <w:vMerge w:val="restart"/>
                  <w:vAlign w:val="center"/>
                </w:tcPr>
                <w:p w14:paraId="71F4EEA0">
                  <w:pPr>
                    <w:adjustRightInd w:val="0"/>
                    <w:snapToGrid w:val="0"/>
                    <w:spacing w:line="240" w:lineRule="exact"/>
                    <w:jc w:val="center"/>
                    <w:rPr>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DW001</w:t>
                  </w:r>
                </w:p>
              </w:tc>
              <w:tc>
                <w:tcPr>
                  <w:tcW w:w="1424" w:type="dxa"/>
                  <w:vMerge w:val="restart"/>
                  <w:vAlign w:val="center"/>
                </w:tcPr>
                <w:p w14:paraId="5BF56CB8">
                  <w:pPr>
                    <w:pStyle w:val="142"/>
                    <w:rPr>
                      <w:color w:val="000000" w:themeColor="text1"/>
                      <w:szCs w:val="21"/>
                      <w:highlight w:val="none"/>
                      <w14:textFill>
                        <w14:solidFill>
                          <w14:schemeClr w14:val="tx1"/>
                        </w14:solidFill>
                      </w14:textFill>
                    </w:rPr>
                  </w:pPr>
                  <w:r>
                    <w:rPr>
                      <w:rFonts w:hint="default"/>
                      <w:b w:val="0"/>
                      <w:bCs w:val="0"/>
                      <w:color w:val="000000" w:themeColor="text1"/>
                      <w:highlight w:val="none"/>
                      <w:lang w:val="en-US" w:eastAsia="zh-CN"/>
                      <w14:textFill>
                        <w14:solidFill>
                          <w14:schemeClr w14:val="tx1"/>
                        </w14:solidFill>
                      </w14:textFill>
                    </w:rPr>
                    <w:t>118.83993514</w:t>
                  </w:r>
                </w:p>
              </w:tc>
              <w:tc>
                <w:tcPr>
                  <w:tcW w:w="1319" w:type="dxa"/>
                  <w:vMerge w:val="restart"/>
                  <w:vAlign w:val="center"/>
                </w:tcPr>
                <w:p w14:paraId="28C67EA6">
                  <w:pPr>
                    <w:pStyle w:val="142"/>
                    <w:rPr>
                      <w:color w:val="000000" w:themeColor="text1"/>
                      <w:szCs w:val="21"/>
                      <w:highlight w:val="none"/>
                      <w14:textFill>
                        <w14:solidFill>
                          <w14:schemeClr w14:val="tx1"/>
                        </w14:solidFill>
                      </w14:textFill>
                    </w:rPr>
                  </w:pPr>
                  <w:r>
                    <w:rPr>
                      <w:rFonts w:hint="default"/>
                      <w:b w:val="0"/>
                      <w:bCs w:val="0"/>
                      <w:color w:val="000000" w:themeColor="text1"/>
                      <w:highlight w:val="none"/>
                      <w:lang w:val="en-US" w:eastAsia="zh-CN"/>
                      <w14:textFill>
                        <w14:solidFill>
                          <w14:schemeClr w14:val="tx1"/>
                        </w14:solidFill>
                      </w14:textFill>
                    </w:rPr>
                    <w:t>31.77486213</w:t>
                  </w:r>
                </w:p>
              </w:tc>
              <w:tc>
                <w:tcPr>
                  <w:tcW w:w="661" w:type="dxa"/>
                  <w:vMerge w:val="restart"/>
                  <w:vAlign w:val="center"/>
                </w:tcPr>
                <w:p w14:paraId="1D8E4111">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0.0192</w:t>
                  </w:r>
                </w:p>
              </w:tc>
              <w:tc>
                <w:tcPr>
                  <w:tcW w:w="427" w:type="dxa"/>
                  <w:vMerge w:val="restart"/>
                  <w:vAlign w:val="center"/>
                </w:tcPr>
                <w:p w14:paraId="76774632">
                  <w:pPr>
                    <w:snapToGrid w:val="0"/>
                    <w:spacing w:line="240" w:lineRule="exact"/>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禄口污水处理厂</w:t>
                  </w:r>
                </w:p>
              </w:tc>
              <w:tc>
                <w:tcPr>
                  <w:tcW w:w="427" w:type="dxa"/>
                  <w:vMerge w:val="restart"/>
                  <w:vAlign w:val="center"/>
                </w:tcPr>
                <w:p w14:paraId="1A93427B">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间歇</w:t>
                  </w:r>
                </w:p>
              </w:tc>
              <w:tc>
                <w:tcPr>
                  <w:tcW w:w="427" w:type="dxa"/>
                  <w:vMerge w:val="restart"/>
                  <w:vAlign w:val="center"/>
                </w:tcPr>
                <w:p w14:paraId="7EF23D8C">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427" w:type="dxa"/>
                  <w:vMerge w:val="restart"/>
                  <w:vAlign w:val="center"/>
                </w:tcPr>
                <w:p w14:paraId="00EF76CD">
                  <w:pPr>
                    <w:snapToGrid w:val="0"/>
                    <w:spacing w:line="240" w:lineRule="exact"/>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禄口污水处理厂</w:t>
                  </w:r>
                </w:p>
              </w:tc>
              <w:tc>
                <w:tcPr>
                  <w:tcW w:w="809" w:type="dxa"/>
                  <w:vAlign w:val="center"/>
                </w:tcPr>
                <w:p w14:paraId="73FCCC4C">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pH</w:t>
                  </w:r>
                </w:p>
              </w:tc>
              <w:tc>
                <w:tcPr>
                  <w:tcW w:w="1116" w:type="dxa"/>
                  <w:vAlign w:val="center"/>
                </w:tcPr>
                <w:p w14:paraId="4485C55D">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6-9</w:t>
                  </w:r>
                </w:p>
              </w:tc>
            </w:tr>
            <w:tr w14:paraId="3292F8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dxa"/>
                  <w:vMerge w:val="continue"/>
                  <w:vAlign w:val="center"/>
                </w:tcPr>
                <w:p w14:paraId="2F4ADE40">
                  <w:pPr>
                    <w:snapToGrid w:val="0"/>
                    <w:spacing w:line="240" w:lineRule="exact"/>
                    <w:jc w:val="center"/>
                    <w:rPr>
                      <w:color w:val="000000" w:themeColor="text1"/>
                      <w:szCs w:val="21"/>
                      <w:highlight w:val="none"/>
                      <w14:textFill>
                        <w14:solidFill>
                          <w14:schemeClr w14:val="tx1"/>
                        </w14:solidFill>
                      </w14:textFill>
                    </w:rPr>
                  </w:pPr>
                </w:p>
              </w:tc>
              <w:tc>
                <w:tcPr>
                  <w:tcW w:w="881" w:type="dxa"/>
                  <w:vMerge w:val="continue"/>
                  <w:vAlign w:val="center"/>
                </w:tcPr>
                <w:p w14:paraId="265B7A3B">
                  <w:pPr>
                    <w:snapToGrid w:val="0"/>
                    <w:spacing w:line="240" w:lineRule="exact"/>
                    <w:jc w:val="center"/>
                    <w:rPr>
                      <w:color w:val="000000" w:themeColor="text1"/>
                      <w:szCs w:val="21"/>
                      <w:highlight w:val="none"/>
                      <w14:textFill>
                        <w14:solidFill>
                          <w14:schemeClr w14:val="tx1"/>
                        </w14:solidFill>
                      </w14:textFill>
                    </w:rPr>
                  </w:pPr>
                </w:p>
              </w:tc>
              <w:tc>
                <w:tcPr>
                  <w:tcW w:w="1424" w:type="dxa"/>
                  <w:vMerge w:val="continue"/>
                  <w:vAlign w:val="center"/>
                </w:tcPr>
                <w:p w14:paraId="4F6F0B43">
                  <w:pPr>
                    <w:snapToGrid w:val="0"/>
                    <w:spacing w:line="240" w:lineRule="exact"/>
                    <w:jc w:val="center"/>
                    <w:rPr>
                      <w:color w:val="000000" w:themeColor="text1"/>
                      <w:szCs w:val="21"/>
                      <w:highlight w:val="none"/>
                      <w14:textFill>
                        <w14:solidFill>
                          <w14:schemeClr w14:val="tx1"/>
                        </w14:solidFill>
                      </w14:textFill>
                    </w:rPr>
                  </w:pPr>
                </w:p>
              </w:tc>
              <w:tc>
                <w:tcPr>
                  <w:tcW w:w="1319" w:type="dxa"/>
                  <w:vMerge w:val="continue"/>
                  <w:vAlign w:val="center"/>
                </w:tcPr>
                <w:p w14:paraId="25E6C505">
                  <w:pPr>
                    <w:snapToGrid w:val="0"/>
                    <w:spacing w:line="240" w:lineRule="exact"/>
                    <w:jc w:val="center"/>
                    <w:rPr>
                      <w:color w:val="000000" w:themeColor="text1"/>
                      <w:szCs w:val="21"/>
                      <w:highlight w:val="none"/>
                      <w14:textFill>
                        <w14:solidFill>
                          <w14:schemeClr w14:val="tx1"/>
                        </w14:solidFill>
                      </w14:textFill>
                    </w:rPr>
                  </w:pPr>
                </w:p>
              </w:tc>
              <w:tc>
                <w:tcPr>
                  <w:tcW w:w="661" w:type="dxa"/>
                  <w:vMerge w:val="continue"/>
                  <w:vAlign w:val="center"/>
                </w:tcPr>
                <w:p w14:paraId="4A5F32A9">
                  <w:pPr>
                    <w:snapToGrid w:val="0"/>
                    <w:spacing w:line="240" w:lineRule="exact"/>
                    <w:jc w:val="center"/>
                    <w:rPr>
                      <w:color w:val="000000" w:themeColor="text1"/>
                      <w:szCs w:val="21"/>
                      <w:highlight w:val="none"/>
                      <w14:textFill>
                        <w14:solidFill>
                          <w14:schemeClr w14:val="tx1"/>
                        </w14:solidFill>
                      </w14:textFill>
                    </w:rPr>
                  </w:pPr>
                </w:p>
              </w:tc>
              <w:tc>
                <w:tcPr>
                  <w:tcW w:w="427" w:type="dxa"/>
                  <w:vMerge w:val="continue"/>
                  <w:vAlign w:val="center"/>
                </w:tcPr>
                <w:p w14:paraId="2FBF2E55">
                  <w:pPr>
                    <w:snapToGrid w:val="0"/>
                    <w:spacing w:line="240" w:lineRule="exact"/>
                    <w:jc w:val="center"/>
                    <w:rPr>
                      <w:color w:val="000000" w:themeColor="text1"/>
                      <w:szCs w:val="21"/>
                      <w:highlight w:val="none"/>
                      <w14:textFill>
                        <w14:solidFill>
                          <w14:schemeClr w14:val="tx1"/>
                        </w14:solidFill>
                      </w14:textFill>
                    </w:rPr>
                  </w:pPr>
                </w:p>
              </w:tc>
              <w:tc>
                <w:tcPr>
                  <w:tcW w:w="427" w:type="dxa"/>
                  <w:vMerge w:val="continue"/>
                  <w:vAlign w:val="center"/>
                </w:tcPr>
                <w:p w14:paraId="4BA1F6B1">
                  <w:pPr>
                    <w:snapToGrid w:val="0"/>
                    <w:spacing w:line="240" w:lineRule="exact"/>
                    <w:jc w:val="center"/>
                    <w:rPr>
                      <w:color w:val="000000" w:themeColor="text1"/>
                      <w:szCs w:val="21"/>
                      <w:highlight w:val="none"/>
                      <w14:textFill>
                        <w14:solidFill>
                          <w14:schemeClr w14:val="tx1"/>
                        </w14:solidFill>
                      </w14:textFill>
                    </w:rPr>
                  </w:pPr>
                </w:p>
              </w:tc>
              <w:tc>
                <w:tcPr>
                  <w:tcW w:w="427" w:type="dxa"/>
                  <w:vMerge w:val="continue"/>
                  <w:vAlign w:val="center"/>
                </w:tcPr>
                <w:p w14:paraId="776C0ED8">
                  <w:pPr>
                    <w:snapToGrid w:val="0"/>
                    <w:spacing w:line="240" w:lineRule="exact"/>
                    <w:jc w:val="center"/>
                    <w:rPr>
                      <w:color w:val="000000" w:themeColor="text1"/>
                      <w:szCs w:val="21"/>
                      <w:highlight w:val="none"/>
                      <w14:textFill>
                        <w14:solidFill>
                          <w14:schemeClr w14:val="tx1"/>
                        </w14:solidFill>
                      </w14:textFill>
                    </w:rPr>
                  </w:pPr>
                </w:p>
              </w:tc>
              <w:tc>
                <w:tcPr>
                  <w:tcW w:w="427" w:type="dxa"/>
                  <w:vMerge w:val="continue"/>
                  <w:vAlign w:val="center"/>
                </w:tcPr>
                <w:p w14:paraId="2B652F47">
                  <w:pPr>
                    <w:snapToGrid w:val="0"/>
                    <w:spacing w:line="240" w:lineRule="exact"/>
                    <w:jc w:val="center"/>
                    <w:rPr>
                      <w:color w:val="000000" w:themeColor="text1"/>
                      <w:szCs w:val="21"/>
                      <w:highlight w:val="none"/>
                      <w14:textFill>
                        <w14:solidFill>
                          <w14:schemeClr w14:val="tx1"/>
                        </w14:solidFill>
                      </w14:textFill>
                    </w:rPr>
                  </w:pPr>
                </w:p>
              </w:tc>
              <w:tc>
                <w:tcPr>
                  <w:tcW w:w="809" w:type="dxa"/>
                  <w:vAlign w:val="center"/>
                </w:tcPr>
                <w:p w14:paraId="139C819E">
                  <w:pPr>
                    <w:pStyle w:val="142"/>
                    <w:rPr>
                      <w:color w:val="000000" w:themeColor="text1"/>
                      <w:szCs w:val="21"/>
                      <w:highlight w:val="none"/>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COD</w:t>
                  </w:r>
                </w:p>
              </w:tc>
              <w:tc>
                <w:tcPr>
                  <w:tcW w:w="1116" w:type="dxa"/>
                  <w:vAlign w:val="center"/>
                </w:tcPr>
                <w:p w14:paraId="4D373F7A">
                  <w:pPr>
                    <w:pStyle w:val="142"/>
                    <w:jc w:val="center"/>
                    <w:rPr>
                      <w:color w:val="000000" w:themeColor="text1"/>
                      <w:szCs w:val="21"/>
                      <w:highlight w:val="none"/>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30</w:t>
                  </w:r>
                </w:p>
              </w:tc>
            </w:tr>
            <w:tr w14:paraId="4E667D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dxa"/>
                  <w:vMerge w:val="continue"/>
                  <w:vAlign w:val="center"/>
                </w:tcPr>
                <w:p w14:paraId="3DC561E8">
                  <w:pPr>
                    <w:snapToGrid w:val="0"/>
                    <w:spacing w:line="240" w:lineRule="exact"/>
                    <w:jc w:val="center"/>
                    <w:rPr>
                      <w:color w:val="000000" w:themeColor="text1"/>
                      <w:szCs w:val="21"/>
                      <w:highlight w:val="none"/>
                      <w14:textFill>
                        <w14:solidFill>
                          <w14:schemeClr w14:val="tx1"/>
                        </w14:solidFill>
                      </w14:textFill>
                    </w:rPr>
                  </w:pPr>
                </w:p>
              </w:tc>
              <w:tc>
                <w:tcPr>
                  <w:tcW w:w="881" w:type="dxa"/>
                  <w:vMerge w:val="continue"/>
                  <w:vAlign w:val="center"/>
                </w:tcPr>
                <w:p w14:paraId="1B942CA2">
                  <w:pPr>
                    <w:snapToGrid w:val="0"/>
                    <w:spacing w:line="240" w:lineRule="exact"/>
                    <w:jc w:val="center"/>
                    <w:rPr>
                      <w:color w:val="000000" w:themeColor="text1"/>
                      <w:szCs w:val="21"/>
                      <w:highlight w:val="none"/>
                      <w14:textFill>
                        <w14:solidFill>
                          <w14:schemeClr w14:val="tx1"/>
                        </w14:solidFill>
                      </w14:textFill>
                    </w:rPr>
                  </w:pPr>
                </w:p>
              </w:tc>
              <w:tc>
                <w:tcPr>
                  <w:tcW w:w="1424" w:type="dxa"/>
                  <w:vMerge w:val="continue"/>
                  <w:vAlign w:val="center"/>
                </w:tcPr>
                <w:p w14:paraId="00E5762D">
                  <w:pPr>
                    <w:snapToGrid w:val="0"/>
                    <w:spacing w:line="240" w:lineRule="exact"/>
                    <w:jc w:val="center"/>
                    <w:rPr>
                      <w:color w:val="000000" w:themeColor="text1"/>
                      <w:szCs w:val="21"/>
                      <w:highlight w:val="none"/>
                      <w14:textFill>
                        <w14:solidFill>
                          <w14:schemeClr w14:val="tx1"/>
                        </w14:solidFill>
                      </w14:textFill>
                    </w:rPr>
                  </w:pPr>
                </w:p>
              </w:tc>
              <w:tc>
                <w:tcPr>
                  <w:tcW w:w="1319" w:type="dxa"/>
                  <w:vMerge w:val="continue"/>
                  <w:vAlign w:val="center"/>
                </w:tcPr>
                <w:p w14:paraId="01FDDDDD">
                  <w:pPr>
                    <w:snapToGrid w:val="0"/>
                    <w:spacing w:line="240" w:lineRule="exact"/>
                    <w:jc w:val="center"/>
                    <w:rPr>
                      <w:color w:val="000000" w:themeColor="text1"/>
                      <w:szCs w:val="21"/>
                      <w:highlight w:val="none"/>
                      <w14:textFill>
                        <w14:solidFill>
                          <w14:schemeClr w14:val="tx1"/>
                        </w14:solidFill>
                      </w14:textFill>
                    </w:rPr>
                  </w:pPr>
                </w:p>
              </w:tc>
              <w:tc>
                <w:tcPr>
                  <w:tcW w:w="661" w:type="dxa"/>
                  <w:vMerge w:val="continue"/>
                  <w:vAlign w:val="center"/>
                </w:tcPr>
                <w:p w14:paraId="39194039">
                  <w:pPr>
                    <w:snapToGrid w:val="0"/>
                    <w:spacing w:line="240" w:lineRule="exact"/>
                    <w:jc w:val="center"/>
                    <w:rPr>
                      <w:color w:val="000000" w:themeColor="text1"/>
                      <w:szCs w:val="21"/>
                      <w:highlight w:val="none"/>
                      <w14:textFill>
                        <w14:solidFill>
                          <w14:schemeClr w14:val="tx1"/>
                        </w14:solidFill>
                      </w14:textFill>
                    </w:rPr>
                  </w:pPr>
                </w:p>
              </w:tc>
              <w:tc>
                <w:tcPr>
                  <w:tcW w:w="427" w:type="dxa"/>
                  <w:vMerge w:val="continue"/>
                  <w:vAlign w:val="center"/>
                </w:tcPr>
                <w:p w14:paraId="2C921C7C">
                  <w:pPr>
                    <w:snapToGrid w:val="0"/>
                    <w:spacing w:line="240" w:lineRule="exact"/>
                    <w:jc w:val="center"/>
                    <w:rPr>
                      <w:color w:val="000000" w:themeColor="text1"/>
                      <w:szCs w:val="21"/>
                      <w:highlight w:val="none"/>
                      <w14:textFill>
                        <w14:solidFill>
                          <w14:schemeClr w14:val="tx1"/>
                        </w14:solidFill>
                      </w14:textFill>
                    </w:rPr>
                  </w:pPr>
                </w:p>
              </w:tc>
              <w:tc>
                <w:tcPr>
                  <w:tcW w:w="427" w:type="dxa"/>
                  <w:vMerge w:val="continue"/>
                  <w:vAlign w:val="center"/>
                </w:tcPr>
                <w:p w14:paraId="36040175">
                  <w:pPr>
                    <w:snapToGrid w:val="0"/>
                    <w:spacing w:line="240" w:lineRule="exact"/>
                    <w:jc w:val="center"/>
                    <w:rPr>
                      <w:color w:val="000000" w:themeColor="text1"/>
                      <w:szCs w:val="21"/>
                      <w:highlight w:val="none"/>
                      <w14:textFill>
                        <w14:solidFill>
                          <w14:schemeClr w14:val="tx1"/>
                        </w14:solidFill>
                      </w14:textFill>
                    </w:rPr>
                  </w:pPr>
                </w:p>
              </w:tc>
              <w:tc>
                <w:tcPr>
                  <w:tcW w:w="427" w:type="dxa"/>
                  <w:vMerge w:val="continue"/>
                  <w:vAlign w:val="center"/>
                </w:tcPr>
                <w:p w14:paraId="390FAEDC">
                  <w:pPr>
                    <w:snapToGrid w:val="0"/>
                    <w:spacing w:line="240" w:lineRule="exact"/>
                    <w:jc w:val="center"/>
                    <w:rPr>
                      <w:color w:val="000000" w:themeColor="text1"/>
                      <w:szCs w:val="21"/>
                      <w:highlight w:val="none"/>
                      <w14:textFill>
                        <w14:solidFill>
                          <w14:schemeClr w14:val="tx1"/>
                        </w14:solidFill>
                      </w14:textFill>
                    </w:rPr>
                  </w:pPr>
                </w:p>
              </w:tc>
              <w:tc>
                <w:tcPr>
                  <w:tcW w:w="427" w:type="dxa"/>
                  <w:vMerge w:val="continue"/>
                  <w:vAlign w:val="center"/>
                </w:tcPr>
                <w:p w14:paraId="4342151D">
                  <w:pPr>
                    <w:snapToGrid w:val="0"/>
                    <w:spacing w:line="240" w:lineRule="exact"/>
                    <w:jc w:val="center"/>
                    <w:rPr>
                      <w:color w:val="000000" w:themeColor="text1"/>
                      <w:szCs w:val="21"/>
                      <w:highlight w:val="none"/>
                      <w14:textFill>
                        <w14:solidFill>
                          <w14:schemeClr w14:val="tx1"/>
                        </w14:solidFill>
                      </w14:textFill>
                    </w:rPr>
                  </w:pPr>
                </w:p>
              </w:tc>
              <w:tc>
                <w:tcPr>
                  <w:tcW w:w="809" w:type="dxa"/>
                  <w:vAlign w:val="center"/>
                </w:tcPr>
                <w:p w14:paraId="366F4873">
                  <w:pPr>
                    <w:pStyle w:val="142"/>
                    <w:rPr>
                      <w:color w:val="000000" w:themeColor="text1"/>
                      <w:szCs w:val="21"/>
                      <w:highlight w:val="none"/>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SS</w:t>
                  </w:r>
                </w:p>
              </w:tc>
              <w:tc>
                <w:tcPr>
                  <w:tcW w:w="1116" w:type="dxa"/>
                  <w:vAlign w:val="center"/>
                </w:tcPr>
                <w:p w14:paraId="76D332FF">
                  <w:pPr>
                    <w:pStyle w:val="142"/>
                    <w:jc w:val="center"/>
                    <w:rPr>
                      <w:color w:val="000000" w:themeColor="text1"/>
                      <w:szCs w:val="21"/>
                      <w:highlight w:val="none"/>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5</w:t>
                  </w:r>
                </w:p>
              </w:tc>
            </w:tr>
            <w:tr w14:paraId="2C023D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dxa"/>
                  <w:vMerge w:val="continue"/>
                  <w:vAlign w:val="center"/>
                </w:tcPr>
                <w:p w14:paraId="7FF84607">
                  <w:pPr>
                    <w:snapToGrid w:val="0"/>
                    <w:spacing w:line="240" w:lineRule="exact"/>
                    <w:jc w:val="center"/>
                    <w:rPr>
                      <w:color w:val="000000" w:themeColor="text1"/>
                      <w:szCs w:val="21"/>
                      <w:highlight w:val="none"/>
                      <w14:textFill>
                        <w14:solidFill>
                          <w14:schemeClr w14:val="tx1"/>
                        </w14:solidFill>
                      </w14:textFill>
                    </w:rPr>
                  </w:pPr>
                </w:p>
              </w:tc>
              <w:tc>
                <w:tcPr>
                  <w:tcW w:w="881" w:type="dxa"/>
                  <w:vMerge w:val="continue"/>
                  <w:vAlign w:val="center"/>
                </w:tcPr>
                <w:p w14:paraId="75BB2F93">
                  <w:pPr>
                    <w:snapToGrid w:val="0"/>
                    <w:spacing w:line="240" w:lineRule="exact"/>
                    <w:jc w:val="center"/>
                    <w:rPr>
                      <w:color w:val="000000" w:themeColor="text1"/>
                      <w:szCs w:val="21"/>
                      <w:highlight w:val="none"/>
                      <w14:textFill>
                        <w14:solidFill>
                          <w14:schemeClr w14:val="tx1"/>
                        </w14:solidFill>
                      </w14:textFill>
                    </w:rPr>
                  </w:pPr>
                </w:p>
              </w:tc>
              <w:tc>
                <w:tcPr>
                  <w:tcW w:w="1424" w:type="dxa"/>
                  <w:vMerge w:val="continue"/>
                  <w:vAlign w:val="center"/>
                </w:tcPr>
                <w:p w14:paraId="0AEA3F99">
                  <w:pPr>
                    <w:snapToGrid w:val="0"/>
                    <w:spacing w:line="240" w:lineRule="exact"/>
                    <w:jc w:val="center"/>
                    <w:rPr>
                      <w:color w:val="000000" w:themeColor="text1"/>
                      <w:szCs w:val="21"/>
                      <w:highlight w:val="none"/>
                      <w14:textFill>
                        <w14:solidFill>
                          <w14:schemeClr w14:val="tx1"/>
                        </w14:solidFill>
                      </w14:textFill>
                    </w:rPr>
                  </w:pPr>
                </w:p>
              </w:tc>
              <w:tc>
                <w:tcPr>
                  <w:tcW w:w="1319" w:type="dxa"/>
                  <w:vMerge w:val="continue"/>
                  <w:vAlign w:val="center"/>
                </w:tcPr>
                <w:p w14:paraId="47300B62">
                  <w:pPr>
                    <w:snapToGrid w:val="0"/>
                    <w:spacing w:line="240" w:lineRule="exact"/>
                    <w:jc w:val="center"/>
                    <w:rPr>
                      <w:color w:val="000000" w:themeColor="text1"/>
                      <w:szCs w:val="21"/>
                      <w:highlight w:val="none"/>
                      <w14:textFill>
                        <w14:solidFill>
                          <w14:schemeClr w14:val="tx1"/>
                        </w14:solidFill>
                      </w14:textFill>
                    </w:rPr>
                  </w:pPr>
                </w:p>
              </w:tc>
              <w:tc>
                <w:tcPr>
                  <w:tcW w:w="661" w:type="dxa"/>
                  <w:vMerge w:val="continue"/>
                  <w:vAlign w:val="center"/>
                </w:tcPr>
                <w:p w14:paraId="39D5A7C4">
                  <w:pPr>
                    <w:snapToGrid w:val="0"/>
                    <w:spacing w:line="240" w:lineRule="exact"/>
                    <w:jc w:val="center"/>
                    <w:rPr>
                      <w:color w:val="000000" w:themeColor="text1"/>
                      <w:szCs w:val="21"/>
                      <w:highlight w:val="none"/>
                      <w14:textFill>
                        <w14:solidFill>
                          <w14:schemeClr w14:val="tx1"/>
                        </w14:solidFill>
                      </w14:textFill>
                    </w:rPr>
                  </w:pPr>
                </w:p>
              </w:tc>
              <w:tc>
                <w:tcPr>
                  <w:tcW w:w="427" w:type="dxa"/>
                  <w:vMerge w:val="continue"/>
                  <w:vAlign w:val="center"/>
                </w:tcPr>
                <w:p w14:paraId="686E010A">
                  <w:pPr>
                    <w:snapToGrid w:val="0"/>
                    <w:spacing w:line="240" w:lineRule="exact"/>
                    <w:jc w:val="center"/>
                    <w:rPr>
                      <w:color w:val="000000" w:themeColor="text1"/>
                      <w:szCs w:val="21"/>
                      <w:highlight w:val="none"/>
                      <w14:textFill>
                        <w14:solidFill>
                          <w14:schemeClr w14:val="tx1"/>
                        </w14:solidFill>
                      </w14:textFill>
                    </w:rPr>
                  </w:pPr>
                </w:p>
              </w:tc>
              <w:tc>
                <w:tcPr>
                  <w:tcW w:w="427" w:type="dxa"/>
                  <w:vMerge w:val="continue"/>
                  <w:vAlign w:val="center"/>
                </w:tcPr>
                <w:p w14:paraId="5BBE0353">
                  <w:pPr>
                    <w:snapToGrid w:val="0"/>
                    <w:spacing w:line="240" w:lineRule="exact"/>
                    <w:jc w:val="center"/>
                    <w:rPr>
                      <w:color w:val="000000" w:themeColor="text1"/>
                      <w:szCs w:val="21"/>
                      <w:highlight w:val="none"/>
                      <w14:textFill>
                        <w14:solidFill>
                          <w14:schemeClr w14:val="tx1"/>
                        </w14:solidFill>
                      </w14:textFill>
                    </w:rPr>
                  </w:pPr>
                </w:p>
              </w:tc>
              <w:tc>
                <w:tcPr>
                  <w:tcW w:w="427" w:type="dxa"/>
                  <w:vMerge w:val="continue"/>
                  <w:vAlign w:val="center"/>
                </w:tcPr>
                <w:p w14:paraId="2632F83C">
                  <w:pPr>
                    <w:snapToGrid w:val="0"/>
                    <w:spacing w:line="240" w:lineRule="exact"/>
                    <w:jc w:val="center"/>
                    <w:rPr>
                      <w:color w:val="000000" w:themeColor="text1"/>
                      <w:szCs w:val="21"/>
                      <w:highlight w:val="none"/>
                      <w14:textFill>
                        <w14:solidFill>
                          <w14:schemeClr w14:val="tx1"/>
                        </w14:solidFill>
                      </w14:textFill>
                    </w:rPr>
                  </w:pPr>
                </w:p>
              </w:tc>
              <w:tc>
                <w:tcPr>
                  <w:tcW w:w="427" w:type="dxa"/>
                  <w:vMerge w:val="continue"/>
                  <w:vAlign w:val="center"/>
                </w:tcPr>
                <w:p w14:paraId="0DB86386">
                  <w:pPr>
                    <w:snapToGrid w:val="0"/>
                    <w:spacing w:line="240" w:lineRule="exact"/>
                    <w:jc w:val="center"/>
                    <w:rPr>
                      <w:color w:val="000000" w:themeColor="text1"/>
                      <w:szCs w:val="21"/>
                      <w:highlight w:val="none"/>
                      <w14:textFill>
                        <w14:solidFill>
                          <w14:schemeClr w14:val="tx1"/>
                        </w14:solidFill>
                      </w14:textFill>
                    </w:rPr>
                  </w:pPr>
                </w:p>
              </w:tc>
              <w:tc>
                <w:tcPr>
                  <w:tcW w:w="809" w:type="dxa"/>
                  <w:vAlign w:val="center"/>
                </w:tcPr>
                <w:p w14:paraId="3E7DC40B">
                  <w:pPr>
                    <w:pStyle w:val="142"/>
                    <w:rPr>
                      <w:color w:val="000000" w:themeColor="text1"/>
                      <w:szCs w:val="21"/>
                      <w:highlight w:val="none"/>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NH</w:t>
                  </w:r>
                  <w:r>
                    <w:rPr>
                      <w:rFonts w:hint="eastAsia"/>
                      <w:b w:val="0"/>
                      <w:bCs w:val="0"/>
                      <w:color w:val="000000" w:themeColor="text1"/>
                      <w:highlight w:val="none"/>
                      <w:vertAlign w:val="subscript"/>
                      <w:lang w:val="en-US" w:eastAsia="zh-CN"/>
                      <w14:textFill>
                        <w14:solidFill>
                          <w14:schemeClr w14:val="tx1"/>
                        </w14:solidFill>
                      </w14:textFill>
                    </w:rPr>
                    <w:t>3</w:t>
                  </w:r>
                  <w:r>
                    <w:rPr>
                      <w:rFonts w:hint="eastAsia"/>
                      <w:b w:val="0"/>
                      <w:bCs w:val="0"/>
                      <w:color w:val="000000" w:themeColor="text1"/>
                      <w:highlight w:val="none"/>
                      <w:lang w:val="en-US" w:eastAsia="zh-CN"/>
                      <w14:textFill>
                        <w14:solidFill>
                          <w14:schemeClr w14:val="tx1"/>
                        </w14:solidFill>
                      </w14:textFill>
                    </w:rPr>
                    <w:t>-N</w:t>
                  </w:r>
                </w:p>
              </w:tc>
              <w:tc>
                <w:tcPr>
                  <w:tcW w:w="1116" w:type="dxa"/>
                  <w:vAlign w:val="center"/>
                </w:tcPr>
                <w:p w14:paraId="102BD32B">
                  <w:pPr>
                    <w:pStyle w:val="142"/>
                    <w:jc w:val="center"/>
                    <w:rPr>
                      <w:rFonts w:hint="default"/>
                      <w:color w:val="000000" w:themeColor="text1"/>
                      <w:szCs w:val="21"/>
                      <w:highlight w:val="none"/>
                      <w:lang w:val="en-US"/>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1.5（3）*</w:t>
                  </w:r>
                </w:p>
              </w:tc>
            </w:tr>
            <w:tr w14:paraId="5DE634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dxa"/>
                  <w:vMerge w:val="continue"/>
                  <w:vAlign w:val="center"/>
                </w:tcPr>
                <w:p w14:paraId="10E557FC">
                  <w:pPr>
                    <w:snapToGrid w:val="0"/>
                    <w:spacing w:line="240" w:lineRule="exact"/>
                    <w:jc w:val="center"/>
                    <w:rPr>
                      <w:color w:val="000000" w:themeColor="text1"/>
                      <w:szCs w:val="21"/>
                      <w:highlight w:val="none"/>
                      <w14:textFill>
                        <w14:solidFill>
                          <w14:schemeClr w14:val="tx1"/>
                        </w14:solidFill>
                      </w14:textFill>
                    </w:rPr>
                  </w:pPr>
                </w:p>
              </w:tc>
              <w:tc>
                <w:tcPr>
                  <w:tcW w:w="881" w:type="dxa"/>
                  <w:vMerge w:val="continue"/>
                  <w:vAlign w:val="center"/>
                </w:tcPr>
                <w:p w14:paraId="299EA6F5">
                  <w:pPr>
                    <w:snapToGrid w:val="0"/>
                    <w:spacing w:line="240" w:lineRule="exact"/>
                    <w:jc w:val="center"/>
                    <w:rPr>
                      <w:color w:val="000000" w:themeColor="text1"/>
                      <w:szCs w:val="21"/>
                      <w:highlight w:val="none"/>
                      <w14:textFill>
                        <w14:solidFill>
                          <w14:schemeClr w14:val="tx1"/>
                        </w14:solidFill>
                      </w14:textFill>
                    </w:rPr>
                  </w:pPr>
                </w:p>
              </w:tc>
              <w:tc>
                <w:tcPr>
                  <w:tcW w:w="1424" w:type="dxa"/>
                  <w:vMerge w:val="continue"/>
                  <w:vAlign w:val="center"/>
                </w:tcPr>
                <w:p w14:paraId="1A679C9A">
                  <w:pPr>
                    <w:snapToGrid w:val="0"/>
                    <w:spacing w:line="240" w:lineRule="exact"/>
                    <w:jc w:val="center"/>
                    <w:rPr>
                      <w:color w:val="000000" w:themeColor="text1"/>
                      <w:szCs w:val="21"/>
                      <w:highlight w:val="none"/>
                      <w14:textFill>
                        <w14:solidFill>
                          <w14:schemeClr w14:val="tx1"/>
                        </w14:solidFill>
                      </w14:textFill>
                    </w:rPr>
                  </w:pPr>
                </w:p>
              </w:tc>
              <w:tc>
                <w:tcPr>
                  <w:tcW w:w="1319" w:type="dxa"/>
                  <w:vMerge w:val="continue"/>
                  <w:vAlign w:val="center"/>
                </w:tcPr>
                <w:p w14:paraId="2294A977">
                  <w:pPr>
                    <w:snapToGrid w:val="0"/>
                    <w:spacing w:line="240" w:lineRule="exact"/>
                    <w:jc w:val="center"/>
                    <w:rPr>
                      <w:color w:val="000000" w:themeColor="text1"/>
                      <w:szCs w:val="21"/>
                      <w:highlight w:val="none"/>
                      <w14:textFill>
                        <w14:solidFill>
                          <w14:schemeClr w14:val="tx1"/>
                        </w14:solidFill>
                      </w14:textFill>
                    </w:rPr>
                  </w:pPr>
                </w:p>
              </w:tc>
              <w:tc>
                <w:tcPr>
                  <w:tcW w:w="661" w:type="dxa"/>
                  <w:vMerge w:val="continue"/>
                  <w:vAlign w:val="center"/>
                </w:tcPr>
                <w:p w14:paraId="3958E967">
                  <w:pPr>
                    <w:snapToGrid w:val="0"/>
                    <w:spacing w:line="240" w:lineRule="exact"/>
                    <w:jc w:val="center"/>
                    <w:rPr>
                      <w:color w:val="000000" w:themeColor="text1"/>
                      <w:szCs w:val="21"/>
                      <w:highlight w:val="none"/>
                      <w14:textFill>
                        <w14:solidFill>
                          <w14:schemeClr w14:val="tx1"/>
                        </w14:solidFill>
                      </w14:textFill>
                    </w:rPr>
                  </w:pPr>
                </w:p>
              </w:tc>
              <w:tc>
                <w:tcPr>
                  <w:tcW w:w="427" w:type="dxa"/>
                  <w:vMerge w:val="continue"/>
                  <w:vAlign w:val="center"/>
                </w:tcPr>
                <w:p w14:paraId="1CF888AA">
                  <w:pPr>
                    <w:snapToGrid w:val="0"/>
                    <w:spacing w:line="240" w:lineRule="exact"/>
                    <w:jc w:val="center"/>
                    <w:rPr>
                      <w:color w:val="000000" w:themeColor="text1"/>
                      <w:szCs w:val="21"/>
                      <w:highlight w:val="none"/>
                      <w14:textFill>
                        <w14:solidFill>
                          <w14:schemeClr w14:val="tx1"/>
                        </w14:solidFill>
                      </w14:textFill>
                    </w:rPr>
                  </w:pPr>
                </w:p>
              </w:tc>
              <w:tc>
                <w:tcPr>
                  <w:tcW w:w="427" w:type="dxa"/>
                  <w:vMerge w:val="continue"/>
                  <w:vAlign w:val="center"/>
                </w:tcPr>
                <w:p w14:paraId="71A7B070">
                  <w:pPr>
                    <w:snapToGrid w:val="0"/>
                    <w:spacing w:line="240" w:lineRule="exact"/>
                    <w:jc w:val="center"/>
                    <w:rPr>
                      <w:color w:val="000000" w:themeColor="text1"/>
                      <w:szCs w:val="21"/>
                      <w:highlight w:val="none"/>
                      <w14:textFill>
                        <w14:solidFill>
                          <w14:schemeClr w14:val="tx1"/>
                        </w14:solidFill>
                      </w14:textFill>
                    </w:rPr>
                  </w:pPr>
                </w:p>
              </w:tc>
              <w:tc>
                <w:tcPr>
                  <w:tcW w:w="427" w:type="dxa"/>
                  <w:vMerge w:val="continue"/>
                  <w:vAlign w:val="center"/>
                </w:tcPr>
                <w:p w14:paraId="304EE092">
                  <w:pPr>
                    <w:snapToGrid w:val="0"/>
                    <w:spacing w:line="240" w:lineRule="exact"/>
                    <w:jc w:val="center"/>
                    <w:rPr>
                      <w:color w:val="000000" w:themeColor="text1"/>
                      <w:szCs w:val="21"/>
                      <w:highlight w:val="none"/>
                      <w14:textFill>
                        <w14:solidFill>
                          <w14:schemeClr w14:val="tx1"/>
                        </w14:solidFill>
                      </w14:textFill>
                    </w:rPr>
                  </w:pPr>
                </w:p>
              </w:tc>
              <w:tc>
                <w:tcPr>
                  <w:tcW w:w="427" w:type="dxa"/>
                  <w:vMerge w:val="continue"/>
                  <w:vAlign w:val="center"/>
                </w:tcPr>
                <w:p w14:paraId="567DBDF4">
                  <w:pPr>
                    <w:snapToGrid w:val="0"/>
                    <w:spacing w:line="240" w:lineRule="exact"/>
                    <w:jc w:val="center"/>
                    <w:rPr>
                      <w:color w:val="000000" w:themeColor="text1"/>
                      <w:szCs w:val="21"/>
                      <w:highlight w:val="none"/>
                      <w14:textFill>
                        <w14:solidFill>
                          <w14:schemeClr w14:val="tx1"/>
                        </w14:solidFill>
                      </w14:textFill>
                    </w:rPr>
                  </w:pPr>
                </w:p>
              </w:tc>
              <w:tc>
                <w:tcPr>
                  <w:tcW w:w="809" w:type="dxa"/>
                  <w:vAlign w:val="center"/>
                </w:tcPr>
                <w:p w14:paraId="5D41B560">
                  <w:pPr>
                    <w:pStyle w:val="142"/>
                    <w:rPr>
                      <w:color w:val="000000" w:themeColor="text1"/>
                      <w:szCs w:val="21"/>
                      <w:highlight w:val="none"/>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TN</w:t>
                  </w:r>
                </w:p>
              </w:tc>
              <w:tc>
                <w:tcPr>
                  <w:tcW w:w="1116" w:type="dxa"/>
                  <w:vAlign w:val="center"/>
                </w:tcPr>
                <w:p w14:paraId="2DC27420">
                  <w:pPr>
                    <w:pStyle w:val="142"/>
                    <w:jc w:val="center"/>
                    <w:rPr>
                      <w:color w:val="000000" w:themeColor="text1"/>
                      <w:kern w:val="0"/>
                      <w:szCs w:val="21"/>
                      <w:highlight w:val="none"/>
                      <w:lang w:bidi="ar"/>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12（15）</w:t>
                  </w:r>
                  <w:r>
                    <w:rPr>
                      <w:rFonts w:hint="eastAsia" w:cs="Times New Roman"/>
                      <w:b w:val="0"/>
                      <w:bCs w:val="0"/>
                      <w:color w:val="000000" w:themeColor="text1"/>
                      <w:highlight w:val="none"/>
                      <w:lang w:val="en-US" w:eastAsia="zh-CN"/>
                      <w14:textFill>
                        <w14:solidFill>
                          <w14:schemeClr w14:val="tx1"/>
                        </w14:solidFill>
                      </w14:textFill>
                    </w:rPr>
                    <w:t>*</w:t>
                  </w:r>
                </w:p>
              </w:tc>
            </w:tr>
            <w:tr w14:paraId="01E14F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dxa"/>
                  <w:vMerge w:val="continue"/>
                  <w:vAlign w:val="center"/>
                </w:tcPr>
                <w:p w14:paraId="35B5FF88">
                  <w:pPr>
                    <w:snapToGrid w:val="0"/>
                    <w:spacing w:line="240" w:lineRule="exact"/>
                    <w:jc w:val="center"/>
                    <w:rPr>
                      <w:color w:val="000000" w:themeColor="text1"/>
                      <w:szCs w:val="21"/>
                      <w:highlight w:val="none"/>
                      <w14:textFill>
                        <w14:solidFill>
                          <w14:schemeClr w14:val="tx1"/>
                        </w14:solidFill>
                      </w14:textFill>
                    </w:rPr>
                  </w:pPr>
                </w:p>
              </w:tc>
              <w:tc>
                <w:tcPr>
                  <w:tcW w:w="881" w:type="dxa"/>
                  <w:vMerge w:val="continue"/>
                  <w:vAlign w:val="center"/>
                </w:tcPr>
                <w:p w14:paraId="04A0B9B4">
                  <w:pPr>
                    <w:snapToGrid w:val="0"/>
                    <w:spacing w:line="240" w:lineRule="exact"/>
                    <w:jc w:val="center"/>
                    <w:rPr>
                      <w:color w:val="000000" w:themeColor="text1"/>
                      <w:szCs w:val="21"/>
                      <w:highlight w:val="none"/>
                      <w14:textFill>
                        <w14:solidFill>
                          <w14:schemeClr w14:val="tx1"/>
                        </w14:solidFill>
                      </w14:textFill>
                    </w:rPr>
                  </w:pPr>
                </w:p>
              </w:tc>
              <w:tc>
                <w:tcPr>
                  <w:tcW w:w="1424" w:type="dxa"/>
                  <w:vMerge w:val="continue"/>
                  <w:vAlign w:val="center"/>
                </w:tcPr>
                <w:p w14:paraId="2FC6D291">
                  <w:pPr>
                    <w:snapToGrid w:val="0"/>
                    <w:spacing w:line="240" w:lineRule="exact"/>
                    <w:jc w:val="center"/>
                    <w:rPr>
                      <w:color w:val="000000" w:themeColor="text1"/>
                      <w:szCs w:val="21"/>
                      <w:highlight w:val="none"/>
                      <w14:textFill>
                        <w14:solidFill>
                          <w14:schemeClr w14:val="tx1"/>
                        </w14:solidFill>
                      </w14:textFill>
                    </w:rPr>
                  </w:pPr>
                </w:p>
              </w:tc>
              <w:tc>
                <w:tcPr>
                  <w:tcW w:w="1319" w:type="dxa"/>
                  <w:vMerge w:val="continue"/>
                  <w:vAlign w:val="center"/>
                </w:tcPr>
                <w:p w14:paraId="182B57DE">
                  <w:pPr>
                    <w:snapToGrid w:val="0"/>
                    <w:spacing w:line="240" w:lineRule="exact"/>
                    <w:jc w:val="center"/>
                    <w:rPr>
                      <w:color w:val="000000" w:themeColor="text1"/>
                      <w:szCs w:val="21"/>
                      <w:highlight w:val="none"/>
                      <w14:textFill>
                        <w14:solidFill>
                          <w14:schemeClr w14:val="tx1"/>
                        </w14:solidFill>
                      </w14:textFill>
                    </w:rPr>
                  </w:pPr>
                </w:p>
              </w:tc>
              <w:tc>
                <w:tcPr>
                  <w:tcW w:w="661" w:type="dxa"/>
                  <w:vMerge w:val="continue"/>
                  <w:vAlign w:val="center"/>
                </w:tcPr>
                <w:p w14:paraId="6D4CE627">
                  <w:pPr>
                    <w:snapToGrid w:val="0"/>
                    <w:spacing w:line="240" w:lineRule="exact"/>
                    <w:jc w:val="center"/>
                    <w:rPr>
                      <w:color w:val="000000" w:themeColor="text1"/>
                      <w:szCs w:val="21"/>
                      <w:highlight w:val="none"/>
                      <w14:textFill>
                        <w14:solidFill>
                          <w14:schemeClr w14:val="tx1"/>
                        </w14:solidFill>
                      </w14:textFill>
                    </w:rPr>
                  </w:pPr>
                </w:p>
              </w:tc>
              <w:tc>
                <w:tcPr>
                  <w:tcW w:w="427" w:type="dxa"/>
                  <w:vMerge w:val="continue"/>
                  <w:vAlign w:val="center"/>
                </w:tcPr>
                <w:p w14:paraId="528747BC">
                  <w:pPr>
                    <w:snapToGrid w:val="0"/>
                    <w:spacing w:line="240" w:lineRule="exact"/>
                    <w:jc w:val="center"/>
                    <w:rPr>
                      <w:color w:val="000000" w:themeColor="text1"/>
                      <w:szCs w:val="21"/>
                      <w:highlight w:val="none"/>
                      <w14:textFill>
                        <w14:solidFill>
                          <w14:schemeClr w14:val="tx1"/>
                        </w14:solidFill>
                      </w14:textFill>
                    </w:rPr>
                  </w:pPr>
                </w:p>
              </w:tc>
              <w:tc>
                <w:tcPr>
                  <w:tcW w:w="427" w:type="dxa"/>
                  <w:vMerge w:val="continue"/>
                  <w:vAlign w:val="center"/>
                </w:tcPr>
                <w:p w14:paraId="59C5AC4E">
                  <w:pPr>
                    <w:snapToGrid w:val="0"/>
                    <w:spacing w:line="240" w:lineRule="exact"/>
                    <w:jc w:val="center"/>
                    <w:rPr>
                      <w:color w:val="000000" w:themeColor="text1"/>
                      <w:szCs w:val="21"/>
                      <w:highlight w:val="none"/>
                      <w14:textFill>
                        <w14:solidFill>
                          <w14:schemeClr w14:val="tx1"/>
                        </w14:solidFill>
                      </w14:textFill>
                    </w:rPr>
                  </w:pPr>
                </w:p>
              </w:tc>
              <w:tc>
                <w:tcPr>
                  <w:tcW w:w="427" w:type="dxa"/>
                  <w:vMerge w:val="continue"/>
                  <w:vAlign w:val="center"/>
                </w:tcPr>
                <w:p w14:paraId="132B1E5E">
                  <w:pPr>
                    <w:snapToGrid w:val="0"/>
                    <w:spacing w:line="240" w:lineRule="exact"/>
                    <w:jc w:val="center"/>
                    <w:rPr>
                      <w:color w:val="000000" w:themeColor="text1"/>
                      <w:szCs w:val="21"/>
                      <w:highlight w:val="none"/>
                      <w14:textFill>
                        <w14:solidFill>
                          <w14:schemeClr w14:val="tx1"/>
                        </w14:solidFill>
                      </w14:textFill>
                    </w:rPr>
                  </w:pPr>
                </w:p>
              </w:tc>
              <w:tc>
                <w:tcPr>
                  <w:tcW w:w="427" w:type="dxa"/>
                  <w:vMerge w:val="continue"/>
                  <w:vAlign w:val="center"/>
                </w:tcPr>
                <w:p w14:paraId="4E7FF3E5">
                  <w:pPr>
                    <w:snapToGrid w:val="0"/>
                    <w:spacing w:line="240" w:lineRule="exact"/>
                    <w:jc w:val="center"/>
                    <w:rPr>
                      <w:color w:val="000000" w:themeColor="text1"/>
                      <w:szCs w:val="21"/>
                      <w:highlight w:val="none"/>
                      <w14:textFill>
                        <w14:solidFill>
                          <w14:schemeClr w14:val="tx1"/>
                        </w14:solidFill>
                      </w14:textFill>
                    </w:rPr>
                  </w:pPr>
                </w:p>
              </w:tc>
              <w:tc>
                <w:tcPr>
                  <w:tcW w:w="809" w:type="dxa"/>
                  <w:vAlign w:val="center"/>
                </w:tcPr>
                <w:p w14:paraId="268AEDAD">
                  <w:pPr>
                    <w:pStyle w:val="142"/>
                    <w:rPr>
                      <w:rFonts w:hint="eastAsia"/>
                      <w:color w:val="000000" w:themeColor="text1"/>
                      <w:szCs w:val="21"/>
                      <w:highlight w:val="none"/>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TP</w:t>
                  </w:r>
                </w:p>
              </w:tc>
              <w:tc>
                <w:tcPr>
                  <w:tcW w:w="1116" w:type="dxa"/>
                  <w:vAlign w:val="center"/>
                </w:tcPr>
                <w:p w14:paraId="5430D24C">
                  <w:pPr>
                    <w:pStyle w:val="142"/>
                    <w:jc w:val="center"/>
                    <w:rPr>
                      <w:rFonts w:hint="eastAsia"/>
                      <w:color w:val="000000" w:themeColor="text1"/>
                      <w:highlight w:val="none"/>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0.3</w:t>
                  </w:r>
                </w:p>
              </w:tc>
            </w:tr>
          </w:tbl>
          <w:p w14:paraId="59C873DD">
            <w:pPr>
              <w:adjustRightInd w:val="0"/>
              <w:snapToGrid w:val="0"/>
              <w:spacing w:line="240" w:lineRule="exact"/>
              <w:rPr>
                <w:color w:val="000000" w:themeColor="text1"/>
                <w:sz w:val="18"/>
                <w:szCs w:val="18"/>
                <w:highlight w:val="none"/>
                <w14:textFill>
                  <w14:solidFill>
                    <w14:schemeClr w14:val="tx1"/>
                  </w14:solidFill>
                </w14:textFill>
              </w:rPr>
            </w:pPr>
            <w:r>
              <w:rPr>
                <w:b/>
                <w:bCs/>
                <w:color w:val="000000" w:themeColor="text1"/>
                <w:sz w:val="18"/>
                <w:szCs w:val="18"/>
                <w:highlight w:val="none"/>
                <w14:textFill>
                  <w14:solidFill>
                    <w14:schemeClr w14:val="tx1"/>
                  </w14:solidFill>
                </w14:textFill>
              </w:rPr>
              <w:t>注*：</w:t>
            </w:r>
            <w:r>
              <w:rPr>
                <w:rFonts w:hint="eastAsia"/>
                <w:b/>
                <w:bCs/>
                <w:color w:val="000000" w:themeColor="text1"/>
                <w:sz w:val="18"/>
                <w:szCs w:val="18"/>
                <w:highlight w:val="none"/>
                <w14:textFill>
                  <w14:solidFill>
                    <w14:schemeClr w14:val="tx1"/>
                  </w14:solidFill>
                </w14:textFill>
              </w:rPr>
              <w:t>每年11月1日至次年3月31日执行括号内排放限值</w:t>
            </w:r>
            <w:r>
              <w:rPr>
                <w:b/>
                <w:bCs/>
                <w:color w:val="000000" w:themeColor="text1"/>
                <w:sz w:val="18"/>
                <w:szCs w:val="18"/>
                <w:highlight w:val="none"/>
                <w14:textFill>
                  <w14:solidFill>
                    <w14:schemeClr w14:val="tx1"/>
                  </w14:solidFill>
                </w14:textFill>
              </w:rPr>
              <w:t>。</w:t>
            </w:r>
          </w:p>
          <w:p w14:paraId="36F1A685">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2）监测计划</w:t>
            </w:r>
          </w:p>
          <w:p w14:paraId="63E3043D">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企业属于登记管理，</w:t>
            </w:r>
            <w:r>
              <w:rPr>
                <w:color w:val="000000" w:themeColor="text1"/>
                <w:sz w:val="24"/>
                <w:highlight w:val="none"/>
                <w14:textFill>
                  <w14:solidFill>
                    <w14:schemeClr w14:val="tx1"/>
                  </w14:solidFill>
                </w14:textFill>
              </w:rPr>
              <w:t>根据《排污单位自行监测技术指南</w:t>
            </w: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总则》（HJ819-2017）相关要求，本项目废水污染源日常监测要求见下表。</w:t>
            </w:r>
          </w:p>
          <w:p w14:paraId="77C0D53B">
            <w:pPr>
              <w:pStyle w:val="125"/>
              <w:numPr>
                <w:ilvl w:val="0"/>
                <w:numId w:val="0"/>
              </w:numPr>
              <w:spacing w:line="440" w:lineRule="exact"/>
              <w:rPr>
                <w:rFonts w:hint="default"/>
                <w:color w:val="000000" w:themeColor="text1"/>
                <w:sz w:val="24"/>
                <w:highlight w:val="none"/>
                <w14:textFill>
                  <w14:solidFill>
                    <w14:schemeClr w14:val="tx1"/>
                  </w14:solidFill>
                </w14:textFill>
              </w:rPr>
            </w:pPr>
            <w:r>
              <w:rPr>
                <w:rFonts w:hint="default"/>
                <w:color w:val="000000" w:themeColor="text1"/>
                <w:sz w:val="24"/>
                <w:highlight w:val="none"/>
                <w14:textFill>
                  <w14:solidFill>
                    <w14:schemeClr w14:val="tx1"/>
                  </w14:solidFill>
                </w14:textFill>
              </w:rPr>
              <w:t>表4-</w:t>
            </w:r>
            <w:r>
              <w:rPr>
                <w:rFonts w:hint="eastAsia"/>
                <w:color w:val="000000" w:themeColor="text1"/>
                <w:sz w:val="24"/>
                <w:highlight w:val="none"/>
                <w:lang w:val="en-US" w:eastAsia="zh-CN"/>
                <w14:textFill>
                  <w14:solidFill>
                    <w14:schemeClr w14:val="tx1"/>
                  </w14:solidFill>
                </w14:textFill>
              </w:rPr>
              <w:t xml:space="preserve">21  </w:t>
            </w:r>
            <w:r>
              <w:rPr>
                <w:rFonts w:hint="default"/>
                <w:color w:val="000000" w:themeColor="text1"/>
                <w:sz w:val="24"/>
                <w:highlight w:val="none"/>
                <w14:textFill>
                  <w14:solidFill>
                    <w14:schemeClr w14:val="tx1"/>
                  </w14:solidFill>
                </w14:textFill>
              </w:rPr>
              <w:t>废水监测计划表</w:t>
            </w:r>
          </w:p>
          <w:tbl>
            <w:tblPr>
              <w:tblStyle w:val="38"/>
              <w:tblW w:w="8371"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791"/>
              <w:gridCol w:w="1314"/>
              <w:gridCol w:w="2216"/>
              <w:gridCol w:w="1203"/>
              <w:gridCol w:w="2847"/>
            </w:tblGrid>
            <w:tr w14:paraId="366B387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0" w:hRule="atLeast"/>
                <w:jc w:val="center"/>
              </w:trPr>
              <w:tc>
                <w:tcPr>
                  <w:tcW w:w="791" w:type="dxa"/>
                  <w:vAlign w:val="center"/>
                </w:tcPr>
                <w:p w14:paraId="4125D332">
                  <w:pPr>
                    <w:snapToGrid w:val="0"/>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类别</w:t>
                  </w:r>
                </w:p>
              </w:tc>
              <w:tc>
                <w:tcPr>
                  <w:tcW w:w="1314" w:type="dxa"/>
                  <w:vAlign w:val="center"/>
                </w:tcPr>
                <w:p w14:paraId="16B576E4">
                  <w:pPr>
                    <w:snapToGrid w:val="0"/>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监测位置</w:t>
                  </w:r>
                </w:p>
              </w:tc>
              <w:tc>
                <w:tcPr>
                  <w:tcW w:w="2216" w:type="dxa"/>
                  <w:vAlign w:val="center"/>
                </w:tcPr>
                <w:p w14:paraId="6EB4253F">
                  <w:pPr>
                    <w:snapToGrid w:val="0"/>
                    <w:ind w:left="103" w:hanging="103" w:hangingChars="49"/>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监测项目</w:t>
                  </w:r>
                </w:p>
              </w:tc>
              <w:tc>
                <w:tcPr>
                  <w:tcW w:w="1203" w:type="dxa"/>
                  <w:vAlign w:val="center"/>
                </w:tcPr>
                <w:p w14:paraId="1071A854">
                  <w:pPr>
                    <w:snapToGrid w:val="0"/>
                    <w:ind w:firstLine="103" w:firstLineChars="49"/>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监测频次</w:t>
                  </w:r>
                </w:p>
              </w:tc>
              <w:tc>
                <w:tcPr>
                  <w:tcW w:w="2847" w:type="dxa"/>
                  <w:vAlign w:val="center"/>
                </w:tcPr>
                <w:p w14:paraId="01DBDEE8">
                  <w:pPr>
                    <w:snapToGrid w:val="0"/>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执行标准</w:t>
                  </w:r>
                </w:p>
              </w:tc>
            </w:tr>
            <w:tr w14:paraId="71339BC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67" w:hRule="atLeast"/>
                <w:jc w:val="center"/>
              </w:trPr>
              <w:tc>
                <w:tcPr>
                  <w:tcW w:w="791" w:type="dxa"/>
                  <w:vAlign w:val="center"/>
                </w:tcPr>
                <w:p w14:paraId="618E0B72">
                  <w:pPr>
                    <w:snapToGrid w:val="0"/>
                    <w:jc w:val="center"/>
                    <w:rPr>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t>综合废水</w:t>
                  </w:r>
                </w:p>
              </w:tc>
              <w:tc>
                <w:tcPr>
                  <w:tcW w:w="1314" w:type="dxa"/>
                  <w:vAlign w:val="center"/>
                </w:tcPr>
                <w:p w14:paraId="09D36315">
                  <w:pPr>
                    <w:snapToGrid w:val="0"/>
                    <w:jc w:val="center"/>
                    <w:rPr>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t>废水总排口</w:t>
                  </w:r>
                </w:p>
              </w:tc>
              <w:tc>
                <w:tcPr>
                  <w:tcW w:w="2216" w:type="dxa"/>
                  <w:vAlign w:val="center"/>
                </w:tcPr>
                <w:p w14:paraId="4502D08E">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流量、</w:t>
                  </w:r>
                  <w:r>
                    <w:rPr>
                      <w:rFonts w:hint="eastAsia"/>
                      <w:color w:val="000000" w:themeColor="text1"/>
                      <w:szCs w:val="21"/>
                      <w:highlight w:val="none"/>
                      <w14:textFill>
                        <w14:solidFill>
                          <w14:schemeClr w14:val="tx1"/>
                        </w14:solidFill>
                      </w14:textFill>
                    </w:rPr>
                    <w:t>pH</w:t>
                  </w:r>
                  <w:r>
                    <w:rPr>
                      <w:color w:val="000000" w:themeColor="text1"/>
                      <w:szCs w:val="21"/>
                      <w:highlight w:val="none"/>
                      <w14:textFill>
                        <w14:solidFill>
                          <w14:schemeClr w14:val="tx1"/>
                        </w14:solidFill>
                      </w14:textFill>
                    </w:rPr>
                    <w:t>、COD</w:t>
                  </w:r>
                </w:p>
                <w:p w14:paraId="0528A1D9">
                  <w:pPr>
                    <w:jc w:val="center"/>
                    <w:rPr>
                      <w:rFonts w:hint="default" w:eastAsia="宋体" w:cs="宋体"/>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SS、NH</w:t>
                  </w:r>
                  <w:r>
                    <w:rPr>
                      <w:color w:val="000000" w:themeColor="text1"/>
                      <w:szCs w:val="21"/>
                      <w:highlight w:val="none"/>
                      <w:vertAlign w:val="subscript"/>
                      <w14:textFill>
                        <w14:solidFill>
                          <w14:schemeClr w14:val="tx1"/>
                        </w14:solidFill>
                      </w14:textFill>
                    </w:rPr>
                    <w:t>3</w:t>
                  </w:r>
                  <w:r>
                    <w:rPr>
                      <w:color w:val="000000" w:themeColor="text1"/>
                      <w:szCs w:val="21"/>
                      <w:highlight w:val="none"/>
                      <w14:textFill>
                        <w14:solidFill>
                          <w14:schemeClr w14:val="tx1"/>
                        </w14:solidFill>
                      </w14:textFill>
                    </w:rPr>
                    <w:t>-N</w:t>
                  </w:r>
                  <w:r>
                    <w:rPr>
                      <w:rFonts w:hint="eastAsia"/>
                      <w:color w:val="000000" w:themeColor="text1"/>
                      <w:szCs w:val="21"/>
                      <w:highlight w:val="none"/>
                      <w14:textFill>
                        <w14:solidFill>
                          <w14:schemeClr w14:val="tx1"/>
                        </w14:solidFill>
                      </w14:textFill>
                    </w:rPr>
                    <w:t>、TN</w:t>
                  </w:r>
                  <w:r>
                    <w:rPr>
                      <w:rFonts w:hint="eastAsia"/>
                      <w:bCs/>
                      <w:color w:val="000000" w:themeColor="text1"/>
                      <w:szCs w:val="21"/>
                      <w:highlight w:val="none"/>
                      <w14:textFill>
                        <w14:solidFill>
                          <w14:schemeClr w14:val="tx1"/>
                        </w14:solidFill>
                      </w14:textFill>
                    </w:rPr>
                    <w:t>、TP</w:t>
                  </w:r>
                </w:p>
              </w:tc>
              <w:tc>
                <w:tcPr>
                  <w:tcW w:w="1203" w:type="dxa"/>
                  <w:vAlign w:val="center"/>
                </w:tcPr>
                <w:p w14:paraId="52BC3C57">
                  <w:pPr>
                    <w:snapToGrid w:val="0"/>
                    <w:spacing w:line="300" w:lineRule="exact"/>
                    <w:jc w:val="center"/>
                    <w:rPr>
                      <w:color w:val="000000" w:themeColor="text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1次/年</w:t>
                  </w:r>
                </w:p>
              </w:tc>
              <w:tc>
                <w:tcPr>
                  <w:tcW w:w="2847" w:type="dxa"/>
                  <w:vAlign w:val="center"/>
                </w:tcPr>
                <w:p w14:paraId="5C750CB8">
                  <w:pPr>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zh-CN"/>
                      <w14:textFill>
                        <w14:solidFill>
                          <w14:schemeClr w14:val="tx1"/>
                        </w14:solidFill>
                      </w14:textFill>
                    </w:rPr>
                    <w:t>《橡胶制品工业污染物排放标准》（GB27632-2011）表2标准</w:t>
                  </w:r>
                </w:p>
              </w:tc>
            </w:tr>
          </w:tbl>
          <w:p w14:paraId="66E690BB">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（3）水环境保护措施可行性分析</w:t>
            </w:r>
          </w:p>
          <w:p w14:paraId="67413335">
            <w:pPr>
              <w:adjustRightInd w:val="0"/>
              <w:snapToGrid w:val="0"/>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1）化粪池</w:t>
            </w:r>
          </w:p>
          <w:p w14:paraId="627ECE1B">
            <w:pPr>
              <w:adjustRightInd w:val="0"/>
              <w:snapToGrid w:val="0"/>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工作原理为：生活污水进入化粪池后，利用池内位置相对固定的厌氧菌去除部分污染物，同时在池内由于沉淀作用，部分悬浮物从水体中沉淀分离出来。由于污水在池内水力停留时间短，水流湍动作用较弱，厌氧菌较少且由于位置相对固定而活性较差，因此，除悬浮物外，对</w:t>
            </w:r>
            <w:r>
              <w:rPr>
                <w:rFonts w:hint="eastAsia"/>
                <w:color w:val="000000" w:themeColor="text1"/>
                <w:sz w:val="24"/>
                <w:highlight w:val="none"/>
                <w14:textFill>
                  <w14:solidFill>
                    <w14:schemeClr w14:val="tx1"/>
                  </w14:solidFill>
                </w14:textFill>
              </w:rPr>
              <w:t>其他</w:t>
            </w:r>
            <w:r>
              <w:rPr>
                <w:color w:val="000000" w:themeColor="text1"/>
                <w:sz w:val="24"/>
                <w:highlight w:val="none"/>
                <w14:textFill>
                  <w14:solidFill>
                    <w14:schemeClr w14:val="tx1"/>
                  </w14:solidFill>
                </w14:textFill>
              </w:rPr>
              <w:t>各种污染物去除效果较差，</w:t>
            </w:r>
            <w:r>
              <w:rPr>
                <w:rFonts w:hint="eastAsia"/>
                <w:color w:val="000000" w:themeColor="text1"/>
                <w:sz w:val="24"/>
                <w:highlight w:val="none"/>
                <w:lang w:eastAsia="zh-CN"/>
                <w14:textFill>
                  <w14:solidFill>
                    <w14:schemeClr w14:val="tx1"/>
                  </w14:solidFill>
                </w14:textFill>
              </w:rPr>
              <w:t>一般</w:t>
            </w:r>
            <w:r>
              <w:rPr>
                <w:color w:val="000000" w:themeColor="text1"/>
                <w:sz w:val="24"/>
                <w:highlight w:val="none"/>
                <w14:textFill>
                  <w14:solidFill>
                    <w14:schemeClr w14:val="tx1"/>
                  </w14:solidFill>
                </w14:textFill>
              </w:rPr>
              <w:t>为COD25%，SS</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0%</w:t>
            </w:r>
            <w:r>
              <w:rPr>
                <w:rFonts w:hint="eastAsia"/>
                <w:color w:val="000000" w:themeColor="text1"/>
                <w:sz w:val="24"/>
                <w:highlight w:val="none"/>
                <w14:textFill>
                  <w14:solidFill>
                    <w14:schemeClr w14:val="tx1"/>
                  </w14:solidFill>
                </w14:textFill>
              </w:rPr>
              <w:t>左右</w:t>
            </w:r>
            <w:r>
              <w:rPr>
                <w:color w:val="000000" w:themeColor="text1"/>
                <w:sz w:val="24"/>
                <w:highlight w:val="none"/>
                <w14:textFill>
                  <w14:solidFill>
                    <w14:schemeClr w14:val="tx1"/>
                  </w14:solidFill>
                </w14:textFill>
              </w:rPr>
              <w:t>，对NH</w:t>
            </w:r>
            <w:r>
              <w:rPr>
                <w:color w:val="000000" w:themeColor="text1"/>
                <w:sz w:val="24"/>
                <w:highlight w:val="none"/>
                <w:vertAlign w:val="subscript"/>
                <w14:textFill>
                  <w14:solidFill>
                    <w14:schemeClr w14:val="tx1"/>
                  </w14:solidFill>
                </w14:textFill>
              </w:rPr>
              <w:t>3</w:t>
            </w:r>
            <w:r>
              <w:rPr>
                <w:color w:val="000000" w:themeColor="text1"/>
                <w:sz w:val="24"/>
                <w:highlight w:val="none"/>
                <w14:textFill>
                  <w14:solidFill>
                    <w14:schemeClr w14:val="tx1"/>
                  </w14:solidFill>
                </w14:textFill>
              </w:rPr>
              <w:t>-N和TP几乎没有处理效果。因此，除悬浮物外，对</w:t>
            </w:r>
            <w:r>
              <w:rPr>
                <w:rFonts w:hint="eastAsia"/>
                <w:color w:val="000000" w:themeColor="text1"/>
                <w:sz w:val="24"/>
                <w:highlight w:val="none"/>
                <w14:textFill>
                  <w14:solidFill>
                    <w14:schemeClr w14:val="tx1"/>
                  </w14:solidFill>
                </w14:textFill>
              </w:rPr>
              <w:t>其他</w:t>
            </w:r>
            <w:r>
              <w:rPr>
                <w:color w:val="000000" w:themeColor="text1"/>
                <w:sz w:val="24"/>
                <w:highlight w:val="none"/>
                <w14:textFill>
                  <w14:solidFill>
                    <w14:schemeClr w14:val="tx1"/>
                  </w14:solidFill>
                </w14:textFill>
              </w:rPr>
              <w:t>各种污染物去除效果较差，对NH</w:t>
            </w:r>
            <w:r>
              <w:rPr>
                <w:color w:val="000000" w:themeColor="text1"/>
                <w:sz w:val="24"/>
                <w:highlight w:val="none"/>
                <w:vertAlign w:val="subscript"/>
                <w14:textFill>
                  <w14:solidFill>
                    <w14:schemeClr w14:val="tx1"/>
                  </w14:solidFill>
                </w14:textFill>
              </w:rPr>
              <w:t>3</w:t>
            </w:r>
            <w:r>
              <w:rPr>
                <w:color w:val="000000" w:themeColor="text1"/>
                <w:sz w:val="24"/>
                <w:highlight w:val="none"/>
                <w14:textFill>
                  <w14:solidFill>
                    <w14:schemeClr w14:val="tx1"/>
                  </w14:solidFill>
                </w14:textFill>
              </w:rPr>
              <w:t>-N和TP总磷几乎没有处理效果。</w:t>
            </w:r>
          </w:p>
          <w:p w14:paraId="07DD1418">
            <w:pPr>
              <w:adjustRightInd w:val="0"/>
              <w:snapToGrid w:val="0"/>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2）禄口污水处理厂</w:t>
            </w:r>
          </w:p>
          <w:p w14:paraId="5FC5C3C6">
            <w:pPr>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禄口污水处理厂位于南京市江宁区禄口街道黄桥社区，占地面积约为41800m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，污水收集范围为禄口街道机场高速以西片区和机场高速以东片区，服务面积约为15.15km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。总设计规模为2万吨/日，项目分两期建设，</w:t>
            </w:r>
            <w:r>
              <w:rPr>
                <w:rFonts w:hint="eastAsia"/>
                <w:color w:val="000000" w:themeColor="text1"/>
                <w:sz w:val="24"/>
                <w:highlight w:val="none"/>
                <w:lang w:eastAsia="zh-CN"/>
                <w14:textFill>
                  <w14:solidFill>
                    <w14:schemeClr w14:val="tx1"/>
                  </w14:solidFill>
                </w14:textFill>
              </w:rPr>
              <w:t>一期</w:t>
            </w:r>
            <w:r>
              <w:rPr>
                <w:color w:val="000000" w:themeColor="text1"/>
                <w:sz w:val="24"/>
                <w:highlight w:val="none"/>
                <w14:textFill>
                  <w14:solidFill>
                    <w14:schemeClr w14:val="tx1"/>
                  </w14:solidFill>
                </w14:textFill>
              </w:rPr>
              <w:t>建成规模为1万吨/日，已于2009年建成投入使用，二期扩建规模为1.2万吨/日，已于2018年8月建成运行。禄口污水处理厂尾水达到《地表水环境质量标准》（GB3838-2002）Ⅳ类标准，其中SS达到《城镇污水处理厂污染物排放标准》（GB18918-2002）</w:t>
            </w:r>
            <w:r>
              <w:rPr>
                <w:rFonts w:hint="eastAsia"/>
                <w:color w:val="000000" w:themeColor="text1"/>
                <w:sz w:val="24"/>
                <w:highlight w:val="none"/>
                <w:lang w:eastAsia="zh-CN"/>
                <w14:textFill>
                  <w14:solidFill>
                    <w14:schemeClr w14:val="tx1"/>
                  </w14:solidFill>
                </w14:textFill>
              </w:rPr>
              <w:t>一级</w:t>
            </w:r>
            <w:r>
              <w:rPr>
                <w:color w:val="000000" w:themeColor="text1"/>
                <w:sz w:val="24"/>
                <w:highlight w:val="none"/>
                <w14:textFill>
                  <w14:solidFill>
                    <w14:schemeClr w14:val="tx1"/>
                  </w14:solidFill>
                </w14:textFill>
              </w:rPr>
              <w:t>A类标准后排入横溪河。目前，污水处理厂运行情况良好，污水出水水质能够达到设计标准。</w:t>
            </w:r>
          </w:p>
          <w:p w14:paraId="2EE4594B">
            <w:pPr>
              <w:adjustRightInd w:val="0"/>
              <w:snapToGrid w:val="0"/>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禄口污水处理厂处理工艺流程</w:t>
            </w:r>
            <w:r>
              <w:rPr>
                <w:color w:val="000000" w:themeColor="text1"/>
                <w:sz w:val="24"/>
                <w:highlight w:val="none"/>
                <w:lang w:val="zh-CN"/>
                <w14:textFill>
                  <w14:solidFill>
                    <w14:schemeClr w14:val="tx1"/>
                  </w14:solidFill>
                </w14:textFill>
              </w:rPr>
              <w:t>见下图</w:t>
            </w:r>
            <w:r>
              <w:rPr>
                <w:color w:val="000000" w:themeColor="text1"/>
                <w:sz w:val="24"/>
                <w:highlight w:val="none"/>
                <w14:textFill>
                  <w14:solidFill>
                    <w14:schemeClr w14:val="tx1"/>
                  </w14:solidFill>
                </w14:textFill>
              </w:rPr>
              <w:t>。</w:t>
            </w:r>
          </w:p>
          <w:p w14:paraId="6D7022D3">
            <w:pPr>
              <w:spacing w:line="360" w:lineRule="auto"/>
              <w:jc w:val="center"/>
              <w:rPr>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407660" cy="4457700"/>
                  <wp:effectExtent l="0" t="0" r="2540" b="0"/>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pic:cNvPicPr>
                        </pic:nvPicPr>
                        <pic:blipFill>
                          <a:blip r:embed="rId28"/>
                          <a:stretch>
                            <a:fillRect/>
                          </a:stretch>
                        </pic:blipFill>
                        <pic:spPr>
                          <a:xfrm>
                            <a:off x="0" y="0"/>
                            <a:ext cx="5407660" cy="4457700"/>
                          </a:xfrm>
                          <a:prstGeom prst="rect">
                            <a:avLst/>
                          </a:prstGeom>
                          <a:noFill/>
                          <a:ln>
                            <a:noFill/>
                          </a:ln>
                        </pic:spPr>
                      </pic:pic>
                    </a:graphicData>
                  </a:graphic>
                </wp:inline>
              </w:drawing>
            </w:r>
          </w:p>
          <w:p w14:paraId="20219C26">
            <w:pPr>
              <w:pStyle w:val="131"/>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图4-2</w:t>
            </w:r>
            <w:r>
              <w:rPr>
                <w:rFonts w:hint="eastAsia"/>
                <w:color w:val="000000" w:themeColor="text1"/>
                <w:highlight w:val="none"/>
                <w:lang w:val="en-US" w:eastAsia="zh-CN"/>
                <w14:textFill>
                  <w14:solidFill>
                    <w14:schemeClr w14:val="tx1"/>
                  </w14:solidFill>
                </w14:textFill>
              </w:rPr>
              <w:t xml:space="preserve">  </w:t>
            </w:r>
            <w:r>
              <w:rPr>
                <w:color w:val="000000" w:themeColor="text1"/>
                <w:highlight w:val="none"/>
                <w14:textFill>
                  <w14:solidFill>
                    <w14:schemeClr w14:val="tx1"/>
                  </w14:solidFill>
                </w14:textFill>
              </w:rPr>
              <w:t>禄口污水处理厂工艺流程图</w:t>
            </w:r>
          </w:p>
          <w:p w14:paraId="537E0FD3">
            <w:pPr>
              <w:adjustRightInd w:val="0"/>
              <w:snapToGrid w:val="0"/>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本项目生活污水</w:t>
            </w:r>
            <w:r>
              <w:rPr>
                <w:bCs/>
                <w:color w:val="000000" w:themeColor="text1"/>
                <w:sz w:val="24"/>
                <w:highlight w:val="none"/>
                <w14:textFill>
                  <w14:solidFill>
                    <w14:schemeClr w14:val="tx1"/>
                  </w14:solidFill>
                </w14:textFill>
              </w:rPr>
              <w:t>经过厂区化粪池处理后</w:t>
            </w:r>
            <w:r>
              <w:rPr>
                <w:rFonts w:hint="eastAsia"/>
                <w:bCs/>
                <w:color w:val="000000" w:themeColor="text1"/>
                <w:sz w:val="24"/>
                <w:highlight w:val="none"/>
                <w:lang w:val="en-US" w:eastAsia="zh-CN"/>
                <w14:textFill>
                  <w14:solidFill>
                    <w14:schemeClr w14:val="tx1"/>
                  </w14:solidFill>
                </w14:textFill>
              </w:rPr>
              <w:t>与冷却废水</w:t>
            </w:r>
            <w:r>
              <w:rPr>
                <w:bCs/>
                <w:color w:val="000000" w:themeColor="text1"/>
                <w:sz w:val="24"/>
                <w:highlight w:val="none"/>
                <w14:textFill>
                  <w14:solidFill>
                    <w14:schemeClr w14:val="tx1"/>
                  </w14:solidFill>
                </w14:textFill>
              </w:rPr>
              <w:t>接管排入</w:t>
            </w:r>
            <w:r>
              <w:rPr>
                <w:color w:val="000000" w:themeColor="text1"/>
                <w:sz w:val="24"/>
                <w:highlight w:val="none"/>
                <w14:textFill>
                  <w14:solidFill>
                    <w14:schemeClr w14:val="tx1"/>
                  </w14:solidFill>
                </w14:textFill>
              </w:rPr>
              <w:t>禄口污水处理厂，处理达标后尾水排放至横溪河，其可行性分析如下：</w:t>
            </w:r>
          </w:p>
          <w:p w14:paraId="124F30BC">
            <w:pPr>
              <w:adjustRightInd w:val="0"/>
              <w:snapToGrid w:val="0"/>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①污水管网</w:t>
            </w:r>
          </w:p>
          <w:p w14:paraId="38549310">
            <w:pPr>
              <w:adjustRightInd w:val="0"/>
              <w:snapToGrid w:val="0"/>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根据调查，禄口污水处理厂管网已铺设到企业所在地，本项目依托厂区现有污水排口。因此项目污水接管至禄口污水处理厂处理可行。</w:t>
            </w:r>
          </w:p>
          <w:p w14:paraId="5D53AD09">
            <w:pPr>
              <w:adjustRightInd w:val="0"/>
              <w:snapToGrid w:val="0"/>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②接管量可行性分析</w:t>
            </w:r>
          </w:p>
          <w:p w14:paraId="585F197E">
            <w:pPr>
              <w:adjustRightInd w:val="0"/>
              <w:snapToGrid w:val="0"/>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禄口污水处理厂污水处理量为2.2万m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/d，尚有余量</w:t>
            </w:r>
            <w:r>
              <w:rPr>
                <w:rFonts w:hint="eastAsia"/>
                <w:color w:val="000000" w:themeColor="text1"/>
                <w:sz w:val="24"/>
                <w:highlight w:val="none"/>
                <w14:textFill>
                  <w14:solidFill>
                    <w14:schemeClr w14:val="tx1"/>
                  </w14:solidFill>
                </w14:textFill>
              </w:rPr>
              <w:t>0.2</w:t>
            </w:r>
            <w:r>
              <w:rPr>
                <w:color w:val="000000" w:themeColor="text1"/>
                <w:sz w:val="24"/>
                <w:highlight w:val="none"/>
                <w14:textFill>
                  <w14:solidFill>
                    <w14:schemeClr w14:val="tx1"/>
                  </w14:solidFill>
                </w14:textFill>
              </w:rPr>
              <w:t>万m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/d，本项目废水接管量为</w:t>
            </w:r>
            <w:r>
              <w:rPr>
                <w:rFonts w:hint="eastAsia"/>
                <w:color w:val="000000" w:themeColor="text1"/>
                <w:sz w:val="24"/>
                <w:highlight w:val="none"/>
                <w:lang w:val="en-US" w:eastAsia="zh-CN"/>
                <w14:textFill>
                  <w14:solidFill>
                    <w14:schemeClr w14:val="tx1"/>
                  </w14:solidFill>
                </w14:textFill>
              </w:rPr>
              <w:t>0.64</w:t>
            </w:r>
            <w:r>
              <w:rPr>
                <w:rFonts w:hint="eastAsia"/>
                <w:color w:val="000000" w:themeColor="text1"/>
                <w:sz w:val="24"/>
                <w:highlight w:val="none"/>
                <w:lang w:eastAsia="zh-CN"/>
                <w14:textFill>
                  <w14:solidFill>
                    <w14:schemeClr w14:val="tx1"/>
                  </w14:solidFill>
                </w14:textFill>
              </w:rPr>
              <w:t>t/d</w:t>
            </w:r>
            <w:r>
              <w:rPr>
                <w:color w:val="000000" w:themeColor="text1"/>
                <w:sz w:val="24"/>
                <w:highlight w:val="none"/>
                <w14:textFill>
                  <w14:solidFill>
                    <w14:schemeClr w14:val="tx1"/>
                  </w14:solidFill>
                </w14:textFill>
              </w:rPr>
              <w:t>，占污水处理厂剩余处理能力的0.</w:t>
            </w:r>
            <w:r>
              <w:rPr>
                <w:rFonts w:hint="eastAsia"/>
                <w:color w:val="000000" w:themeColor="text1"/>
                <w:sz w:val="24"/>
                <w:highlight w:val="none"/>
                <w:lang w:val="en-US" w:eastAsia="zh-CN"/>
                <w14:textFill>
                  <w14:solidFill>
                    <w14:schemeClr w14:val="tx1"/>
                  </w14:solidFill>
                </w14:textFill>
              </w:rPr>
              <w:t>03</w:t>
            </w:r>
            <w:r>
              <w:rPr>
                <w:color w:val="000000" w:themeColor="text1"/>
                <w:sz w:val="24"/>
                <w:highlight w:val="none"/>
                <w14:textFill>
                  <w14:solidFill>
                    <w14:schemeClr w14:val="tx1"/>
                  </w14:solidFill>
                </w14:textFill>
              </w:rPr>
              <w:t>%，因此禄口污水处理厂完全有能力接纳本项目产生的废水，从水量分析也是可行的。</w:t>
            </w:r>
          </w:p>
          <w:p w14:paraId="1355433B">
            <w:pPr>
              <w:adjustRightInd w:val="0"/>
              <w:snapToGrid w:val="0"/>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③水质可行性分析</w:t>
            </w:r>
          </w:p>
          <w:p w14:paraId="1D5F7F24">
            <w:pPr>
              <w:adjustRightInd w:val="0"/>
              <w:snapToGrid w:val="0"/>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lang w:val="zh-CN"/>
                <w14:textFill>
                  <w14:solidFill>
                    <w14:schemeClr w14:val="tx1"/>
                  </w14:solidFill>
                </w14:textFill>
              </w:rPr>
              <w:t>本项目废水能达到禄口污水处理厂的接管要求，产生废水水质较为简单，不会对污水处理厂的生化处理系统产生较大影响</w:t>
            </w:r>
            <w:r>
              <w:rPr>
                <w:color w:val="000000" w:themeColor="text1"/>
                <w:sz w:val="24"/>
                <w:highlight w:val="none"/>
                <w14:textFill>
                  <w14:solidFill>
                    <w14:schemeClr w14:val="tx1"/>
                  </w14:solidFill>
                </w14:textFill>
              </w:rPr>
              <w:t>，</w:t>
            </w:r>
            <w:r>
              <w:rPr>
                <w:color w:val="000000" w:themeColor="text1"/>
                <w:sz w:val="24"/>
                <w:highlight w:val="none"/>
                <w:lang w:val="zh-CN"/>
                <w14:textFill>
                  <w14:solidFill>
                    <w14:schemeClr w14:val="tx1"/>
                  </w14:solidFill>
                </w14:textFill>
              </w:rPr>
              <w:t>可以</w:t>
            </w:r>
            <w:r>
              <w:rPr>
                <w:color w:val="000000" w:themeColor="text1"/>
                <w:sz w:val="24"/>
                <w:highlight w:val="none"/>
                <w14:textFill>
                  <w14:solidFill>
                    <w14:schemeClr w14:val="tx1"/>
                  </w14:solidFill>
                </w14:textFill>
              </w:rPr>
              <w:t>达到禄口污水处理厂</w:t>
            </w:r>
            <w:r>
              <w:rPr>
                <w:color w:val="000000" w:themeColor="text1"/>
                <w:sz w:val="24"/>
                <w:highlight w:val="none"/>
                <w:lang w:val="zh-CN"/>
                <w14:textFill>
                  <w14:solidFill>
                    <w14:schemeClr w14:val="tx1"/>
                  </w14:solidFill>
                </w14:textFill>
              </w:rPr>
              <w:t>的接管要求。从水质上分析也是可行的。</w:t>
            </w:r>
          </w:p>
          <w:p w14:paraId="2046C234">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lang w:val="zh-CN"/>
                <w14:textFill>
                  <w14:solidFill>
                    <w14:schemeClr w14:val="tx1"/>
                  </w14:solidFill>
                </w14:textFill>
              </w:rPr>
              <w:t>综上所述，本项目废水排放量在水质、水量上均满足禄口污水处理厂的接管标准，从运行时间、处理余量、接管要求等方面分析本项目废水具有接管可行性。故本项目废水经预处理达标后接管至禄口污水处理厂，</w:t>
            </w:r>
            <w:r>
              <w:rPr>
                <w:color w:val="000000" w:themeColor="text1"/>
                <w:sz w:val="24"/>
                <w:highlight w:val="none"/>
                <w14:textFill>
                  <w14:solidFill>
                    <w14:schemeClr w14:val="tx1"/>
                  </w14:solidFill>
                </w14:textFill>
              </w:rPr>
              <w:t>废水处理达标</w:t>
            </w:r>
            <w:r>
              <w:rPr>
                <w:color w:val="000000" w:themeColor="text1"/>
                <w:sz w:val="24"/>
                <w:highlight w:val="none"/>
                <w:lang w:val="zh-CN"/>
                <w14:textFill>
                  <w14:solidFill>
                    <w14:schemeClr w14:val="tx1"/>
                  </w14:solidFill>
                </w14:textFill>
              </w:rPr>
              <w:t>后排入横溪河，对周围水环境影响较小</w:t>
            </w:r>
            <w:r>
              <w:rPr>
                <w:color w:val="000000" w:themeColor="text1"/>
                <w:sz w:val="24"/>
                <w:highlight w:val="none"/>
                <w14:textFill>
                  <w14:solidFill>
                    <w14:schemeClr w14:val="tx1"/>
                  </w14:solidFill>
                </w14:textFill>
              </w:rPr>
              <w:t>。</w:t>
            </w:r>
          </w:p>
          <w:p w14:paraId="22C57D52">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4</w:t>
            </w:r>
            <w:r>
              <w:rPr>
                <w:color w:val="000000" w:themeColor="text1"/>
                <w:sz w:val="24"/>
                <w:highlight w:val="none"/>
                <w14:textFill>
                  <w14:solidFill>
                    <w14:schemeClr w14:val="tx1"/>
                  </w14:solidFill>
                </w14:textFill>
              </w:rPr>
              <w:t>）地表水影响评价结论</w:t>
            </w:r>
          </w:p>
          <w:p w14:paraId="2C7B8DEA">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综上所述，本项目的污水得到合理处置，对受纳水体</w:t>
            </w:r>
            <w:r>
              <w:rPr>
                <w:rFonts w:hint="eastAsia"/>
                <w:color w:val="000000" w:themeColor="text1"/>
                <w:sz w:val="24"/>
                <w:highlight w:val="none"/>
                <w:lang w:eastAsia="zh-CN"/>
                <w14:textFill>
                  <w14:solidFill>
                    <w14:schemeClr w14:val="tx1"/>
                  </w14:solidFill>
                </w14:textFill>
              </w:rPr>
              <w:t>横溪河</w:t>
            </w:r>
            <w:r>
              <w:rPr>
                <w:color w:val="000000" w:themeColor="text1"/>
                <w:sz w:val="24"/>
                <w:highlight w:val="none"/>
                <w14:textFill>
                  <w14:solidFill>
                    <w14:schemeClr w14:val="tx1"/>
                  </w14:solidFill>
                </w14:textFill>
              </w:rPr>
              <w:t>影响较小，不会改变其水环境功能级别，水质功能可维持现状。</w:t>
            </w:r>
          </w:p>
          <w:p w14:paraId="43DEF769">
            <w:pPr>
              <w:adjustRightInd w:val="0"/>
              <w:snapToGrid w:val="0"/>
              <w:spacing w:line="440" w:lineRule="exact"/>
              <w:ind w:firstLine="420" w:firstLineChars="200"/>
              <w:rPr>
                <w:rFonts w:hint="default" w:eastAsia="宋体"/>
                <w:color w:val="000000" w:themeColor="text1"/>
                <w:highlight w:val="none"/>
                <w:lang w:val="en-US" w:eastAsia="zh-CN"/>
                <w14:textFill>
                  <w14:solidFill>
                    <w14:schemeClr w14:val="tx1"/>
                  </w14:solidFill>
                </w14:textFill>
              </w:rPr>
            </w:pPr>
          </w:p>
        </w:tc>
      </w:tr>
    </w:tbl>
    <w:p w14:paraId="20D6A943">
      <w:pPr>
        <w:pStyle w:val="34"/>
        <w:jc w:val="both"/>
        <w:outlineLvl w:val="0"/>
        <w:rPr>
          <w:rFonts w:ascii="Times New Roman" w:hAnsi="Times New Roman"/>
          <w:snapToGrid w:val="0"/>
          <w:color w:val="000000" w:themeColor="text1"/>
          <w:sz w:val="36"/>
          <w:szCs w:val="36"/>
          <w:highlight w:val="none"/>
          <w14:textFill>
            <w14:solidFill>
              <w14:schemeClr w14:val="tx1"/>
            </w14:solidFill>
          </w14:textFill>
        </w:rPr>
        <w:sectPr>
          <w:pgSz w:w="11907" w:h="16840"/>
          <w:pgMar w:top="1701" w:right="1531" w:bottom="2127"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28CA715C">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3、噪声</w:t>
      </w:r>
    </w:p>
    <w:p w14:paraId="787FD706">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3.1噪声源强</w:t>
      </w:r>
    </w:p>
    <w:p w14:paraId="3FAFCF2A">
      <w:pPr>
        <w:adjustRightInd w:val="0"/>
        <w:snapToGrid w:val="0"/>
        <w:spacing w:line="440" w:lineRule="exact"/>
        <w:ind w:firstLine="480" w:firstLineChars="200"/>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本项目噪</w:t>
      </w:r>
      <w:r>
        <w:rPr>
          <w:rFonts w:ascii="Times New Roman" w:hAnsi="Times New Roman" w:eastAsia="宋体" w:cs="Times New Roman"/>
          <w:color w:val="000000" w:themeColor="text1"/>
          <w:sz w:val="24"/>
          <w:highlight w:val="none"/>
          <w14:textFill>
            <w14:solidFill>
              <w14:schemeClr w14:val="tx1"/>
            </w14:solidFill>
          </w14:textFill>
        </w:rPr>
        <w:t>声源主要为</w:t>
      </w:r>
      <w:r>
        <w:rPr>
          <w:rFonts w:hint="eastAsia" w:cs="Times New Roman"/>
          <w:color w:val="000000" w:themeColor="text1"/>
          <w:sz w:val="24"/>
          <w:highlight w:val="none"/>
          <w:lang w:val="en-US" w:eastAsia="zh-CN"/>
          <w14:textFill>
            <w14:solidFill>
              <w14:schemeClr w14:val="tx1"/>
            </w14:solidFill>
          </w14:textFill>
        </w:rPr>
        <w:t>开放式</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滚料机</w:t>
      </w:r>
      <w:r>
        <w:rPr>
          <w:rFonts w:hint="eastAsia" w:ascii="Times New Roman" w:hAnsi="Times New Roman" w:eastAsia="宋体" w:cs="Times New Roman"/>
          <w:color w:val="000000" w:themeColor="text1"/>
          <w:sz w:val="24"/>
          <w:highlight w:val="none"/>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油压机</w:t>
      </w:r>
      <w:r>
        <w:rPr>
          <w:rFonts w:ascii="Times New Roman" w:hAnsi="Times New Roman" w:eastAsia="宋体" w:cs="Times New Roman"/>
          <w:color w:val="000000" w:themeColor="text1"/>
          <w:sz w:val="24"/>
          <w:highlight w:val="none"/>
          <w14:textFill>
            <w14:solidFill>
              <w14:schemeClr w14:val="tx1"/>
            </w14:solidFill>
          </w14:textFill>
        </w:rPr>
        <w:t>及废气处理设施引风机等设备，噪声级在75-85dB（A）左右。</w:t>
      </w:r>
    </w:p>
    <w:p w14:paraId="27606B9A">
      <w:pPr>
        <w:pStyle w:val="158"/>
        <w:keepNext w:val="0"/>
        <w:keepLines w:val="0"/>
        <w:pageBreakBefore w:val="0"/>
        <w:widowControl w:val="0"/>
        <w:suppressLineNumbers w:val="0"/>
        <w:kinsoku/>
        <w:wordWrap/>
        <w:overflowPunct/>
        <w:topLinePunct w:val="0"/>
        <w:autoSpaceDE/>
        <w:autoSpaceDN/>
        <w:bidi w:val="0"/>
        <w:spacing w:before="0" w:beforeAutospacing="0" w:after="0" w:afterAutospacing="0" w:line="440" w:lineRule="exact"/>
        <w:ind w:left="0" w:right="0"/>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表4-</w:t>
      </w:r>
      <w:r>
        <w:rPr>
          <w:rFonts w:hint="eastAsia" w:ascii="Times New Roman" w:hAnsi="Times New Roman" w:cs="Times New Roman"/>
          <w:color w:val="000000" w:themeColor="text1"/>
          <w:highlight w:val="none"/>
          <w:lang w:val="en-US" w:eastAsia="zh-CN"/>
          <w14:textFill>
            <w14:solidFill>
              <w14:schemeClr w14:val="tx1"/>
            </w14:solidFill>
          </w14:textFill>
        </w:rPr>
        <w:t xml:space="preserve">23  </w:t>
      </w:r>
      <w:r>
        <w:rPr>
          <w:rFonts w:hint="default" w:ascii="Times New Roman" w:hAnsi="Times New Roman" w:eastAsia="宋体" w:cs="Times New Roman"/>
          <w:color w:val="000000" w:themeColor="text1"/>
          <w:highlight w:val="none"/>
          <w:lang w:val="en-US" w:eastAsia="zh-CN"/>
          <w14:textFill>
            <w14:solidFill>
              <w14:schemeClr w14:val="tx1"/>
            </w14:solidFill>
          </w14:textFill>
        </w:rPr>
        <w:t>本项目主要噪声源强调查清单（室</w:t>
      </w:r>
      <w:r>
        <w:rPr>
          <w:rFonts w:hint="default" w:ascii="Times New Roman" w:hAnsi="Times New Roman" w:cs="Times New Roman"/>
          <w:color w:val="000000" w:themeColor="text1"/>
          <w:highlight w:val="none"/>
          <w:lang w:val="en-US" w:eastAsia="zh-CN"/>
          <w14:textFill>
            <w14:solidFill>
              <w14:schemeClr w14:val="tx1"/>
            </w14:solidFill>
          </w14:textFill>
        </w:rPr>
        <w:t>外</w:t>
      </w:r>
      <w:r>
        <w:rPr>
          <w:rFonts w:hint="default" w:ascii="Times New Roman" w:hAnsi="Times New Roman" w:eastAsia="宋体" w:cs="Times New Roman"/>
          <w:color w:val="000000" w:themeColor="text1"/>
          <w:highlight w:val="none"/>
          <w:lang w:val="en-US" w:eastAsia="zh-CN"/>
          <w14:textFill>
            <w14:solidFill>
              <w14:schemeClr w14:val="tx1"/>
            </w14:solidFill>
          </w14:textFill>
        </w:rPr>
        <w:t>声源）</w:t>
      </w:r>
    </w:p>
    <w:tbl>
      <w:tblPr>
        <w:tblStyle w:val="3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65"/>
        <w:gridCol w:w="1598"/>
        <w:gridCol w:w="992"/>
        <w:gridCol w:w="826"/>
        <w:gridCol w:w="437"/>
        <w:gridCol w:w="1379"/>
        <w:gridCol w:w="4784"/>
        <w:gridCol w:w="1342"/>
      </w:tblGrid>
      <w:tr w14:paraId="42EFE9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705" w:type="pct"/>
            <w:vMerge w:val="restart"/>
            <w:tcBorders>
              <w:tl2br w:val="nil"/>
              <w:tr2bl w:val="nil"/>
            </w:tcBorders>
            <w:noWrap/>
            <w:vAlign w:val="center"/>
          </w:tcPr>
          <w:p w14:paraId="0A2BBAB2">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声源名称</w:t>
            </w:r>
          </w:p>
        </w:tc>
        <w:tc>
          <w:tcPr>
            <w:tcW w:w="604" w:type="pct"/>
            <w:vMerge w:val="restart"/>
            <w:tcBorders>
              <w:tl2br w:val="nil"/>
              <w:tr2bl w:val="nil"/>
            </w:tcBorders>
            <w:noWrap/>
            <w:vAlign w:val="center"/>
          </w:tcPr>
          <w:p w14:paraId="244C311D">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数量（台）</w:t>
            </w:r>
          </w:p>
        </w:tc>
        <w:tc>
          <w:tcPr>
            <w:tcW w:w="852" w:type="pct"/>
            <w:gridSpan w:val="3"/>
            <w:tcBorders>
              <w:tl2br w:val="nil"/>
              <w:tr2bl w:val="nil"/>
            </w:tcBorders>
            <w:noWrap/>
            <w:vAlign w:val="center"/>
          </w:tcPr>
          <w:p w14:paraId="288BD746">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空间相对位置/m</w:t>
            </w:r>
          </w:p>
        </w:tc>
        <w:tc>
          <w:tcPr>
            <w:tcW w:w="521" w:type="pct"/>
            <w:vMerge w:val="restart"/>
            <w:tcBorders>
              <w:tl2br w:val="nil"/>
              <w:tr2bl w:val="nil"/>
            </w:tcBorders>
            <w:noWrap/>
            <w:vAlign w:val="center"/>
          </w:tcPr>
          <w:p w14:paraId="24026E26">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声功率级</w:t>
            </w:r>
          </w:p>
          <w:p w14:paraId="06BDAD77">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/dB（A）</w:t>
            </w:r>
          </w:p>
        </w:tc>
        <w:tc>
          <w:tcPr>
            <w:tcW w:w="1808" w:type="pct"/>
            <w:vMerge w:val="restart"/>
            <w:tcBorders>
              <w:tl2br w:val="nil"/>
              <w:tr2bl w:val="nil"/>
            </w:tcBorders>
            <w:noWrap/>
            <w:vAlign w:val="center"/>
          </w:tcPr>
          <w:p w14:paraId="30FDC62E">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声源控制措施</w:t>
            </w:r>
          </w:p>
        </w:tc>
        <w:tc>
          <w:tcPr>
            <w:tcW w:w="507" w:type="pct"/>
            <w:vMerge w:val="restart"/>
            <w:tcBorders>
              <w:tl2br w:val="nil"/>
              <w:tr2bl w:val="nil"/>
            </w:tcBorders>
            <w:noWrap/>
            <w:vAlign w:val="center"/>
          </w:tcPr>
          <w:p w14:paraId="0B900A1A">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运行时段</w:t>
            </w:r>
          </w:p>
        </w:tc>
      </w:tr>
      <w:tr w14:paraId="303571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705" w:type="pct"/>
            <w:vMerge w:val="continue"/>
            <w:tcBorders>
              <w:tl2br w:val="nil"/>
              <w:tr2bl w:val="nil"/>
            </w:tcBorders>
            <w:noWrap/>
            <w:vAlign w:val="center"/>
          </w:tcPr>
          <w:p w14:paraId="56FE92DC">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604" w:type="pct"/>
            <w:vMerge w:val="continue"/>
            <w:tcBorders>
              <w:tl2br w:val="nil"/>
              <w:tr2bl w:val="nil"/>
            </w:tcBorders>
            <w:noWrap/>
            <w:vAlign w:val="center"/>
          </w:tcPr>
          <w:p w14:paraId="5611A987">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375" w:type="pct"/>
            <w:tcBorders>
              <w:tl2br w:val="nil"/>
              <w:tr2bl w:val="nil"/>
            </w:tcBorders>
            <w:noWrap/>
            <w:vAlign w:val="center"/>
          </w:tcPr>
          <w:p w14:paraId="3A97CB01">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X</w:t>
            </w:r>
          </w:p>
        </w:tc>
        <w:tc>
          <w:tcPr>
            <w:tcW w:w="312" w:type="pct"/>
            <w:tcBorders>
              <w:tl2br w:val="nil"/>
              <w:tr2bl w:val="nil"/>
            </w:tcBorders>
            <w:noWrap/>
            <w:vAlign w:val="center"/>
          </w:tcPr>
          <w:p w14:paraId="45453D99">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Y</w:t>
            </w:r>
          </w:p>
        </w:tc>
        <w:tc>
          <w:tcPr>
            <w:tcW w:w="165" w:type="pct"/>
            <w:tcBorders>
              <w:tl2br w:val="nil"/>
              <w:tr2bl w:val="nil"/>
            </w:tcBorders>
            <w:noWrap/>
            <w:vAlign w:val="center"/>
          </w:tcPr>
          <w:p w14:paraId="2E6AD581">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Z</w:t>
            </w:r>
          </w:p>
        </w:tc>
        <w:tc>
          <w:tcPr>
            <w:tcW w:w="521" w:type="pct"/>
            <w:vMerge w:val="continue"/>
            <w:tcBorders>
              <w:tl2br w:val="nil"/>
              <w:tr2bl w:val="nil"/>
            </w:tcBorders>
            <w:noWrap w:val="0"/>
            <w:vAlign w:val="center"/>
          </w:tcPr>
          <w:p w14:paraId="7DFA17BF">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1808" w:type="pct"/>
            <w:vMerge w:val="continue"/>
            <w:tcBorders>
              <w:tl2br w:val="nil"/>
              <w:tr2bl w:val="nil"/>
            </w:tcBorders>
            <w:noWrap/>
            <w:vAlign w:val="center"/>
          </w:tcPr>
          <w:p w14:paraId="29D29034">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507" w:type="pct"/>
            <w:vMerge w:val="continue"/>
            <w:tcBorders>
              <w:tl2br w:val="nil"/>
              <w:tr2bl w:val="nil"/>
            </w:tcBorders>
            <w:noWrap/>
            <w:vAlign w:val="center"/>
          </w:tcPr>
          <w:p w14:paraId="337234CF">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r>
      <w:tr w14:paraId="7C1384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705" w:type="pct"/>
            <w:tcBorders>
              <w:tl2br w:val="nil"/>
              <w:tr2bl w:val="nil"/>
            </w:tcBorders>
            <w:noWrap/>
            <w:vAlign w:val="center"/>
          </w:tcPr>
          <w:p w14:paraId="6384D820">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冷却塔</w:t>
            </w:r>
          </w:p>
        </w:tc>
        <w:tc>
          <w:tcPr>
            <w:tcW w:w="604" w:type="pct"/>
            <w:tcBorders>
              <w:tl2br w:val="nil"/>
              <w:tr2bl w:val="nil"/>
            </w:tcBorders>
            <w:noWrap/>
            <w:vAlign w:val="center"/>
          </w:tcPr>
          <w:p w14:paraId="7FD0CB5E">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375" w:type="pct"/>
            <w:tcBorders>
              <w:tl2br w:val="nil"/>
              <w:tr2bl w:val="nil"/>
            </w:tcBorders>
            <w:noWrap/>
            <w:vAlign w:val="center"/>
          </w:tcPr>
          <w:p w14:paraId="30D4F48C">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-0.25</w:t>
            </w:r>
          </w:p>
        </w:tc>
        <w:tc>
          <w:tcPr>
            <w:tcW w:w="312" w:type="pct"/>
            <w:tcBorders>
              <w:tl2br w:val="nil"/>
              <w:tr2bl w:val="nil"/>
            </w:tcBorders>
            <w:noWrap/>
            <w:vAlign w:val="center"/>
          </w:tcPr>
          <w:p w14:paraId="0F95D07F">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-0.29</w:t>
            </w:r>
          </w:p>
        </w:tc>
        <w:tc>
          <w:tcPr>
            <w:tcW w:w="165" w:type="pct"/>
            <w:tcBorders>
              <w:tl2br w:val="nil"/>
              <w:tr2bl w:val="nil"/>
            </w:tcBorders>
            <w:noWrap/>
            <w:vAlign w:val="center"/>
          </w:tcPr>
          <w:p w14:paraId="62FFE6A1">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521" w:type="pct"/>
            <w:tcBorders>
              <w:tl2br w:val="nil"/>
              <w:tr2bl w:val="nil"/>
            </w:tcBorders>
            <w:noWrap/>
            <w:vAlign w:val="center"/>
          </w:tcPr>
          <w:p w14:paraId="00CE5A82">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75</w:t>
            </w:r>
          </w:p>
        </w:tc>
        <w:tc>
          <w:tcPr>
            <w:tcW w:w="1808" w:type="pct"/>
            <w:vMerge w:val="restart"/>
            <w:tcBorders>
              <w:tl2br w:val="nil"/>
              <w:tr2bl w:val="nil"/>
            </w:tcBorders>
            <w:noWrap/>
            <w:vAlign w:val="center"/>
          </w:tcPr>
          <w:p w14:paraId="6259883E">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选用低噪声设备，采用</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减振</w:t>
            </w:r>
            <w:r>
              <w:rPr>
                <w:rFonts w:hint="default" w:ascii="Times New Roman" w:hAnsi="Times New Roman" w:eastAsia="宋体" w:cs="Times New Roman"/>
                <w:color w:val="000000" w:themeColor="text1"/>
                <w:sz w:val="21"/>
                <w:szCs w:val="21"/>
                <w:highlight w:val="none"/>
                <w14:textFill>
                  <w14:solidFill>
                    <w14:schemeClr w14:val="tx1"/>
                  </w14:solidFill>
                </w14:textFill>
              </w:rPr>
              <w:t>基座等措施</w:t>
            </w:r>
          </w:p>
        </w:tc>
        <w:tc>
          <w:tcPr>
            <w:tcW w:w="507" w:type="pct"/>
            <w:vMerge w:val="restart"/>
            <w:tcBorders>
              <w:tl2br w:val="nil"/>
              <w:tr2bl w:val="nil"/>
            </w:tcBorders>
            <w:noWrap/>
            <w:vAlign w:val="center"/>
          </w:tcPr>
          <w:p w14:paraId="59FD9B6D">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16h/d</w:t>
            </w:r>
          </w:p>
        </w:tc>
      </w:tr>
      <w:tr w14:paraId="7581B8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705" w:type="pct"/>
            <w:tcBorders>
              <w:tl2br w:val="nil"/>
              <w:tr2bl w:val="nil"/>
            </w:tcBorders>
            <w:noWrap/>
            <w:vAlign w:val="center"/>
          </w:tcPr>
          <w:p w14:paraId="4A3B59C4">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TA001风机</w:t>
            </w:r>
          </w:p>
        </w:tc>
        <w:tc>
          <w:tcPr>
            <w:tcW w:w="604" w:type="pct"/>
            <w:tcBorders>
              <w:tl2br w:val="nil"/>
              <w:tr2bl w:val="nil"/>
            </w:tcBorders>
            <w:noWrap/>
            <w:vAlign w:val="center"/>
          </w:tcPr>
          <w:p w14:paraId="18862A38">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375" w:type="pct"/>
            <w:tcBorders>
              <w:tl2br w:val="nil"/>
              <w:tr2bl w:val="nil"/>
            </w:tcBorders>
            <w:noWrap/>
            <w:vAlign w:val="center"/>
          </w:tcPr>
          <w:p w14:paraId="326CB5FF">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-15.57</w:t>
            </w:r>
          </w:p>
        </w:tc>
        <w:tc>
          <w:tcPr>
            <w:tcW w:w="312" w:type="pct"/>
            <w:tcBorders>
              <w:tl2br w:val="nil"/>
              <w:tr2bl w:val="nil"/>
            </w:tcBorders>
            <w:noWrap/>
            <w:vAlign w:val="center"/>
          </w:tcPr>
          <w:p w14:paraId="5057A504">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-1.04</w:t>
            </w:r>
          </w:p>
        </w:tc>
        <w:tc>
          <w:tcPr>
            <w:tcW w:w="165" w:type="pct"/>
            <w:tcBorders>
              <w:tl2br w:val="nil"/>
              <w:tr2bl w:val="nil"/>
            </w:tcBorders>
            <w:noWrap/>
            <w:vAlign w:val="center"/>
          </w:tcPr>
          <w:p w14:paraId="6D14063D">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521" w:type="pct"/>
            <w:tcBorders>
              <w:tl2br w:val="nil"/>
              <w:tr2bl w:val="nil"/>
            </w:tcBorders>
            <w:noWrap/>
            <w:vAlign w:val="center"/>
          </w:tcPr>
          <w:p w14:paraId="00713E8F">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1808" w:type="pct"/>
            <w:vMerge w:val="continue"/>
            <w:tcBorders>
              <w:tl2br w:val="nil"/>
              <w:tr2bl w:val="nil"/>
            </w:tcBorders>
            <w:noWrap/>
            <w:vAlign w:val="center"/>
          </w:tcPr>
          <w:p w14:paraId="1A3B71A5">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07" w:type="pct"/>
            <w:vMerge w:val="continue"/>
            <w:tcBorders>
              <w:tl2br w:val="nil"/>
              <w:tr2bl w:val="nil"/>
            </w:tcBorders>
            <w:noWrap/>
            <w:vAlign w:val="center"/>
          </w:tcPr>
          <w:p w14:paraId="674E485E">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4B43DA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705" w:type="pct"/>
            <w:tcBorders>
              <w:tl2br w:val="nil"/>
              <w:tr2bl w:val="nil"/>
            </w:tcBorders>
            <w:noWrap/>
            <w:vAlign w:val="center"/>
          </w:tcPr>
          <w:p w14:paraId="67FDFBCC">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TA00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风机</w:t>
            </w:r>
          </w:p>
        </w:tc>
        <w:tc>
          <w:tcPr>
            <w:tcW w:w="604" w:type="pct"/>
            <w:tcBorders>
              <w:tl2br w:val="nil"/>
              <w:tr2bl w:val="nil"/>
            </w:tcBorders>
            <w:noWrap/>
            <w:vAlign w:val="center"/>
          </w:tcPr>
          <w:p w14:paraId="5DCC64A8">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375" w:type="pct"/>
            <w:tcBorders>
              <w:tl2br w:val="nil"/>
              <w:tr2bl w:val="nil"/>
            </w:tcBorders>
            <w:noWrap/>
            <w:vAlign w:val="center"/>
          </w:tcPr>
          <w:p w14:paraId="689C45A2">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63</w:t>
            </w:r>
          </w:p>
        </w:tc>
        <w:tc>
          <w:tcPr>
            <w:tcW w:w="312" w:type="pct"/>
            <w:tcBorders>
              <w:tl2br w:val="nil"/>
              <w:tr2bl w:val="nil"/>
            </w:tcBorders>
            <w:noWrap/>
            <w:vAlign w:val="center"/>
          </w:tcPr>
          <w:p w14:paraId="209E35AB">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-1.04</w:t>
            </w:r>
          </w:p>
        </w:tc>
        <w:tc>
          <w:tcPr>
            <w:tcW w:w="165" w:type="pct"/>
            <w:tcBorders>
              <w:tl2br w:val="nil"/>
              <w:tr2bl w:val="nil"/>
            </w:tcBorders>
            <w:noWrap/>
            <w:vAlign w:val="center"/>
          </w:tcPr>
          <w:p w14:paraId="1EB2CD5D">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521" w:type="pct"/>
            <w:tcBorders>
              <w:tl2br w:val="nil"/>
              <w:tr2bl w:val="nil"/>
            </w:tcBorders>
            <w:noWrap/>
            <w:vAlign w:val="center"/>
          </w:tcPr>
          <w:p w14:paraId="62476C8A">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1808" w:type="pct"/>
            <w:vMerge w:val="continue"/>
            <w:tcBorders>
              <w:tl2br w:val="nil"/>
              <w:tr2bl w:val="nil"/>
            </w:tcBorders>
            <w:noWrap/>
            <w:vAlign w:val="center"/>
          </w:tcPr>
          <w:p w14:paraId="2483837F">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07" w:type="pct"/>
            <w:vMerge w:val="continue"/>
            <w:tcBorders>
              <w:tl2br w:val="nil"/>
              <w:tr2bl w:val="nil"/>
            </w:tcBorders>
            <w:noWrap/>
            <w:vAlign w:val="center"/>
          </w:tcPr>
          <w:p w14:paraId="0F40BD41">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bl>
    <w:p w14:paraId="34A49727">
      <w:pPr>
        <w:pStyle w:val="125"/>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exact"/>
        <w:jc w:val="both"/>
        <w:textAlignment w:val="auto"/>
        <w:rPr>
          <w:rFonts w:hint="default"/>
          <w:color w:val="000000" w:themeColor="text1"/>
          <w:sz w:val="24"/>
          <w:highlight w:val="none"/>
          <w:lang w:val="zh-CN"/>
          <w14:textFill>
            <w14:solidFill>
              <w14:schemeClr w14:val="tx1"/>
            </w14:solidFill>
          </w14:textFill>
        </w:rPr>
      </w:pPr>
      <w:r>
        <w:rPr>
          <w:b/>
          <w:bCs/>
          <w:color w:val="000000" w:themeColor="text1"/>
          <w:szCs w:val="21"/>
          <w:highlight w:val="none"/>
          <w14:textFill>
            <w14:solidFill>
              <w14:schemeClr w14:val="tx1"/>
            </w14:solidFill>
          </w14:textFill>
        </w:rPr>
        <w:t>注：选取D</w:t>
      </w:r>
      <w:r>
        <w:rPr>
          <w:rFonts w:hint="eastAsia"/>
          <w:b/>
          <w:bCs/>
          <w:color w:val="000000" w:themeColor="text1"/>
          <w:szCs w:val="21"/>
          <w:highlight w:val="none"/>
          <w:lang w:val="en-US" w:eastAsia="zh-CN"/>
          <w14:textFill>
            <w14:solidFill>
              <w14:schemeClr w14:val="tx1"/>
            </w14:solidFill>
          </w14:textFill>
        </w:rPr>
        <w:t>A</w:t>
      </w:r>
      <w:r>
        <w:rPr>
          <w:b/>
          <w:bCs/>
          <w:color w:val="000000" w:themeColor="text1"/>
          <w:szCs w:val="21"/>
          <w:highlight w:val="none"/>
          <w14:textFill>
            <w14:solidFill>
              <w14:schemeClr w14:val="tx1"/>
            </w14:solidFill>
          </w14:textFill>
        </w:rPr>
        <w:t>001中心位置为（0，0，0）点。</w:t>
      </w:r>
    </w:p>
    <w:p w14:paraId="52C44F84">
      <w:pPr>
        <w:pStyle w:val="125"/>
        <w:numPr>
          <w:ilvl w:val="0"/>
          <w:numId w:val="0"/>
        </w:numPr>
        <w:spacing w:line="440" w:lineRule="exact"/>
        <w:rPr>
          <w:rFonts w:hint="default"/>
          <w:color w:val="000000" w:themeColor="text1"/>
          <w:sz w:val="24"/>
          <w:highlight w:val="none"/>
          <w:lang w:val="zh-CN"/>
          <w14:textFill>
            <w14:solidFill>
              <w14:schemeClr w14:val="tx1"/>
            </w14:solidFill>
          </w14:textFill>
        </w:rPr>
      </w:pPr>
      <w:r>
        <w:rPr>
          <w:rFonts w:hint="default"/>
          <w:color w:val="000000" w:themeColor="text1"/>
          <w:sz w:val="24"/>
          <w:highlight w:val="none"/>
          <w:lang w:val="zh-CN"/>
          <w14:textFill>
            <w14:solidFill>
              <w14:schemeClr w14:val="tx1"/>
            </w14:solidFill>
          </w14:textFill>
        </w:rPr>
        <w:t>表4</w:t>
      </w: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24  本项目</w:t>
      </w:r>
      <w:r>
        <w:rPr>
          <w:rFonts w:hint="default"/>
          <w:color w:val="000000" w:themeColor="text1"/>
          <w:sz w:val="24"/>
          <w:highlight w:val="none"/>
          <w:lang w:val="zh-CN"/>
          <w14:textFill>
            <w14:solidFill>
              <w14:schemeClr w14:val="tx1"/>
            </w14:solidFill>
          </w14:textFill>
        </w:rPr>
        <w:t>主要设备的噪声源强调查清单（室内声源）</w:t>
      </w:r>
    </w:p>
    <w:tbl>
      <w:tblPr>
        <w:tblStyle w:val="38"/>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7"/>
        <w:gridCol w:w="693"/>
        <w:gridCol w:w="1919"/>
        <w:gridCol w:w="1164"/>
        <w:gridCol w:w="494"/>
        <w:gridCol w:w="625"/>
        <w:gridCol w:w="855"/>
        <w:gridCol w:w="974"/>
        <w:gridCol w:w="958"/>
        <w:gridCol w:w="367"/>
        <w:gridCol w:w="899"/>
        <w:gridCol w:w="708"/>
        <w:gridCol w:w="785"/>
        <w:gridCol w:w="740"/>
        <w:gridCol w:w="790"/>
        <w:gridCol w:w="817"/>
      </w:tblGrid>
      <w:tr w14:paraId="1933A8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1" w:type="pct"/>
            <w:vMerge w:val="restart"/>
            <w:vAlign w:val="center"/>
          </w:tcPr>
          <w:p w14:paraId="41F4B72B">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序号</w:t>
            </w:r>
          </w:p>
        </w:tc>
        <w:tc>
          <w:tcPr>
            <w:tcW w:w="262" w:type="pct"/>
            <w:vMerge w:val="restart"/>
            <w:vAlign w:val="center"/>
          </w:tcPr>
          <w:p w14:paraId="27C08B9E">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建筑物名称</w:t>
            </w:r>
          </w:p>
        </w:tc>
        <w:tc>
          <w:tcPr>
            <w:tcW w:w="726" w:type="pct"/>
            <w:vMerge w:val="restart"/>
            <w:vAlign w:val="center"/>
          </w:tcPr>
          <w:p w14:paraId="0856EB6F">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声源名称</w:t>
            </w:r>
          </w:p>
        </w:tc>
        <w:tc>
          <w:tcPr>
            <w:tcW w:w="440" w:type="pct"/>
            <w:vMerge w:val="restart"/>
            <w:vAlign w:val="center"/>
          </w:tcPr>
          <w:p w14:paraId="37C0A0DF">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型号</w:t>
            </w:r>
          </w:p>
        </w:tc>
        <w:tc>
          <w:tcPr>
            <w:tcW w:w="186" w:type="pct"/>
            <w:vMerge w:val="restart"/>
            <w:vAlign w:val="center"/>
          </w:tcPr>
          <w:p w14:paraId="462015C7">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数量</w:t>
            </w:r>
          </w:p>
        </w:tc>
        <w:tc>
          <w:tcPr>
            <w:tcW w:w="236" w:type="pct"/>
            <w:vMerge w:val="restart"/>
            <w:vAlign w:val="center"/>
          </w:tcPr>
          <w:p w14:paraId="08BFF336">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声功率级/dB（A）</w:t>
            </w:r>
          </w:p>
        </w:tc>
        <w:tc>
          <w:tcPr>
            <w:tcW w:w="323" w:type="pct"/>
            <w:vMerge w:val="restart"/>
            <w:vAlign w:val="center"/>
          </w:tcPr>
          <w:p w14:paraId="3C81720F">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声源控制措施</w:t>
            </w:r>
          </w:p>
        </w:tc>
        <w:tc>
          <w:tcPr>
            <w:tcW w:w="869" w:type="pct"/>
            <w:gridSpan w:val="3"/>
            <w:vAlign w:val="center"/>
          </w:tcPr>
          <w:p w14:paraId="62816A9A">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空间相对位置/m</w:t>
            </w:r>
          </w:p>
        </w:tc>
        <w:tc>
          <w:tcPr>
            <w:tcW w:w="340" w:type="pct"/>
            <w:vMerge w:val="restart"/>
            <w:vAlign w:val="center"/>
          </w:tcPr>
          <w:p w14:paraId="61CE43AE">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距室内边界距离/m</w:t>
            </w:r>
          </w:p>
        </w:tc>
        <w:tc>
          <w:tcPr>
            <w:tcW w:w="267" w:type="pct"/>
            <w:vMerge w:val="restart"/>
            <w:vAlign w:val="center"/>
          </w:tcPr>
          <w:p w14:paraId="76B62CF8">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室内边界声级/dB（A）</w:t>
            </w:r>
          </w:p>
        </w:tc>
        <w:tc>
          <w:tcPr>
            <w:tcW w:w="297" w:type="pct"/>
            <w:vMerge w:val="restart"/>
            <w:vAlign w:val="center"/>
          </w:tcPr>
          <w:p w14:paraId="13DDF103">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运行时段</w:t>
            </w:r>
          </w:p>
        </w:tc>
        <w:tc>
          <w:tcPr>
            <w:tcW w:w="279" w:type="pct"/>
            <w:vMerge w:val="restart"/>
            <w:vAlign w:val="center"/>
          </w:tcPr>
          <w:p w14:paraId="244E92FF">
            <w:pPr>
              <w:snapToGrid w:val="0"/>
              <w:spacing w:line="240" w:lineRule="exact"/>
              <w:jc w:val="center"/>
              <w:rPr>
                <w:b/>
                <w:bCs/>
                <w:color w:val="000000" w:themeColor="text1"/>
                <w:szCs w:val="21"/>
                <w:highlight w:val="none"/>
                <w14:textFill>
                  <w14:solidFill>
                    <w14:schemeClr w14:val="tx1"/>
                  </w14:solidFill>
                </w14:textFill>
              </w:rPr>
            </w:pPr>
            <w:bookmarkStart w:id="11" w:name="OLE_LINK25"/>
            <w:r>
              <w:rPr>
                <w:b/>
                <w:bCs/>
                <w:color w:val="000000" w:themeColor="text1"/>
                <w:szCs w:val="21"/>
                <w:highlight w:val="none"/>
                <w14:textFill>
                  <w14:solidFill>
                    <w14:schemeClr w14:val="tx1"/>
                  </w14:solidFill>
                </w14:textFill>
              </w:rPr>
              <w:t>建筑物插入损失/dB（A</w:t>
            </w:r>
            <w:bookmarkEnd w:id="11"/>
            <w:r>
              <w:rPr>
                <w:b/>
                <w:bCs/>
                <w:color w:val="000000" w:themeColor="text1"/>
                <w:szCs w:val="21"/>
                <w:highlight w:val="none"/>
                <w14:textFill>
                  <w14:solidFill>
                    <w14:schemeClr w14:val="tx1"/>
                  </w14:solidFill>
                </w14:textFill>
              </w:rPr>
              <w:t>）</w:t>
            </w:r>
          </w:p>
        </w:tc>
        <w:tc>
          <w:tcPr>
            <w:tcW w:w="608" w:type="pct"/>
            <w:gridSpan w:val="2"/>
            <w:vAlign w:val="center"/>
          </w:tcPr>
          <w:p w14:paraId="15FA0831">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建筑物外噪声</w:t>
            </w:r>
          </w:p>
        </w:tc>
      </w:tr>
      <w:tr w14:paraId="013144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1" w:type="pct"/>
            <w:vMerge w:val="continue"/>
            <w:vAlign w:val="center"/>
          </w:tcPr>
          <w:p w14:paraId="3B852DC7">
            <w:pPr>
              <w:snapToGrid w:val="0"/>
              <w:spacing w:line="240" w:lineRule="exact"/>
              <w:jc w:val="center"/>
              <w:rPr>
                <w:b/>
                <w:bCs/>
                <w:color w:val="000000" w:themeColor="text1"/>
                <w:szCs w:val="21"/>
                <w:highlight w:val="none"/>
                <w14:textFill>
                  <w14:solidFill>
                    <w14:schemeClr w14:val="tx1"/>
                  </w14:solidFill>
                </w14:textFill>
              </w:rPr>
            </w:pPr>
          </w:p>
        </w:tc>
        <w:tc>
          <w:tcPr>
            <w:tcW w:w="262" w:type="pct"/>
            <w:vMerge w:val="continue"/>
            <w:vAlign w:val="center"/>
          </w:tcPr>
          <w:p w14:paraId="7F74F520">
            <w:pPr>
              <w:snapToGrid w:val="0"/>
              <w:spacing w:line="240" w:lineRule="exact"/>
              <w:jc w:val="center"/>
              <w:rPr>
                <w:b/>
                <w:bCs/>
                <w:color w:val="000000" w:themeColor="text1"/>
                <w:szCs w:val="21"/>
                <w:highlight w:val="none"/>
                <w14:textFill>
                  <w14:solidFill>
                    <w14:schemeClr w14:val="tx1"/>
                  </w14:solidFill>
                </w14:textFill>
              </w:rPr>
            </w:pPr>
          </w:p>
        </w:tc>
        <w:tc>
          <w:tcPr>
            <w:tcW w:w="726" w:type="pct"/>
            <w:vMerge w:val="continue"/>
            <w:vAlign w:val="center"/>
          </w:tcPr>
          <w:p w14:paraId="7D26D681">
            <w:pPr>
              <w:snapToGrid w:val="0"/>
              <w:spacing w:line="240" w:lineRule="exact"/>
              <w:jc w:val="center"/>
              <w:rPr>
                <w:b/>
                <w:bCs/>
                <w:color w:val="000000" w:themeColor="text1"/>
                <w:szCs w:val="21"/>
                <w:highlight w:val="none"/>
                <w14:textFill>
                  <w14:solidFill>
                    <w14:schemeClr w14:val="tx1"/>
                  </w14:solidFill>
                </w14:textFill>
              </w:rPr>
            </w:pPr>
          </w:p>
        </w:tc>
        <w:tc>
          <w:tcPr>
            <w:tcW w:w="440" w:type="pct"/>
            <w:vMerge w:val="continue"/>
            <w:vAlign w:val="center"/>
          </w:tcPr>
          <w:p w14:paraId="6C5B442E">
            <w:pPr>
              <w:snapToGrid w:val="0"/>
              <w:spacing w:line="240" w:lineRule="exact"/>
              <w:jc w:val="center"/>
              <w:rPr>
                <w:b/>
                <w:bCs/>
                <w:color w:val="000000" w:themeColor="text1"/>
                <w:szCs w:val="21"/>
                <w:highlight w:val="none"/>
                <w14:textFill>
                  <w14:solidFill>
                    <w14:schemeClr w14:val="tx1"/>
                  </w14:solidFill>
                </w14:textFill>
              </w:rPr>
            </w:pPr>
          </w:p>
        </w:tc>
        <w:tc>
          <w:tcPr>
            <w:tcW w:w="186" w:type="pct"/>
            <w:vMerge w:val="continue"/>
            <w:vAlign w:val="center"/>
          </w:tcPr>
          <w:p w14:paraId="789B51C1">
            <w:pPr>
              <w:snapToGrid w:val="0"/>
              <w:spacing w:line="240" w:lineRule="exact"/>
              <w:jc w:val="center"/>
              <w:rPr>
                <w:b/>
                <w:bCs/>
                <w:color w:val="000000" w:themeColor="text1"/>
                <w:szCs w:val="21"/>
                <w:highlight w:val="none"/>
                <w14:textFill>
                  <w14:solidFill>
                    <w14:schemeClr w14:val="tx1"/>
                  </w14:solidFill>
                </w14:textFill>
              </w:rPr>
            </w:pPr>
          </w:p>
        </w:tc>
        <w:tc>
          <w:tcPr>
            <w:tcW w:w="236" w:type="pct"/>
            <w:vMerge w:val="continue"/>
            <w:vAlign w:val="center"/>
          </w:tcPr>
          <w:p w14:paraId="31C720B1">
            <w:pPr>
              <w:snapToGrid w:val="0"/>
              <w:spacing w:line="240" w:lineRule="exact"/>
              <w:jc w:val="center"/>
              <w:rPr>
                <w:b/>
                <w:bCs/>
                <w:color w:val="000000" w:themeColor="text1"/>
                <w:szCs w:val="21"/>
                <w:highlight w:val="none"/>
                <w14:textFill>
                  <w14:solidFill>
                    <w14:schemeClr w14:val="tx1"/>
                  </w14:solidFill>
                </w14:textFill>
              </w:rPr>
            </w:pPr>
          </w:p>
        </w:tc>
        <w:tc>
          <w:tcPr>
            <w:tcW w:w="323" w:type="pct"/>
            <w:vMerge w:val="continue"/>
            <w:vAlign w:val="center"/>
          </w:tcPr>
          <w:p w14:paraId="206726E5">
            <w:pPr>
              <w:snapToGrid w:val="0"/>
              <w:spacing w:line="240" w:lineRule="exact"/>
              <w:jc w:val="center"/>
              <w:rPr>
                <w:b/>
                <w:bCs/>
                <w:color w:val="000000" w:themeColor="text1"/>
                <w:szCs w:val="21"/>
                <w:highlight w:val="none"/>
                <w14:textFill>
                  <w14:solidFill>
                    <w14:schemeClr w14:val="tx1"/>
                  </w14:solidFill>
                </w14:textFill>
              </w:rPr>
            </w:pPr>
          </w:p>
        </w:tc>
        <w:tc>
          <w:tcPr>
            <w:tcW w:w="368" w:type="pct"/>
            <w:vAlign w:val="center"/>
          </w:tcPr>
          <w:p w14:paraId="70CBB522">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X</w:t>
            </w:r>
          </w:p>
        </w:tc>
        <w:tc>
          <w:tcPr>
            <w:tcW w:w="362" w:type="pct"/>
            <w:vAlign w:val="center"/>
          </w:tcPr>
          <w:p w14:paraId="3E43F12C">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Y</w:t>
            </w:r>
          </w:p>
        </w:tc>
        <w:tc>
          <w:tcPr>
            <w:tcW w:w="138" w:type="pct"/>
            <w:vAlign w:val="center"/>
          </w:tcPr>
          <w:p w14:paraId="1053D9E1">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Z</w:t>
            </w:r>
          </w:p>
        </w:tc>
        <w:tc>
          <w:tcPr>
            <w:tcW w:w="340" w:type="pct"/>
            <w:vMerge w:val="continue"/>
            <w:vAlign w:val="center"/>
          </w:tcPr>
          <w:p w14:paraId="7A83C6FF">
            <w:pPr>
              <w:snapToGrid w:val="0"/>
              <w:spacing w:line="240" w:lineRule="exact"/>
              <w:jc w:val="center"/>
              <w:rPr>
                <w:b/>
                <w:bCs/>
                <w:color w:val="000000" w:themeColor="text1"/>
                <w:szCs w:val="21"/>
                <w:highlight w:val="none"/>
                <w14:textFill>
                  <w14:solidFill>
                    <w14:schemeClr w14:val="tx1"/>
                  </w14:solidFill>
                </w14:textFill>
              </w:rPr>
            </w:pPr>
          </w:p>
        </w:tc>
        <w:tc>
          <w:tcPr>
            <w:tcW w:w="267" w:type="pct"/>
            <w:vMerge w:val="continue"/>
            <w:vAlign w:val="center"/>
          </w:tcPr>
          <w:p w14:paraId="708A977B">
            <w:pPr>
              <w:snapToGrid w:val="0"/>
              <w:spacing w:line="240" w:lineRule="exact"/>
              <w:jc w:val="center"/>
              <w:rPr>
                <w:b/>
                <w:bCs/>
                <w:color w:val="000000" w:themeColor="text1"/>
                <w:szCs w:val="21"/>
                <w:highlight w:val="none"/>
                <w14:textFill>
                  <w14:solidFill>
                    <w14:schemeClr w14:val="tx1"/>
                  </w14:solidFill>
                </w14:textFill>
              </w:rPr>
            </w:pPr>
          </w:p>
        </w:tc>
        <w:tc>
          <w:tcPr>
            <w:tcW w:w="297" w:type="pct"/>
            <w:vMerge w:val="continue"/>
            <w:vAlign w:val="center"/>
          </w:tcPr>
          <w:p w14:paraId="7378A356">
            <w:pPr>
              <w:snapToGrid w:val="0"/>
              <w:spacing w:line="240" w:lineRule="exact"/>
              <w:jc w:val="center"/>
              <w:rPr>
                <w:b/>
                <w:bCs/>
                <w:color w:val="000000" w:themeColor="text1"/>
                <w:szCs w:val="21"/>
                <w:highlight w:val="none"/>
                <w14:textFill>
                  <w14:solidFill>
                    <w14:schemeClr w14:val="tx1"/>
                  </w14:solidFill>
                </w14:textFill>
              </w:rPr>
            </w:pPr>
          </w:p>
        </w:tc>
        <w:tc>
          <w:tcPr>
            <w:tcW w:w="279" w:type="pct"/>
            <w:vMerge w:val="continue"/>
            <w:vAlign w:val="center"/>
          </w:tcPr>
          <w:p w14:paraId="6CF5D09F">
            <w:pPr>
              <w:snapToGrid w:val="0"/>
              <w:spacing w:line="240" w:lineRule="exact"/>
              <w:jc w:val="center"/>
              <w:rPr>
                <w:b/>
                <w:bCs/>
                <w:color w:val="000000" w:themeColor="text1"/>
                <w:szCs w:val="21"/>
                <w:highlight w:val="none"/>
                <w14:textFill>
                  <w14:solidFill>
                    <w14:schemeClr w14:val="tx1"/>
                  </w14:solidFill>
                </w14:textFill>
              </w:rPr>
            </w:pPr>
          </w:p>
        </w:tc>
        <w:tc>
          <w:tcPr>
            <w:tcW w:w="298" w:type="pct"/>
            <w:vAlign w:val="center"/>
          </w:tcPr>
          <w:p w14:paraId="6C3BEEE8">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声压级/dB（A）</w:t>
            </w:r>
          </w:p>
        </w:tc>
        <w:tc>
          <w:tcPr>
            <w:tcW w:w="309" w:type="pct"/>
            <w:vAlign w:val="center"/>
          </w:tcPr>
          <w:p w14:paraId="5C831159">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建筑物外距离</w:t>
            </w:r>
            <w:r>
              <w:rPr>
                <w:b/>
                <w:bCs/>
                <w:color w:val="000000" w:themeColor="text1"/>
                <w:highlight w:val="none"/>
                <w14:textFill>
                  <w14:solidFill>
                    <w14:schemeClr w14:val="tx1"/>
                  </w14:solidFill>
                </w14:textFill>
              </w:rPr>
              <w:t>（m）</w:t>
            </w:r>
          </w:p>
        </w:tc>
      </w:tr>
      <w:tr w14:paraId="5FF28B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161" w:type="pct"/>
            <w:vAlign w:val="center"/>
          </w:tcPr>
          <w:p w14:paraId="4E95201E">
            <w:pPr>
              <w:adjustRightInd w:val="0"/>
              <w:snapToGrid w:val="0"/>
              <w:spacing w:line="24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62" w:type="pct"/>
            <w:vMerge w:val="restart"/>
            <w:vAlign w:val="center"/>
          </w:tcPr>
          <w:p w14:paraId="3588B354">
            <w:pPr>
              <w:snapToGrid w:val="0"/>
              <w:spacing w:line="240" w:lineRule="exact"/>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生产车间</w:t>
            </w:r>
          </w:p>
        </w:tc>
        <w:tc>
          <w:tcPr>
            <w:tcW w:w="726" w:type="pct"/>
            <w:vAlign w:val="center"/>
          </w:tcPr>
          <w:p w14:paraId="1407AE28">
            <w:pPr>
              <w:jc w:val="center"/>
              <w:rPr>
                <w:color w:val="000000" w:themeColor="text1"/>
                <w:szCs w:val="2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开放式</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滚料机</w:t>
            </w:r>
          </w:p>
        </w:tc>
        <w:tc>
          <w:tcPr>
            <w:tcW w:w="440" w:type="pct"/>
            <w:vAlign w:val="center"/>
          </w:tcPr>
          <w:p w14:paraId="0CAA0397">
            <w:pPr>
              <w:jc w:val="center"/>
              <w:rPr>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YX-230</w:t>
            </w:r>
          </w:p>
        </w:tc>
        <w:tc>
          <w:tcPr>
            <w:tcW w:w="186" w:type="pct"/>
            <w:vAlign w:val="center"/>
          </w:tcPr>
          <w:p w14:paraId="04BE8D74">
            <w:pPr>
              <w:jc w:val="center"/>
              <w:rPr>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236" w:type="pct"/>
            <w:vAlign w:val="center"/>
          </w:tcPr>
          <w:p w14:paraId="73F1D2FE">
            <w:pPr>
              <w:widowControl/>
              <w:spacing w:line="240" w:lineRule="exact"/>
              <w:jc w:val="center"/>
              <w:textAlignment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8</w:t>
            </w:r>
            <w:r>
              <w:rPr>
                <w:rFonts w:hint="eastAsia"/>
                <w:color w:val="000000" w:themeColor="text1"/>
                <w:szCs w:val="21"/>
                <w:highlight w:val="none"/>
                <w:lang w:val="en-US" w:eastAsia="zh-CN"/>
                <w14:textFill>
                  <w14:solidFill>
                    <w14:schemeClr w14:val="tx1"/>
                  </w14:solidFill>
                </w14:textFill>
              </w:rPr>
              <w:t>0</w:t>
            </w:r>
          </w:p>
        </w:tc>
        <w:tc>
          <w:tcPr>
            <w:tcW w:w="323" w:type="pct"/>
            <w:vMerge w:val="restart"/>
            <w:vAlign w:val="center"/>
          </w:tcPr>
          <w:p w14:paraId="4AE6E178">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减振隔声选用低噪声设备，合理布局，增加密闭性</w:t>
            </w:r>
          </w:p>
        </w:tc>
        <w:tc>
          <w:tcPr>
            <w:tcW w:w="368" w:type="pct"/>
            <w:vAlign w:val="center"/>
          </w:tcPr>
          <w:p w14:paraId="7F9DF10F">
            <w:pPr>
              <w:adjustRightInd w:val="0"/>
              <w:snapToGrid w:val="0"/>
              <w:spacing w:line="240" w:lineRule="exact"/>
              <w:jc w:val="center"/>
              <w:rPr>
                <w:color w:val="000000" w:themeColor="text1"/>
                <w:kern w:val="0"/>
                <w:szCs w:val="21"/>
                <w:highlight w:val="none"/>
                <w:lang w:bidi="ar"/>
                <w14:textFill>
                  <w14:solidFill>
                    <w14:schemeClr w14:val="tx1"/>
                  </w14:solidFill>
                </w14:textFill>
              </w:rPr>
            </w:pPr>
            <w:r>
              <w:rPr>
                <w:rFonts w:hint="eastAsia"/>
                <w:color w:val="000000" w:themeColor="text1"/>
                <w:highlight w:val="none"/>
                <w14:textFill>
                  <w14:solidFill>
                    <w14:schemeClr w14:val="tx1"/>
                  </w14:solidFill>
                </w14:textFill>
              </w:rPr>
              <w:t>-16.45</w:t>
            </w:r>
          </w:p>
        </w:tc>
        <w:tc>
          <w:tcPr>
            <w:tcW w:w="362" w:type="pct"/>
            <w:vAlign w:val="center"/>
          </w:tcPr>
          <w:p w14:paraId="148E8AD9">
            <w:pPr>
              <w:adjustRightInd w:val="0"/>
              <w:snapToGrid w:val="0"/>
              <w:spacing w:line="240" w:lineRule="exact"/>
              <w:jc w:val="center"/>
              <w:rPr>
                <w:color w:val="000000" w:themeColor="text1"/>
                <w:kern w:val="0"/>
                <w:szCs w:val="21"/>
                <w:highlight w:val="none"/>
                <w:lang w:bidi="ar"/>
                <w14:textFill>
                  <w14:solidFill>
                    <w14:schemeClr w14:val="tx1"/>
                  </w14:solidFill>
                </w14:textFill>
              </w:rPr>
            </w:pPr>
            <w:r>
              <w:rPr>
                <w:rFonts w:hint="eastAsia"/>
                <w:color w:val="000000" w:themeColor="text1"/>
                <w:highlight w:val="none"/>
                <w14:textFill>
                  <w14:solidFill>
                    <w14:schemeClr w14:val="tx1"/>
                  </w14:solidFill>
                </w14:textFill>
              </w:rPr>
              <w:t>-18.76</w:t>
            </w:r>
          </w:p>
        </w:tc>
        <w:tc>
          <w:tcPr>
            <w:tcW w:w="138" w:type="pct"/>
            <w:vAlign w:val="center"/>
          </w:tcPr>
          <w:p w14:paraId="243FD4CA">
            <w:pPr>
              <w:adjustRightInd w:val="0"/>
              <w:snapToGrid w:val="0"/>
              <w:spacing w:line="240" w:lineRule="exact"/>
              <w:jc w:val="center"/>
              <w:rPr>
                <w:color w:val="000000" w:themeColor="text1"/>
                <w:kern w:val="0"/>
                <w:szCs w:val="21"/>
                <w:highlight w:val="none"/>
                <w:lang w:bidi="ar"/>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340" w:type="pct"/>
            <w:vAlign w:val="center"/>
          </w:tcPr>
          <w:p w14:paraId="1353DD3F">
            <w:pPr>
              <w:adjustRightInd w:val="0"/>
              <w:snapToGrid w:val="0"/>
              <w:spacing w:line="240" w:lineRule="exact"/>
              <w:jc w:val="center"/>
              <w:rPr>
                <w:color w:val="000000" w:themeColor="text1"/>
                <w:kern w:val="0"/>
                <w:szCs w:val="21"/>
                <w:highlight w:val="none"/>
                <w:lang w:bidi="ar"/>
                <w14:textFill>
                  <w14:solidFill>
                    <w14:schemeClr w14:val="tx1"/>
                  </w14:solidFill>
                </w14:textFill>
              </w:rPr>
            </w:pPr>
            <w:r>
              <w:rPr>
                <w:rFonts w:hint="eastAsia"/>
                <w:color w:val="000000" w:themeColor="text1"/>
                <w:highlight w:val="none"/>
                <w14:textFill>
                  <w14:solidFill>
                    <w14:schemeClr w14:val="tx1"/>
                  </w14:solidFill>
                </w14:textFill>
              </w:rPr>
              <w:t>10.82</w:t>
            </w:r>
          </w:p>
        </w:tc>
        <w:tc>
          <w:tcPr>
            <w:tcW w:w="267" w:type="pct"/>
            <w:vAlign w:val="center"/>
          </w:tcPr>
          <w:p w14:paraId="7CAEDC44">
            <w:pPr>
              <w:adjustRightInd w:val="0"/>
              <w:snapToGrid w:val="0"/>
              <w:spacing w:line="240" w:lineRule="exact"/>
              <w:jc w:val="center"/>
              <w:rPr>
                <w:color w:val="000000" w:themeColor="text1"/>
                <w:kern w:val="0"/>
                <w:szCs w:val="21"/>
                <w:highlight w:val="none"/>
                <w:lang w:bidi="ar"/>
                <w14:textFill>
                  <w14:solidFill>
                    <w14:schemeClr w14:val="tx1"/>
                  </w14:solidFill>
                </w14:textFill>
              </w:rPr>
            </w:pPr>
            <w:r>
              <w:rPr>
                <w:rFonts w:hint="eastAsia"/>
                <w:color w:val="000000" w:themeColor="text1"/>
                <w:highlight w:val="none"/>
                <w14:textFill>
                  <w14:solidFill>
                    <w14:schemeClr w14:val="tx1"/>
                  </w14:solidFill>
                </w14:textFill>
              </w:rPr>
              <w:t>71.80</w:t>
            </w:r>
          </w:p>
        </w:tc>
        <w:tc>
          <w:tcPr>
            <w:tcW w:w="297" w:type="pct"/>
            <w:vMerge w:val="restart"/>
            <w:vAlign w:val="center"/>
          </w:tcPr>
          <w:p w14:paraId="765C26DD">
            <w:pPr>
              <w:adjustRightInd w:val="0"/>
              <w:snapToGrid w:val="0"/>
              <w:spacing w:line="240" w:lineRule="exact"/>
              <w:jc w:val="center"/>
              <w:rPr>
                <w:color w:val="000000" w:themeColor="text1"/>
                <w:kern w:val="0"/>
                <w:szCs w:val="21"/>
                <w:highlight w:val="none"/>
                <w:lang w:bidi="ar"/>
                <w14:textFill>
                  <w14:solidFill>
                    <w14:schemeClr w14:val="tx1"/>
                  </w14:solidFill>
                </w14:textFill>
              </w:rPr>
            </w:pPr>
            <w:r>
              <w:rPr>
                <w:rFonts w:hint="eastAsia"/>
                <w:color w:val="000000" w:themeColor="text1"/>
                <w:kern w:val="0"/>
                <w:szCs w:val="21"/>
                <w:highlight w:val="none"/>
                <w:lang w:val="en-US" w:eastAsia="zh-CN" w:bidi="ar"/>
                <w14:textFill>
                  <w14:solidFill>
                    <w14:schemeClr w14:val="tx1"/>
                  </w14:solidFill>
                </w14:textFill>
              </w:rPr>
              <w:t>16</w:t>
            </w:r>
            <w:r>
              <w:rPr>
                <w:color w:val="000000" w:themeColor="text1"/>
                <w:kern w:val="0"/>
                <w:szCs w:val="21"/>
                <w:highlight w:val="none"/>
                <w:lang w:bidi="ar"/>
                <w14:textFill>
                  <w14:solidFill>
                    <w14:schemeClr w14:val="tx1"/>
                  </w14:solidFill>
                </w14:textFill>
              </w:rPr>
              <w:t>h/d</w:t>
            </w:r>
          </w:p>
        </w:tc>
        <w:tc>
          <w:tcPr>
            <w:tcW w:w="279" w:type="pct"/>
            <w:vAlign w:val="center"/>
          </w:tcPr>
          <w:p w14:paraId="19B5E5FD">
            <w:pPr>
              <w:adjustRightInd w:val="0"/>
              <w:snapToGrid w:val="0"/>
              <w:spacing w:line="240" w:lineRule="exact"/>
              <w:jc w:val="center"/>
              <w:rPr>
                <w:color w:val="000000" w:themeColor="text1"/>
                <w:kern w:val="0"/>
                <w:szCs w:val="21"/>
                <w:highlight w:val="none"/>
                <w:lang w:bidi="ar"/>
                <w14:textFill>
                  <w14:solidFill>
                    <w14:schemeClr w14:val="tx1"/>
                  </w14:solidFill>
                </w14:textFill>
              </w:rPr>
            </w:pPr>
            <w:r>
              <w:rPr>
                <w:rFonts w:hint="eastAsia"/>
                <w:color w:val="000000" w:themeColor="text1"/>
                <w:highlight w:val="none"/>
                <w14:textFill>
                  <w14:solidFill>
                    <w14:schemeClr w14:val="tx1"/>
                  </w14:solidFill>
                </w14:textFill>
              </w:rPr>
              <w:t>26</w:t>
            </w:r>
          </w:p>
        </w:tc>
        <w:tc>
          <w:tcPr>
            <w:tcW w:w="298" w:type="pct"/>
            <w:vAlign w:val="center"/>
          </w:tcPr>
          <w:p w14:paraId="4D3C617C">
            <w:pPr>
              <w:widowControl/>
              <w:jc w:val="center"/>
              <w:textAlignment w:val="center"/>
              <w:rPr>
                <w:color w:val="000000" w:themeColor="text1"/>
                <w:kern w:val="0"/>
                <w:szCs w:val="21"/>
                <w:highlight w:val="none"/>
                <w:lang w:bidi="ar"/>
                <w14:textFill>
                  <w14:solidFill>
                    <w14:schemeClr w14:val="tx1"/>
                  </w14:solidFill>
                </w14:textFill>
              </w:rPr>
            </w:pPr>
            <w:r>
              <w:rPr>
                <w:rFonts w:hint="eastAsia"/>
                <w:color w:val="000000" w:themeColor="text1"/>
                <w:highlight w:val="none"/>
                <w14:textFill>
                  <w14:solidFill>
                    <w14:schemeClr w14:val="tx1"/>
                  </w14:solidFill>
                </w14:textFill>
              </w:rPr>
              <w:t>45.80</w:t>
            </w:r>
          </w:p>
        </w:tc>
        <w:tc>
          <w:tcPr>
            <w:tcW w:w="309" w:type="pct"/>
            <w:vAlign w:val="center"/>
          </w:tcPr>
          <w:p w14:paraId="4570CE61">
            <w:pPr>
              <w:adjustRightInd w:val="0"/>
              <w:snapToGrid w:val="0"/>
              <w:spacing w:line="240" w:lineRule="exact"/>
              <w:jc w:val="center"/>
              <w:rPr>
                <w:color w:val="000000" w:themeColor="text1"/>
                <w:kern w:val="0"/>
                <w:szCs w:val="21"/>
                <w:highlight w:val="none"/>
                <w:lang w:bidi="ar"/>
                <w14:textFill>
                  <w14:solidFill>
                    <w14:schemeClr w14:val="tx1"/>
                  </w14:solidFill>
                </w14:textFill>
              </w:rPr>
            </w:pPr>
            <w:r>
              <w:rPr>
                <w:rFonts w:hint="eastAsia"/>
                <w:color w:val="000000" w:themeColor="text1"/>
                <w:highlight w:val="none"/>
                <w14:textFill>
                  <w14:solidFill>
                    <w14:schemeClr w14:val="tx1"/>
                  </w14:solidFill>
                </w14:textFill>
              </w:rPr>
              <w:t>1</w:t>
            </w:r>
          </w:p>
        </w:tc>
      </w:tr>
      <w:tr w14:paraId="7E6A16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1" w:type="pct"/>
            <w:vAlign w:val="center"/>
          </w:tcPr>
          <w:p w14:paraId="5D7B49AC">
            <w:pPr>
              <w:adjustRightInd w:val="0"/>
              <w:snapToGrid w:val="0"/>
              <w:spacing w:line="24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62" w:type="pct"/>
            <w:vMerge w:val="continue"/>
            <w:vAlign w:val="center"/>
          </w:tcPr>
          <w:p w14:paraId="60A3CEB7">
            <w:pPr>
              <w:snapToGrid w:val="0"/>
              <w:spacing w:line="240" w:lineRule="exact"/>
              <w:jc w:val="center"/>
              <w:rPr>
                <w:color w:val="000000" w:themeColor="text1"/>
                <w:szCs w:val="21"/>
                <w:highlight w:val="none"/>
                <w14:textFill>
                  <w14:solidFill>
                    <w14:schemeClr w14:val="tx1"/>
                  </w14:solidFill>
                </w14:textFill>
              </w:rPr>
            </w:pPr>
          </w:p>
        </w:tc>
        <w:tc>
          <w:tcPr>
            <w:tcW w:w="726" w:type="pct"/>
            <w:vAlign w:val="center"/>
          </w:tcPr>
          <w:p w14:paraId="1D112BBB">
            <w:pPr>
              <w:jc w:val="center"/>
              <w:rPr>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油压机</w:t>
            </w:r>
          </w:p>
        </w:tc>
        <w:tc>
          <w:tcPr>
            <w:tcW w:w="440" w:type="pct"/>
            <w:vAlign w:val="center"/>
          </w:tcPr>
          <w:p w14:paraId="3DA239A8">
            <w:pPr>
              <w:jc w:val="center"/>
              <w:rPr>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QH-VC200-3RT</w:t>
            </w:r>
          </w:p>
        </w:tc>
        <w:tc>
          <w:tcPr>
            <w:tcW w:w="186" w:type="pct"/>
            <w:vAlign w:val="center"/>
          </w:tcPr>
          <w:p w14:paraId="179AFB67">
            <w:pPr>
              <w:jc w:val="center"/>
              <w:rPr>
                <w:rFonts w:hint="eastAsia" w:eastAsia="宋体"/>
                <w:color w:val="000000" w:themeColor="text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236" w:type="pct"/>
            <w:vAlign w:val="center"/>
          </w:tcPr>
          <w:p w14:paraId="5F3AAB6D">
            <w:pPr>
              <w:widowControl/>
              <w:spacing w:line="240" w:lineRule="exact"/>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80</w:t>
            </w:r>
          </w:p>
        </w:tc>
        <w:tc>
          <w:tcPr>
            <w:tcW w:w="323" w:type="pct"/>
            <w:vMerge w:val="continue"/>
            <w:vAlign w:val="center"/>
          </w:tcPr>
          <w:p w14:paraId="1426BAF7">
            <w:pPr>
              <w:snapToGrid w:val="0"/>
              <w:spacing w:line="240" w:lineRule="exact"/>
              <w:jc w:val="center"/>
              <w:rPr>
                <w:color w:val="000000" w:themeColor="text1"/>
                <w:szCs w:val="21"/>
                <w:highlight w:val="none"/>
                <w14:textFill>
                  <w14:solidFill>
                    <w14:schemeClr w14:val="tx1"/>
                  </w14:solidFill>
                </w14:textFill>
              </w:rPr>
            </w:pPr>
          </w:p>
        </w:tc>
        <w:tc>
          <w:tcPr>
            <w:tcW w:w="368" w:type="pct"/>
            <w:vAlign w:val="center"/>
          </w:tcPr>
          <w:p w14:paraId="54C8B524">
            <w:pPr>
              <w:adjustRightInd w:val="0"/>
              <w:snapToGrid w:val="0"/>
              <w:spacing w:line="24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-22.86</w:t>
            </w:r>
          </w:p>
        </w:tc>
        <w:tc>
          <w:tcPr>
            <w:tcW w:w="362" w:type="pct"/>
            <w:vAlign w:val="center"/>
          </w:tcPr>
          <w:p w14:paraId="35C2977E">
            <w:pPr>
              <w:adjustRightInd w:val="0"/>
              <w:snapToGrid w:val="0"/>
              <w:spacing w:line="24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-25.29</w:t>
            </w:r>
          </w:p>
        </w:tc>
        <w:tc>
          <w:tcPr>
            <w:tcW w:w="138" w:type="pct"/>
            <w:vAlign w:val="center"/>
          </w:tcPr>
          <w:p w14:paraId="7ABE7AF6">
            <w:pPr>
              <w:adjustRightInd w:val="0"/>
              <w:snapToGrid w:val="0"/>
              <w:spacing w:line="24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340" w:type="pct"/>
            <w:vAlign w:val="center"/>
          </w:tcPr>
          <w:p w14:paraId="20EA0928">
            <w:pPr>
              <w:adjustRightInd w:val="0"/>
              <w:snapToGrid w:val="0"/>
              <w:spacing w:line="24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4.09</w:t>
            </w:r>
          </w:p>
        </w:tc>
        <w:tc>
          <w:tcPr>
            <w:tcW w:w="267" w:type="pct"/>
            <w:vAlign w:val="center"/>
          </w:tcPr>
          <w:p w14:paraId="7DD5662C">
            <w:pPr>
              <w:adjustRightInd w:val="0"/>
              <w:snapToGrid w:val="0"/>
              <w:spacing w:line="24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71.92</w:t>
            </w:r>
          </w:p>
        </w:tc>
        <w:tc>
          <w:tcPr>
            <w:tcW w:w="297" w:type="pct"/>
            <w:vMerge w:val="continue"/>
            <w:vAlign w:val="center"/>
          </w:tcPr>
          <w:p w14:paraId="25B9B0CA">
            <w:pPr>
              <w:adjustRightInd w:val="0"/>
              <w:snapToGrid w:val="0"/>
              <w:spacing w:line="240" w:lineRule="exact"/>
              <w:jc w:val="center"/>
              <w:rPr>
                <w:color w:val="000000" w:themeColor="text1"/>
                <w:kern w:val="0"/>
                <w:szCs w:val="21"/>
                <w:highlight w:val="none"/>
                <w:lang w:bidi="ar"/>
                <w14:textFill>
                  <w14:solidFill>
                    <w14:schemeClr w14:val="tx1"/>
                  </w14:solidFill>
                </w14:textFill>
              </w:rPr>
            </w:pPr>
          </w:p>
        </w:tc>
        <w:tc>
          <w:tcPr>
            <w:tcW w:w="279" w:type="pct"/>
            <w:vAlign w:val="center"/>
          </w:tcPr>
          <w:p w14:paraId="59E8E21B">
            <w:pPr>
              <w:adjustRightInd w:val="0"/>
              <w:snapToGrid w:val="0"/>
              <w:spacing w:line="24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w:t>
            </w:r>
          </w:p>
        </w:tc>
        <w:tc>
          <w:tcPr>
            <w:tcW w:w="298" w:type="pct"/>
            <w:vAlign w:val="center"/>
          </w:tcPr>
          <w:p w14:paraId="6C4DE3EE">
            <w:pPr>
              <w:widowControl/>
              <w:jc w:val="center"/>
              <w:textAlignment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45.92</w:t>
            </w:r>
          </w:p>
        </w:tc>
        <w:tc>
          <w:tcPr>
            <w:tcW w:w="309" w:type="pct"/>
            <w:vAlign w:val="center"/>
          </w:tcPr>
          <w:p w14:paraId="3E9E4732">
            <w:pPr>
              <w:adjustRightInd w:val="0"/>
              <w:snapToGrid w:val="0"/>
              <w:spacing w:line="24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r>
    </w:tbl>
    <w:p w14:paraId="5D1FD206">
      <w:pPr>
        <w:snapToGrid w:val="0"/>
        <w:spacing w:line="240" w:lineRule="exact"/>
        <w:jc w:val="left"/>
        <w:rPr>
          <w:b/>
          <w:bCs/>
          <w:color w:val="000000" w:themeColor="text1"/>
          <w:szCs w:val="21"/>
          <w:highlight w:val="none"/>
          <w14:textFill>
            <w14:solidFill>
              <w14:schemeClr w14:val="tx1"/>
            </w14:solidFill>
          </w14:textFill>
        </w:rPr>
        <w:sectPr>
          <w:pgSz w:w="16840" w:h="11907" w:orient="landscape"/>
          <w:pgMar w:top="1531" w:right="1701" w:bottom="1531" w:left="2127" w:header="851" w:footer="851" w:gutter="0"/>
          <w:pgBorders>
            <w:top w:val="none" w:sz="0" w:space="0"/>
            <w:left w:val="none" w:sz="0" w:space="0"/>
            <w:bottom w:val="none" w:sz="0" w:space="0"/>
            <w:right w:val="none" w:sz="0" w:space="0"/>
          </w:pgBorders>
          <w:pgNumType w:fmt="numberInDash"/>
          <w:cols w:space="720" w:num="1"/>
          <w:docGrid w:linePitch="312" w:charSpace="0"/>
        </w:sectPr>
      </w:pPr>
      <w:r>
        <w:rPr>
          <w:b/>
          <w:bCs/>
          <w:color w:val="000000" w:themeColor="text1"/>
          <w:szCs w:val="21"/>
          <w:highlight w:val="none"/>
          <w14:textFill>
            <w14:solidFill>
              <w14:schemeClr w14:val="tx1"/>
            </w14:solidFill>
          </w14:textFill>
        </w:rPr>
        <w:t>注：选取D</w:t>
      </w:r>
      <w:r>
        <w:rPr>
          <w:rFonts w:hint="eastAsia"/>
          <w:b/>
          <w:bCs/>
          <w:color w:val="000000" w:themeColor="text1"/>
          <w:szCs w:val="21"/>
          <w:highlight w:val="none"/>
          <w:lang w:val="en-US" w:eastAsia="zh-CN"/>
          <w14:textFill>
            <w14:solidFill>
              <w14:schemeClr w14:val="tx1"/>
            </w14:solidFill>
          </w14:textFill>
        </w:rPr>
        <w:t>A</w:t>
      </w:r>
      <w:r>
        <w:rPr>
          <w:b/>
          <w:bCs/>
          <w:color w:val="000000" w:themeColor="text1"/>
          <w:szCs w:val="21"/>
          <w:highlight w:val="none"/>
          <w14:textFill>
            <w14:solidFill>
              <w14:schemeClr w14:val="tx1"/>
            </w14:solidFill>
          </w14:textFill>
        </w:rPr>
        <w:t>001中心位置为（0，0，0）点。</w:t>
      </w:r>
    </w:p>
    <w:tbl>
      <w:tblPr>
        <w:tblStyle w:val="38"/>
        <w:tblW w:w="501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70"/>
        <w:gridCol w:w="8738"/>
      </w:tblGrid>
      <w:tr w14:paraId="43EB38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15" w:hRule="atLeast"/>
          <w:jc w:val="center"/>
        </w:trPr>
        <w:tc>
          <w:tcPr>
            <w:tcW w:w="150" w:type="pct"/>
            <w:tcMar>
              <w:left w:w="28" w:type="dxa"/>
              <w:right w:w="28" w:type="dxa"/>
            </w:tcMar>
            <w:vAlign w:val="center"/>
          </w:tcPr>
          <w:p w14:paraId="20137618">
            <w:pPr>
              <w:rPr>
                <w:color w:val="000000" w:themeColor="text1"/>
                <w:highlight w:val="none"/>
                <w14:textFill>
                  <w14:solidFill>
                    <w14:schemeClr w14:val="tx1"/>
                  </w14:solidFill>
                </w14:textFill>
              </w:rPr>
            </w:pPr>
          </w:p>
        </w:tc>
        <w:tc>
          <w:tcPr>
            <w:tcW w:w="4849" w:type="pct"/>
          </w:tcPr>
          <w:p w14:paraId="556EDE9F">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3.2噪声环境影响分析</w:t>
            </w:r>
          </w:p>
          <w:p w14:paraId="20A76AAF">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声环境影响预测：根据《环境影响评价技术导则</w:t>
            </w: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lang w:val="zh-CN"/>
                <w14:textFill>
                  <w14:solidFill>
                    <w14:schemeClr w14:val="tx1"/>
                  </w14:solidFill>
                </w14:textFill>
              </w:rPr>
              <w:t>声环境》（HJ2.4-2021）的规定选取预测模式；应用过程中将根据具体情况做必要简化，计算过程如下：</w:t>
            </w:r>
          </w:p>
          <w:p w14:paraId="4690CA1D">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若声源所在室内声场为近似扩散声场，则室外的倍频带声压级可按式（B.1）近似求出：</w:t>
            </w:r>
          </w:p>
          <w:p w14:paraId="3D2D91F1">
            <w:pPr>
              <w:autoSpaceDE w:val="0"/>
              <w:autoSpaceDN w:val="0"/>
              <w:adjustRightInd w:val="0"/>
              <w:snapToGrid w:val="0"/>
              <w:spacing w:line="440" w:lineRule="exact"/>
              <w:jc w:val="center"/>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L</w:t>
            </w:r>
            <w:r>
              <w:rPr>
                <w:color w:val="000000" w:themeColor="text1"/>
                <w:sz w:val="24"/>
                <w:highlight w:val="none"/>
                <w:vertAlign w:val="subscript"/>
                <w:lang w:val="zh-CN"/>
                <w14:textFill>
                  <w14:solidFill>
                    <w14:schemeClr w14:val="tx1"/>
                  </w14:solidFill>
                </w14:textFill>
              </w:rPr>
              <w:t>p2</w:t>
            </w:r>
            <w:r>
              <w:rPr>
                <w:color w:val="000000" w:themeColor="text1"/>
                <w:sz w:val="24"/>
                <w:highlight w:val="none"/>
                <w14:textFill>
                  <w14:solidFill>
                    <w14:schemeClr w14:val="tx1"/>
                  </w14:solidFill>
                </w14:textFill>
              </w:rPr>
              <w:t>=</w:t>
            </w:r>
            <w:r>
              <w:rPr>
                <w:color w:val="000000" w:themeColor="text1"/>
                <w:sz w:val="24"/>
                <w:highlight w:val="none"/>
                <w:lang w:val="zh-CN"/>
                <w14:textFill>
                  <w14:solidFill>
                    <w14:schemeClr w14:val="tx1"/>
                  </w14:solidFill>
                </w14:textFill>
              </w:rPr>
              <w:t>L</w:t>
            </w:r>
            <w:r>
              <w:rPr>
                <w:color w:val="000000" w:themeColor="text1"/>
                <w:sz w:val="24"/>
                <w:highlight w:val="none"/>
                <w:vertAlign w:val="subscript"/>
                <w:lang w:val="zh-CN"/>
                <w14:textFill>
                  <w14:solidFill>
                    <w14:schemeClr w14:val="tx1"/>
                  </w14:solidFill>
                </w14:textFill>
              </w:rPr>
              <w:t>p1</w:t>
            </w:r>
            <w:r>
              <w:rPr>
                <w:color w:val="000000" w:themeColor="text1"/>
                <w:kern w:val="44"/>
                <w:sz w:val="24"/>
                <w:highlight w:val="none"/>
                <w:lang w:val="zh-CN"/>
                <w14:textFill>
                  <w14:solidFill>
                    <w14:schemeClr w14:val="tx1"/>
                  </w14:solidFill>
                </w14:textFill>
              </w:rPr>
              <w:t>－（</w:t>
            </w:r>
            <w:r>
              <w:rPr>
                <w:color w:val="000000" w:themeColor="text1"/>
                <w:kern w:val="44"/>
                <w:sz w:val="24"/>
                <w:highlight w:val="none"/>
                <w14:textFill>
                  <w14:solidFill>
                    <w14:schemeClr w14:val="tx1"/>
                  </w14:solidFill>
                </w14:textFill>
              </w:rPr>
              <w:t>TL+6</w:t>
            </w:r>
            <w:r>
              <w:rPr>
                <w:color w:val="000000" w:themeColor="text1"/>
                <w:kern w:val="44"/>
                <w:sz w:val="24"/>
                <w:highlight w:val="none"/>
                <w:lang w:val="zh-CN"/>
                <w14:textFill>
                  <w14:solidFill>
                    <w14:schemeClr w14:val="tx1"/>
                  </w14:solidFill>
                </w14:textFill>
              </w:rPr>
              <w:t>）</w:t>
            </w:r>
            <w:r>
              <w:rPr>
                <w:color w:val="000000" w:themeColor="text1"/>
                <w:sz w:val="24"/>
                <w:highlight w:val="none"/>
                <w:lang w:val="zh-CN"/>
                <w14:textFill>
                  <w14:solidFill>
                    <w14:schemeClr w14:val="tx1"/>
                  </w14:solidFill>
                </w14:textFill>
              </w:rPr>
              <w:t>（B.1）</w:t>
            </w:r>
          </w:p>
          <w:p w14:paraId="0BE41C78">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式中：L</w:t>
            </w:r>
            <w:r>
              <w:rPr>
                <w:color w:val="000000" w:themeColor="text1"/>
                <w:sz w:val="24"/>
                <w:highlight w:val="none"/>
                <w:vertAlign w:val="subscript"/>
                <w:lang w:val="zh-CN"/>
                <w14:textFill>
                  <w14:solidFill>
                    <w14:schemeClr w14:val="tx1"/>
                  </w14:solidFill>
                </w14:textFill>
              </w:rPr>
              <w:t>p1</w:t>
            </w:r>
            <w:r>
              <w:rPr>
                <w:color w:val="000000" w:themeColor="text1"/>
                <w:sz w:val="24"/>
                <w:highlight w:val="none"/>
                <w:lang w:val="zh-CN"/>
                <w14:textFill>
                  <w14:solidFill>
                    <w14:schemeClr w14:val="tx1"/>
                  </w14:solidFill>
                </w14:textFill>
              </w:rPr>
              <w:t>-靠近开口处（或窗户）室内某倍频带的声压级或A声级，dB；</w:t>
            </w:r>
          </w:p>
          <w:p w14:paraId="43ABD6C1">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L</w:t>
            </w:r>
            <w:r>
              <w:rPr>
                <w:color w:val="000000" w:themeColor="text1"/>
                <w:sz w:val="24"/>
                <w:highlight w:val="none"/>
                <w:vertAlign w:val="subscript"/>
                <w:lang w:val="zh-CN"/>
                <w14:textFill>
                  <w14:solidFill>
                    <w14:schemeClr w14:val="tx1"/>
                  </w14:solidFill>
                </w14:textFill>
              </w:rPr>
              <w:t>p2</w:t>
            </w:r>
            <w:r>
              <w:rPr>
                <w:color w:val="000000" w:themeColor="text1"/>
                <w:sz w:val="24"/>
                <w:highlight w:val="none"/>
                <w:lang w:val="zh-CN"/>
                <w14:textFill>
                  <w14:solidFill>
                    <w14:schemeClr w14:val="tx1"/>
                  </w14:solidFill>
                </w14:textFill>
              </w:rPr>
              <w:t>-靠近开口处（或窗户）室外某倍频带的声压级或A声级，dB；</w:t>
            </w:r>
          </w:p>
          <w:p w14:paraId="05209450">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TL-隔墙（或窗户）倍频带或A声级的隔声量，dB。</w:t>
            </w:r>
          </w:p>
          <w:p w14:paraId="47F9AB25">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也可按式（B.2）计算某一室内声源靠近围护结构处产生的倍频带声压级或A声级：</w:t>
            </w:r>
          </w:p>
          <w:p w14:paraId="6B03FD73">
            <w:pPr>
              <w:autoSpaceDE w:val="0"/>
              <w:autoSpaceDN w:val="0"/>
              <w:adjustRightInd w:val="0"/>
              <w:snapToGrid w:val="0"/>
              <w:jc w:val="center"/>
              <w:rPr>
                <w:color w:val="000000" w:themeColor="text1"/>
                <w:sz w:val="24"/>
                <w:highlight w:val="none"/>
                <w14:textFill>
                  <w14:solidFill>
                    <w14:schemeClr w14:val="tx1"/>
                  </w14:solidFill>
                </w14:textFill>
              </w:rPr>
            </w:pPr>
            <w:r>
              <w:rPr>
                <w:color w:val="000000" w:themeColor="text1"/>
                <w:position w:val="-28"/>
                <w:sz w:val="24"/>
                <w:highlight w:val="none"/>
                <w:lang w:val="zh-CN"/>
                <w14:textFill>
                  <w14:solidFill>
                    <w14:schemeClr w14:val="tx1"/>
                  </w14:solidFill>
                </w14:textFill>
              </w:rPr>
              <w:object>
                <v:shape id="_x0000_i1029" o:spt="75" type="#_x0000_t75" style="height:33.8pt;width:132.75pt;" o:ole="t" filled="f" o:preferrelative="t" stroked="f" coordsize="21600,21600">
                  <v:path/>
                  <v:fill on="f" focussize="0,0"/>
                  <v:stroke on="f" joinstyle="miter"/>
                  <v:imagedata r:id="rId30" o:title=""/>
                  <o:lock v:ext="edit" aspectratio="t"/>
                  <w10:wrap type="none"/>
                  <w10:anchorlock/>
                </v:shape>
                <o:OLEObject Type="Embed" ProgID="Equation.KSEE3" ShapeID="_x0000_i1029" DrawAspect="Content" ObjectID="_1468075729" r:id="rId29">
                  <o:LockedField>false</o:LockedField>
                </o:OLEObject>
              </w:object>
            </w:r>
            <w:r>
              <w:rPr>
                <w:color w:val="000000" w:themeColor="text1"/>
                <w:sz w:val="24"/>
                <w:highlight w:val="none"/>
                <w:lang w:val="zh-CN"/>
                <w14:textFill>
                  <w14:solidFill>
                    <w14:schemeClr w14:val="tx1"/>
                  </w14:solidFill>
                </w14:textFill>
              </w:rPr>
              <w:t>（B.2）</w:t>
            </w:r>
          </w:p>
          <w:p w14:paraId="74C2EDAE">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式中：L</w:t>
            </w:r>
            <w:r>
              <w:rPr>
                <w:color w:val="000000" w:themeColor="text1"/>
                <w:sz w:val="24"/>
                <w:highlight w:val="none"/>
                <w:vertAlign w:val="subscript"/>
                <w:lang w:val="zh-CN"/>
                <w14:textFill>
                  <w14:solidFill>
                    <w14:schemeClr w14:val="tx1"/>
                  </w14:solidFill>
                </w14:textFill>
              </w:rPr>
              <w:t>p1</w:t>
            </w:r>
            <w:r>
              <w:rPr>
                <w:color w:val="000000" w:themeColor="text1"/>
                <w:sz w:val="24"/>
                <w:highlight w:val="none"/>
                <w:lang w:val="zh-CN"/>
                <w14:textFill>
                  <w14:solidFill>
                    <w14:schemeClr w14:val="tx1"/>
                  </w14:solidFill>
                </w14:textFill>
              </w:rPr>
              <w:t>-靠近开口处（或窗户）室内某倍频带的声压级或A声级，dB；</w:t>
            </w:r>
          </w:p>
          <w:p w14:paraId="08D7E5BD">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Lw-点声源声功率级（A计权或倍频带），dB；</w:t>
            </w:r>
          </w:p>
          <w:p w14:paraId="6EE21B8C">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Q-指向性因数；通常对无指向性声源，当声源放在房间中心时，Q=1；当放在一面墙的中心时，Q=2；当放在两面墙夹角处时，Q=4；当放在三面墙夹角处时，Q=8；</w:t>
            </w:r>
          </w:p>
          <w:p w14:paraId="2C66FD77">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R-房间常数；R=Sα/（1-α），S为房间内表面面积，m</w:t>
            </w:r>
            <w:r>
              <w:rPr>
                <w:color w:val="000000" w:themeColor="text1"/>
                <w:sz w:val="24"/>
                <w:highlight w:val="none"/>
                <w:vertAlign w:val="superscript"/>
                <w:lang w:val="zh-CN"/>
                <w14:textFill>
                  <w14:solidFill>
                    <w14:schemeClr w14:val="tx1"/>
                  </w14:solidFill>
                </w14:textFill>
              </w:rPr>
              <w:t>2</w:t>
            </w:r>
            <w:r>
              <w:rPr>
                <w:color w:val="000000" w:themeColor="text1"/>
                <w:sz w:val="24"/>
                <w:highlight w:val="none"/>
                <w:lang w:val="zh-CN"/>
                <w14:textFill>
                  <w14:solidFill>
                    <w14:schemeClr w14:val="tx1"/>
                  </w14:solidFill>
                </w14:textFill>
              </w:rPr>
              <w:t>；α为平均吸声系数；</w:t>
            </w:r>
          </w:p>
          <w:p w14:paraId="25EDA334">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r-声源到靠近围护结构某点处的距离，m。</w:t>
            </w:r>
          </w:p>
          <w:p w14:paraId="1DD4A5F8">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然后按式（B.3）计算出所有室内声源在围护结构处产生的i倍频带叠加声压级：</w:t>
            </w:r>
          </w:p>
          <w:p w14:paraId="2CEB63EB">
            <w:pPr>
              <w:autoSpaceDE w:val="0"/>
              <w:autoSpaceDN w:val="0"/>
              <w:adjustRightInd w:val="0"/>
              <w:snapToGrid w:val="0"/>
              <w:spacing w:line="440" w:lineRule="exact"/>
              <w:jc w:val="center"/>
              <w:rPr>
                <w:color w:val="000000" w:themeColor="text1"/>
                <w:sz w:val="24"/>
                <w:highlight w:val="none"/>
                <w14:textFill>
                  <w14:solidFill>
                    <w14:schemeClr w14:val="tx1"/>
                  </w14:solidFill>
                </w14:textFill>
              </w:rPr>
            </w:pPr>
            <w:r>
              <w:rPr>
                <w:color w:val="000000" w:themeColor="text1"/>
                <w:position w:val="-32"/>
                <w:sz w:val="24"/>
                <w:highlight w:val="none"/>
                <w:lang w:val="zh-CN"/>
                <w14:textFill>
                  <w14:solidFill>
                    <w14:schemeClr w14:val="tx1"/>
                  </w14:solidFill>
                </w14:textFill>
              </w:rPr>
              <w:object>
                <v:shape id="_x0000_i1030" o:spt="75" type="#_x0000_t75" style="height:38.2pt;width:130.85pt;" o:ole="t" filled="f" o:preferrelative="t" stroked="f" coordsize="21600,21600">
                  <v:path/>
                  <v:fill on="f" focussize="0,0"/>
                  <v:stroke on="f" joinstyle="miter"/>
                  <v:imagedata r:id="rId32" o:title=""/>
                  <o:lock v:ext="edit" aspectratio="t"/>
                  <w10:wrap type="none"/>
                  <w10:anchorlock/>
                </v:shape>
                <o:OLEObject Type="Embed" ProgID="Equation.KSEE3" ShapeID="_x0000_i1030" DrawAspect="Content" ObjectID="_1468075730" r:id="rId31">
                  <o:LockedField>false</o:LockedField>
                </o:OLEObject>
              </w:object>
            </w:r>
            <w:r>
              <w:rPr>
                <w:color w:val="000000" w:themeColor="text1"/>
                <w:sz w:val="24"/>
                <w:highlight w:val="none"/>
                <w:lang w:val="zh-CN"/>
                <w14:textFill>
                  <w14:solidFill>
                    <w14:schemeClr w14:val="tx1"/>
                  </w14:solidFill>
                </w14:textFill>
              </w:rPr>
              <w:t>（B.</w:t>
            </w:r>
            <w:r>
              <w:rPr>
                <w:color w:val="000000" w:themeColor="text1"/>
                <w:sz w:val="24"/>
                <w:highlight w:val="none"/>
                <w14:textFill>
                  <w14:solidFill>
                    <w14:schemeClr w14:val="tx1"/>
                  </w14:solidFill>
                </w14:textFill>
              </w:rPr>
              <w:t>3</w:t>
            </w:r>
            <w:r>
              <w:rPr>
                <w:color w:val="000000" w:themeColor="text1"/>
                <w:sz w:val="24"/>
                <w:highlight w:val="none"/>
                <w:lang w:val="zh-CN"/>
                <w14:textFill>
                  <w14:solidFill>
                    <w14:schemeClr w14:val="tx1"/>
                  </w14:solidFill>
                </w14:textFill>
              </w:rPr>
              <w:t>）</w:t>
            </w:r>
          </w:p>
          <w:p w14:paraId="5C9416CA">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式中：L</w:t>
            </w:r>
            <w:r>
              <w:rPr>
                <w:color w:val="000000" w:themeColor="text1"/>
                <w:sz w:val="24"/>
                <w:highlight w:val="none"/>
                <w:vertAlign w:val="subscript"/>
                <w:lang w:val="zh-CN"/>
                <w14:textFill>
                  <w14:solidFill>
                    <w14:schemeClr w14:val="tx1"/>
                  </w14:solidFill>
                </w14:textFill>
              </w:rPr>
              <w:t>P1i</w:t>
            </w:r>
            <w:r>
              <w:rPr>
                <w:color w:val="000000" w:themeColor="text1"/>
                <w:sz w:val="24"/>
                <w:highlight w:val="none"/>
                <w:lang w:val="zh-CN"/>
                <w14:textFill>
                  <w14:solidFill>
                    <w14:schemeClr w14:val="tx1"/>
                  </w14:solidFill>
                </w14:textFill>
              </w:rPr>
              <w:t>（T）-靠近围护结构处室内N个声源i倍频带的叠加声压级，dB；</w:t>
            </w:r>
          </w:p>
          <w:p w14:paraId="3C977004">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L</w:t>
            </w:r>
            <w:r>
              <w:rPr>
                <w:color w:val="000000" w:themeColor="text1"/>
                <w:sz w:val="24"/>
                <w:highlight w:val="none"/>
                <w:vertAlign w:val="subscript"/>
                <w:lang w:val="zh-CN"/>
                <w14:textFill>
                  <w14:solidFill>
                    <w14:schemeClr w14:val="tx1"/>
                  </w14:solidFill>
                </w14:textFill>
              </w:rPr>
              <w:t>P1ij</w:t>
            </w:r>
            <w:r>
              <w:rPr>
                <w:color w:val="000000" w:themeColor="text1"/>
                <w:sz w:val="24"/>
                <w:highlight w:val="none"/>
                <w:lang w:val="zh-CN"/>
                <w14:textFill>
                  <w14:solidFill>
                    <w14:schemeClr w14:val="tx1"/>
                  </w14:solidFill>
                </w14:textFill>
              </w:rPr>
              <w:t>-室内j声源i倍频带的声压级，dB；</w:t>
            </w:r>
          </w:p>
          <w:p w14:paraId="594EB62F">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N-室内声源总数。</w:t>
            </w:r>
          </w:p>
          <w:p w14:paraId="68AA884C">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在室内近似为扩散声场时，按式（B.4）计算出靠近室外围护结构处的声压级：</w:t>
            </w:r>
          </w:p>
          <w:p w14:paraId="47DA2CC1">
            <w:pPr>
              <w:autoSpaceDE w:val="0"/>
              <w:autoSpaceDN w:val="0"/>
              <w:adjustRightInd w:val="0"/>
              <w:snapToGrid w:val="0"/>
              <w:spacing w:line="440" w:lineRule="exact"/>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L</w:t>
            </w:r>
            <w:r>
              <w:rPr>
                <w:color w:val="000000" w:themeColor="text1"/>
                <w:sz w:val="24"/>
                <w:highlight w:val="none"/>
                <w:vertAlign w:val="subscript"/>
                <w14:textFill>
                  <w14:solidFill>
                    <w14:schemeClr w14:val="tx1"/>
                  </w14:solidFill>
                </w14:textFill>
              </w:rPr>
              <w:t>P2i</w:t>
            </w:r>
            <w:r>
              <w:rPr>
                <w:color w:val="000000" w:themeColor="text1"/>
                <w:sz w:val="24"/>
                <w:highlight w:val="none"/>
                <w14:textFill>
                  <w14:solidFill>
                    <w14:schemeClr w14:val="tx1"/>
                  </w14:solidFill>
                </w14:textFill>
              </w:rPr>
              <w:t>（T）=L</w:t>
            </w:r>
            <w:r>
              <w:rPr>
                <w:color w:val="000000" w:themeColor="text1"/>
                <w:sz w:val="24"/>
                <w:highlight w:val="none"/>
                <w:vertAlign w:val="subscript"/>
                <w14:textFill>
                  <w14:solidFill>
                    <w14:schemeClr w14:val="tx1"/>
                  </w14:solidFill>
                </w14:textFill>
              </w:rPr>
              <w:t>P1i</w:t>
            </w:r>
            <w:r>
              <w:rPr>
                <w:color w:val="000000" w:themeColor="text1"/>
                <w:sz w:val="24"/>
                <w:highlight w:val="none"/>
                <w14:textFill>
                  <w14:solidFill>
                    <w14:schemeClr w14:val="tx1"/>
                  </w14:solidFill>
                </w14:textFill>
              </w:rPr>
              <w:t>（T）-（TL</w:t>
            </w:r>
            <w:r>
              <w:rPr>
                <w:color w:val="000000" w:themeColor="text1"/>
                <w:sz w:val="24"/>
                <w:highlight w:val="none"/>
                <w:vertAlign w:val="subscript"/>
                <w14:textFill>
                  <w14:solidFill>
                    <w14:schemeClr w14:val="tx1"/>
                  </w14:solidFill>
                </w14:textFill>
              </w:rPr>
              <w:t>i</w:t>
            </w:r>
            <w:r>
              <w:rPr>
                <w:color w:val="000000" w:themeColor="text1"/>
                <w:sz w:val="24"/>
                <w:highlight w:val="none"/>
                <w14:textFill>
                  <w14:solidFill>
                    <w14:schemeClr w14:val="tx1"/>
                  </w14:solidFill>
                </w14:textFill>
              </w:rPr>
              <w:t>+6）（B.4）</w:t>
            </w:r>
          </w:p>
          <w:p w14:paraId="5195EEA6">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式中：L</w:t>
            </w:r>
            <w:r>
              <w:rPr>
                <w:color w:val="000000" w:themeColor="text1"/>
                <w:sz w:val="24"/>
                <w:highlight w:val="none"/>
                <w:vertAlign w:val="subscript"/>
                <w:lang w:val="zh-CN"/>
                <w14:textFill>
                  <w14:solidFill>
                    <w14:schemeClr w14:val="tx1"/>
                  </w14:solidFill>
                </w14:textFill>
              </w:rPr>
              <w:t>P2i</w:t>
            </w:r>
            <w:r>
              <w:rPr>
                <w:color w:val="000000" w:themeColor="text1"/>
                <w:sz w:val="24"/>
                <w:highlight w:val="none"/>
                <w:lang w:val="zh-CN"/>
                <w14:textFill>
                  <w14:solidFill>
                    <w14:schemeClr w14:val="tx1"/>
                  </w14:solidFill>
                </w14:textFill>
              </w:rPr>
              <w:t>（T）-靠近围护结构处室外N个声源i倍频带的叠加声压级，dB；</w:t>
            </w:r>
          </w:p>
          <w:p w14:paraId="5B82FE02">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L</w:t>
            </w:r>
            <w:r>
              <w:rPr>
                <w:color w:val="000000" w:themeColor="text1"/>
                <w:sz w:val="24"/>
                <w:highlight w:val="none"/>
                <w:vertAlign w:val="subscript"/>
                <w:lang w:val="zh-CN"/>
                <w14:textFill>
                  <w14:solidFill>
                    <w14:schemeClr w14:val="tx1"/>
                  </w14:solidFill>
                </w14:textFill>
              </w:rPr>
              <w:t>P1i</w:t>
            </w:r>
            <w:r>
              <w:rPr>
                <w:color w:val="000000" w:themeColor="text1"/>
                <w:sz w:val="24"/>
                <w:highlight w:val="none"/>
                <w:lang w:val="zh-CN"/>
                <w14:textFill>
                  <w14:solidFill>
                    <w14:schemeClr w14:val="tx1"/>
                  </w14:solidFill>
                </w14:textFill>
              </w:rPr>
              <w:t>（T）-靠近围护结构处室内N个声源i倍频带的叠加声压级，dB；</w:t>
            </w:r>
          </w:p>
          <w:p w14:paraId="18E864E2">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TL</w:t>
            </w:r>
            <w:r>
              <w:rPr>
                <w:color w:val="000000" w:themeColor="text1"/>
                <w:sz w:val="24"/>
                <w:highlight w:val="none"/>
                <w:vertAlign w:val="subscript"/>
                <w:lang w:val="zh-CN"/>
                <w14:textFill>
                  <w14:solidFill>
                    <w14:schemeClr w14:val="tx1"/>
                  </w14:solidFill>
                </w14:textFill>
              </w:rPr>
              <w:t>i</w:t>
            </w:r>
            <w:r>
              <w:rPr>
                <w:color w:val="000000" w:themeColor="text1"/>
                <w:sz w:val="24"/>
                <w:highlight w:val="none"/>
                <w:lang w:val="zh-CN"/>
                <w14:textFill>
                  <w14:solidFill>
                    <w14:schemeClr w14:val="tx1"/>
                  </w14:solidFill>
                </w14:textFill>
              </w:rPr>
              <w:t>-围护结构i倍频带的隔声量，dB。</w:t>
            </w:r>
          </w:p>
          <w:p w14:paraId="40C7F9EA">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然后按式（B.5）将室外声源的声压级和透过面积换算成等效的室外声源，计算出中心位置位于透声面积（S）处的等效声源的倍频带声功率级。</w:t>
            </w:r>
          </w:p>
          <w:p w14:paraId="233A5859">
            <w:pPr>
              <w:autoSpaceDE w:val="0"/>
              <w:autoSpaceDN w:val="0"/>
              <w:adjustRightInd w:val="0"/>
              <w:snapToGrid w:val="0"/>
              <w:spacing w:line="440" w:lineRule="exact"/>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L</w:t>
            </w:r>
            <w:r>
              <w:rPr>
                <w:color w:val="000000" w:themeColor="text1"/>
                <w:sz w:val="24"/>
                <w:highlight w:val="none"/>
                <w:vertAlign w:val="subscript"/>
                <w14:textFill>
                  <w14:solidFill>
                    <w14:schemeClr w14:val="tx1"/>
                  </w14:solidFill>
                </w14:textFill>
              </w:rPr>
              <w:t>W</w:t>
            </w:r>
            <w:r>
              <w:rPr>
                <w:color w:val="000000" w:themeColor="text1"/>
                <w:sz w:val="24"/>
                <w:highlight w:val="none"/>
                <w14:textFill>
                  <w14:solidFill>
                    <w14:schemeClr w14:val="tx1"/>
                  </w14:solidFill>
                </w14:textFill>
              </w:rPr>
              <w:t>=L</w:t>
            </w:r>
            <w:r>
              <w:rPr>
                <w:color w:val="000000" w:themeColor="text1"/>
                <w:sz w:val="24"/>
                <w:highlight w:val="none"/>
                <w:vertAlign w:val="subscript"/>
                <w14:textFill>
                  <w14:solidFill>
                    <w14:schemeClr w14:val="tx1"/>
                  </w14:solidFill>
                </w14:textFill>
              </w:rPr>
              <w:t>P2</w:t>
            </w:r>
            <w:r>
              <w:rPr>
                <w:color w:val="000000" w:themeColor="text1"/>
                <w:sz w:val="24"/>
                <w:highlight w:val="none"/>
                <w14:textFill>
                  <w14:solidFill>
                    <w14:schemeClr w14:val="tx1"/>
                  </w14:solidFill>
                </w14:textFill>
              </w:rPr>
              <w:t>（T）+10lgS（B.4）</w:t>
            </w:r>
          </w:p>
          <w:p w14:paraId="6CF2DD41">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式中：LW-中心位置位于透声面积（S）处的等效声源的倍频带声功率级，dB；</w:t>
            </w:r>
          </w:p>
          <w:p w14:paraId="63483BC5">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L</w:t>
            </w:r>
            <w:r>
              <w:rPr>
                <w:color w:val="000000" w:themeColor="text1"/>
                <w:sz w:val="24"/>
                <w:highlight w:val="none"/>
                <w:vertAlign w:val="subscript"/>
                <w:lang w:val="zh-CN"/>
                <w14:textFill>
                  <w14:solidFill>
                    <w14:schemeClr w14:val="tx1"/>
                  </w14:solidFill>
                </w14:textFill>
              </w:rPr>
              <w:t>P2</w:t>
            </w:r>
            <w:r>
              <w:rPr>
                <w:color w:val="000000" w:themeColor="text1"/>
                <w:sz w:val="24"/>
                <w:highlight w:val="none"/>
                <w:lang w:val="zh-CN"/>
                <w14:textFill>
                  <w14:solidFill>
                    <w14:schemeClr w14:val="tx1"/>
                  </w14:solidFill>
                </w14:textFill>
              </w:rPr>
              <w:t>（T）-靠近围护结构处室外声源的声压级，dB；</w:t>
            </w:r>
          </w:p>
          <w:p w14:paraId="68E7CCB6">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S-透声面积，m</w:t>
            </w:r>
            <w:r>
              <w:rPr>
                <w:color w:val="000000" w:themeColor="text1"/>
                <w:sz w:val="24"/>
                <w:highlight w:val="none"/>
                <w:vertAlign w:val="superscript"/>
                <w:lang w:val="zh-CN"/>
                <w14:textFill>
                  <w14:solidFill>
                    <w14:schemeClr w14:val="tx1"/>
                  </w14:solidFill>
                </w14:textFill>
              </w:rPr>
              <w:t>2</w:t>
            </w:r>
            <w:r>
              <w:rPr>
                <w:color w:val="000000" w:themeColor="text1"/>
                <w:sz w:val="24"/>
                <w:highlight w:val="none"/>
                <w:lang w:val="zh-CN"/>
                <w14:textFill>
                  <w14:solidFill>
                    <w14:schemeClr w14:val="tx1"/>
                  </w14:solidFill>
                </w14:textFill>
              </w:rPr>
              <w:t>。</w:t>
            </w:r>
          </w:p>
          <w:p w14:paraId="77429790">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噪声在室外空间的传播，由于受到遮挡物的隔断，各种介质的吸收与反射，以及空气介质的吸收等物理作用而逐渐减弱。为了简化计算条件并能考虑到最不利因素，计算时只考虑噪声随距离的衰减。只考虑距离衰减时噪声源对厂界噪声贡献值。</w:t>
            </w:r>
          </w:p>
          <w:p w14:paraId="0B10FB46">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3.3噪声预测结果及评价</w:t>
            </w:r>
          </w:p>
          <w:p w14:paraId="01C6883E">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本项目为2</w:t>
            </w:r>
            <w:r>
              <w:rPr>
                <w:color w:val="000000" w:themeColor="text1"/>
                <w:sz w:val="24"/>
                <w:highlight w:val="none"/>
                <w:lang w:val="zh-CN"/>
                <w14:textFill>
                  <w14:solidFill>
                    <w14:schemeClr w14:val="tx1"/>
                  </w14:solidFill>
                </w14:textFill>
              </w:rPr>
              <w:t>班制，每班</w:t>
            </w:r>
            <w:r>
              <w:rPr>
                <w:color w:val="000000" w:themeColor="text1"/>
                <w:sz w:val="24"/>
                <w:highlight w:val="none"/>
                <w14:textFill>
                  <w14:solidFill>
                    <w14:schemeClr w14:val="tx1"/>
                  </w14:solidFill>
                </w14:textFill>
              </w:rPr>
              <w:t>8小时</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工作时间为（6:00-22:00），夜间不生产，</w:t>
            </w:r>
            <w:r>
              <w:rPr>
                <w:color w:val="000000" w:themeColor="text1"/>
                <w:sz w:val="24"/>
                <w:highlight w:val="none"/>
                <w:lang w:val="zh-CN"/>
                <w14:textFill>
                  <w14:solidFill>
                    <w14:schemeClr w14:val="tx1"/>
                  </w14:solidFill>
                </w14:textFill>
              </w:rPr>
              <w:t>经预测后厂界噪声</w:t>
            </w:r>
            <w:r>
              <w:rPr>
                <w:rFonts w:hint="eastAsia"/>
                <w:color w:val="000000" w:themeColor="text1"/>
                <w:sz w:val="24"/>
                <w:szCs w:val="22"/>
                <w:highlight w:val="none"/>
                <w:lang w:val="en-US" w:eastAsia="zh-CN"/>
                <w14:textFill>
                  <w14:solidFill>
                    <w14:schemeClr w14:val="tx1"/>
                  </w14:solidFill>
                </w14:textFill>
              </w:rPr>
              <w:t>预测</w:t>
            </w:r>
            <w:r>
              <w:rPr>
                <w:color w:val="000000" w:themeColor="text1"/>
                <w:sz w:val="24"/>
                <w:highlight w:val="none"/>
                <w:lang w:val="zh-CN"/>
                <w14:textFill>
                  <w14:solidFill>
                    <w14:schemeClr w14:val="tx1"/>
                  </w14:solidFill>
                </w14:textFill>
              </w:rPr>
              <w:t>值见</w:t>
            </w:r>
            <w:r>
              <w:rPr>
                <w:color w:val="000000" w:themeColor="text1"/>
                <w:sz w:val="24"/>
                <w:highlight w:val="none"/>
                <w14:textFill>
                  <w14:solidFill>
                    <w14:schemeClr w14:val="tx1"/>
                  </w14:solidFill>
                </w14:textFill>
              </w:rPr>
              <w:t>下表</w:t>
            </w:r>
            <w:r>
              <w:rPr>
                <w:color w:val="000000" w:themeColor="text1"/>
                <w:sz w:val="24"/>
                <w:highlight w:val="none"/>
                <w:lang w:val="zh-CN"/>
                <w14:textFill>
                  <w14:solidFill>
                    <w14:schemeClr w14:val="tx1"/>
                  </w14:solidFill>
                </w14:textFill>
              </w:rPr>
              <w:t>。</w:t>
            </w:r>
          </w:p>
          <w:p w14:paraId="16643A55">
            <w:pPr>
              <w:pStyle w:val="125"/>
              <w:numPr>
                <w:ilvl w:val="0"/>
                <w:numId w:val="0"/>
              </w:numPr>
              <w:spacing w:line="460" w:lineRule="exact"/>
              <w:rPr>
                <w:rFonts w:hint="default"/>
                <w:color w:val="000000" w:themeColor="text1"/>
                <w:sz w:val="24"/>
                <w:highlight w:val="none"/>
                <w:lang w:val="zh-CN"/>
                <w14:textFill>
                  <w14:solidFill>
                    <w14:schemeClr w14:val="tx1"/>
                  </w14:solidFill>
                </w14:textFill>
              </w:rPr>
            </w:pPr>
            <w:r>
              <w:rPr>
                <w:rFonts w:hint="default"/>
                <w:color w:val="000000" w:themeColor="text1"/>
                <w:sz w:val="24"/>
                <w:highlight w:val="none"/>
                <w:lang w:val="zh-CN"/>
                <w14:textFill>
                  <w14:solidFill>
                    <w14:schemeClr w14:val="tx1"/>
                  </w14:solidFill>
                </w14:textFill>
              </w:rPr>
              <w:t>表4-</w:t>
            </w:r>
            <w:r>
              <w:rPr>
                <w:color w:val="000000" w:themeColor="text1"/>
                <w:sz w:val="24"/>
                <w:highlight w:val="none"/>
                <w14:textFill>
                  <w14:solidFill>
                    <w14:schemeClr w14:val="tx1"/>
                  </w14:solidFill>
                </w14:textFill>
              </w:rPr>
              <w:t>2</w:t>
            </w:r>
            <w:r>
              <w:rPr>
                <w:rFonts w:hint="eastAsia"/>
                <w:color w:val="000000" w:themeColor="text1"/>
                <w:sz w:val="24"/>
                <w:highlight w:val="none"/>
                <w:lang w:val="en-US" w:eastAsia="zh-CN"/>
                <w14:textFill>
                  <w14:solidFill>
                    <w14:schemeClr w14:val="tx1"/>
                  </w14:solidFill>
                </w14:textFill>
              </w:rPr>
              <w:t xml:space="preserve">5  </w:t>
            </w:r>
            <w:r>
              <w:rPr>
                <w:rFonts w:hint="default"/>
                <w:color w:val="000000" w:themeColor="text1"/>
                <w:sz w:val="24"/>
                <w:highlight w:val="none"/>
                <w:lang w:val="zh-CN"/>
                <w14:textFill>
                  <w14:solidFill>
                    <w14:schemeClr w14:val="tx1"/>
                  </w14:solidFill>
                </w14:textFill>
              </w:rPr>
              <w:t>厂界噪声预测结果（单位：dB（A））</w:t>
            </w:r>
          </w:p>
          <w:tbl>
            <w:tblPr>
              <w:tblStyle w:val="38"/>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567"/>
              <w:gridCol w:w="656"/>
              <w:gridCol w:w="847"/>
              <w:gridCol w:w="904"/>
              <w:gridCol w:w="849"/>
              <w:gridCol w:w="689"/>
              <w:gridCol w:w="1872"/>
              <w:gridCol w:w="1135"/>
            </w:tblGrid>
            <w:tr w14:paraId="06B66FA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919" w:type="pct"/>
                  <w:tcBorders>
                    <w:tl2br w:val="nil"/>
                    <w:tr2bl w:val="nil"/>
                  </w:tcBorders>
                  <w:shd w:val="clear" w:color="auto" w:fill="auto"/>
                  <w:vAlign w:val="center"/>
                </w:tcPr>
                <w:p w14:paraId="18677205">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名称</w:t>
                  </w:r>
                </w:p>
              </w:tc>
              <w:tc>
                <w:tcPr>
                  <w:tcW w:w="385" w:type="pct"/>
                  <w:tcBorders>
                    <w:tl2br w:val="nil"/>
                    <w:tr2bl w:val="nil"/>
                  </w:tcBorders>
                  <w:shd w:val="clear" w:color="auto" w:fill="auto"/>
                  <w:vAlign w:val="center"/>
                </w:tcPr>
                <w:p w14:paraId="35F88C64">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时间</w:t>
                  </w:r>
                </w:p>
              </w:tc>
              <w:tc>
                <w:tcPr>
                  <w:tcW w:w="497" w:type="pct"/>
                  <w:tcBorders>
                    <w:tl2br w:val="nil"/>
                    <w:tr2bl w:val="nil"/>
                  </w:tcBorders>
                  <w:shd w:val="clear" w:color="auto" w:fill="auto"/>
                  <w:vAlign w:val="center"/>
                </w:tcPr>
                <w:p w14:paraId="34EF1C15">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X</w:t>
                  </w:r>
                  <w:r>
                    <w:rPr>
                      <w:rFonts w:hint="default" w:ascii="Times New Roman" w:hAnsi="Times New Roman" w:cs="Times New Roman"/>
                      <w:b/>
                      <w:bCs/>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m</w:t>
                  </w:r>
                  <w:r>
                    <w:rPr>
                      <w:rFonts w:hint="default" w:ascii="Times New Roman" w:hAnsi="Times New Roman" w:cs="Times New Roman"/>
                      <w:b/>
                      <w:bCs/>
                      <w:i w:val="0"/>
                      <w:iCs w:val="0"/>
                      <w:color w:val="000000" w:themeColor="text1"/>
                      <w:kern w:val="0"/>
                      <w:sz w:val="21"/>
                      <w:szCs w:val="21"/>
                      <w:highlight w:val="none"/>
                      <w:u w:val="none"/>
                      <w:lang w:val="en-US" w:eastAsia="zh-CN" w:bidi="ar"/>
                      <w14:textFill>
                        <w14:solidFill>
                          <w14:schemeClr w14:val="tx1"/>
                        </w14:solidFill>
                      </w14:textFill>
                    </w:rPr>
                    <w:t>）</w:t>
                  </w:r>
                </w:p>
              </w:tc>
              <w:tc>
                <w:tcPr>
                  <w:tcW w:w="530" w:type="pct"/>
                  <w:tcBorders>
                    <w:tl2br w:val="nil"/>
                    <w:tr2bl w:val="nil"/>
                  </w:tcBorders>
                  <w:shd w:val="clear" w:color="auto" w:fill="auto"/>
                  <w:vAlign w:val="center"/>
                </w:tcPr>
                <w:p w14:paraId="4C75ADBE">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Y</w:t>
                  </w:r>
                  <w:r>
                    <w:rPr>
                      <w:rFonts w:hint="default" w:ascii="Times New Roman" w:hAnsi="Times New Roman" w:cs="Times New Roman"/>
                      <w:b/>
                      <w:bCs/>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m</w:t>
                  </w:r>
                  <w:r>
                    <w:rPr>
                      <w:rFonts w:hint="default" w:ascii="Times New Roman" w:hAnsi="Times New Roman" w:cs="Times New Roman"/>
                      <w:b/>
                      <w:bCs/>
                      <w:i w:val="0"/>
                      <w:iCs w:val="0"/>
                      <w:color w:val="000000" w:themeColor="text1"/>
                      <w:kern w:val="0"/>
                      <w:sz w:val="21"/>
                      <w:szCs w:val="21"/>
                      <w:highlight w:val="none"/>
                      <w:u w:val="none"/>
                      <w:lang w:val="en-US" w:eastAsia="zh-CN" w:bidi="ar"/>
                      <w14:textFill>
                        <w14:solidFill>
                          <w14:schemeClr w14:val="tx1"/>
                        </w14:solidFill>
                      </w14:textFill>
                    </w:rPr>
                    <w:t>）</w:t>
                  </w:r>
                </w:p>
              </w:tc>
              <w:tc>
                <w:tcPr>
                  <w:tcW w:w="498" w:type="pct"/>
                  <w:tcBorders>
                    <w:tl2br w:val="nil"/>
                    <w:tr2bl w:val="nil"/>
                  </w:tcBorders>
                  <w:shd w:val="clear" w:color="auto" w:fill="auto"/>
                  <w:vAlign w:val="center"/>
                </w:tcPr>
                <w:p w14:paraId="227F6E1B">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离地高度</w:t>
                  </w:r>
                  <w:r>
                    <w:rPr>
                      <w:rFonts w:hint="default" w:ascii="Times New Roman" w:hAnsi="Times New Roman" w:cs="Times New Roman"/>
                      <w:b/>
                      <w:bCs/>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m</w:t>
                  </w:r>
                  <w:r>
                    <w:rPr>
                      <w:rFonts w:hint="default" w:ascii="Times New Roman" w:hAnsi="Times New Roman" w:cs="Times New Roman"/>
                      <w:b/>
                      <w:bCs/>
                      <w:i w:val="0"/>
                      <w:iCs w:val="0"/>
                      <w:color w:val="000000" w:themeColor="text1"/>
                      <w:kern w:val="0"/>
                      <w:sz w:val="21"/>
                      <w:szCs w:val="21"/>
                      <w:highlight w:val="none"/>
                      <w:u w:val="none"/>
                      <w:lang w:val="en-US" w:eastAsia="zh-CN" w:bidi="ar"/>
                      <w14:textFill>
                        <w14:solidFill>
                          <w14:schemeClr w14:val="tx1"/>
                        </w14:solidFill>
                      </w14:textFill>
                    </w:rPr>
                    <w:t>）</w:t>
                  </w:r>
                </w:p>
              </w:tc>
              <w:tc>
                <w:tcPr>
                  <w:tcW w:w="404" w:type="pct"/>
                  <w:tcBorders>
                    <w:tl2br w:val="nil"/>
                    <w:tr2bl w:val="nil"/>
                  </w:tcBorders>
                  <w:shd w:val="clear" w:color="auto" w:fill="auto"/>
                  <w:vAlign w:val="center"/>
                </w:tcPr>
                <w:p w14:paraId="052C3E4C">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贡献值</w:t>
                  </w:r>
                </w:p>
              </w:tc>
              <w:tc>
                <w:tcPr>
                  <w:tcW w:w="1098" w:type="pct"/>
                  <w:tcBorders>
                    <w:tl2br w:val="nil"/>
                    <w:tr2bl w:val="nil"/>
                  </w:tcBorders>
                  <w:shd w:val="clear" w:color="auto" w:fill="auto"/>
                  <w:vAlign w:val="center"/>
                </w:tcPr>
                <w:p w14:paraId="6B40EEB7">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功能区类型</w:t>
                  </w:r>
                </w:p>
              </w:tc>
              <w:tc>
                <w:tcPr>
                  <w:tcW w:w="666" w:type="pct"/>
                  <w:tcBorders>
                    <w:tl2br w:val="nil"/>
                    <w:tr2bl w:val="nil"/>
                  </w:tcBorders>
                  <w:shd w:val="clear" w:color="auto" w:fill="auto"/>
                  <w:vAlign w:val="center"/>
                </w:tcPr>
                <w:p w14:paraId="1D88C8CA">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是否达标</w:t>
                  </w:r>
                </w:p>
              </w:tc>
            </w:tr>
            <w:tr w14:paraId="65FE88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919" w:type="pct"/>
                  <w:tcBorders>
                    <w:tl2br w:val="nil"/>
                    <w:tr2bl w:val="nil"/>
                  </w:tcBorders>
                  <w:shd w:val="clear" w:color="auto" w:fill="auto"/>
                  <w:noWrap/>
                  <w:vAlign w:val="center"/>
                </w:tcPr>
                <w:p w14:paraId="2DFCE43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东厂界接受点</w:t>
                  </w:r>
                </w:p>
              </w:tc>
              <w:tc>
                <w:tcPr>
                  <w:tcW w:w="385" w:type="pct"/>
                  <w:vMerge w:val="restart"/>
                  <w:tcBorders>
                    <w:tl2br w:val="nil"/>
                    <w:tr2bl w:val="nil"/>
                  </w:tcBorders>
                  <w:shd w:val="clear" w:color="auto" w:fill="auto"/>
                  <w:noWrap/>
                  <w:vAlign w:val="center"/>
                </w:tcPr>
                <w:p w14:paraId="3A29929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昼间</w:t>
                  </w:r>
                </w:p>
              </w:tc>
              <w:tc>
                <w:tcPr>
                  <w:tcW w:w="497" w:type="pct"/>
                  <w:tcBorders>
                    <w:tl2br w:val="nil"/>
                    <w:tr2bl w:val="nil"/>
                  </w:tcBorders>
                  <w:shd w:val="clear" w:color="auto" w:fill="auto"/>
                  <w:noWrap/>
                  <w:vAlign w:val="center"/>
                </w:tcPr>
                <w:p w14:paraId="5A233AC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olor w:val="000000" w:themeColor="text1"/>
                      <w:highlight w:val="none"/>
                      <w14:textFill>
                        <w14:solidFill>
                          <w14:schemeClr w14:val="tx1"/>
                        </w14:solidFill>
                      </w14:textFill>
                    </w:rPr>
                    <w:t>15.80</w:t>
                  </w:r>
                </w:p>
              </w:tc>
              <w:tc>
                <w:tcPr>
                  <w:tcW w:w="530" w:type="pct"/>
                  <w:tcBorders>
                    <w:tl2br w:val="nil"/>
                    <w:tr2bl w:val="nil"/>
                  </w:tcBorders>
                  <w:shd w:val="clear" w:color="auto" w:fill="auto"/>
                  <w:noWrap/>
                  <w:vAlign w:val="center"/>
                </w:tcPr>
                <w:p w14:paraId="3AECE57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olor w:val="000000" w:themeColor="text1"/>
                      <w:highlight w:val="none"/>
                      <w14:textFill>
                        <w14:solidFill>
                          <w14:schemeClr w14:val="tx1"/>
                        </w14:solidFill>
                      </w14:textFill>
                    </w:rPr>
                    <w:t>-25.47</w:t>
                  </w:r>
                </w:p>
              </w:tc>
              <w:tc>
                <w:tcPr>
                  <w:tcW w:w="498" w:type="pct"/>
                  <w:tcBorders>
                    <w:tl2br w:val="nil"/>
                    <w:tr2bl w:val="nil"/>
                  </w:tcBorders>
                  <w:shd w:val="clear" w:color="auto" w:fill="auto"/>
                  <w:noWrap/>
                  <w:vAlign w:val="center"/>
                </w:tcPr>
                <w:p w14:paraId="19B6265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1.2</w:t>
                  </w:r>
                </w:p>
              </w:tc>
              <w:tc>
                <w:tcPr>
                  <w:tcW w:w="404" w:type="pct"/>
                  <w:tcBorders>
                    <w:tl2br w:val="nil"/>
                    <w:tr2bl w:val="nil"/>
                  </w:tcBorders>
                  <w:shd w:val="clear" w:color="auto" w:fill="auto"/>
                  <w:noWrap/>
                  <w:vAlign w:val="center"/>
                </w:tcPr>
                <w:p w14:paraId="075994C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olor w:val="000000" w:themeColor="text1"/>
                      <w:highlight w:val="none"/>
                      <w14:textFill>
                        <w14:solidFill>
                          <w14:schemeClr w14:val="tx1"/>
                        </w14:solidFill>
                      </w14:textFill>
                    </w:rPr>
                    <w:t>47.30</w:t>
                  </w:r>
                </w:p>
              </w:tc>
              <w:tc>
                <w:tcPr>
                  <w:tcW w:w="1098" w:type="pct"/>
                  <w:vMerge w:val="restart"/>
                  <w:tcBorders>
                    <w:tl2br w:val="nil"/>
                    <w:tr2bl w:val="nil"/>
                  </w:tcBorders>
                  <w:shd w:val="clear" w:color="auto" w:fill="auto"/>
                  <w:noWrap/>
                  <w:vAlign w:val="center"/>
                </w:tcPr>
                <w:p w14:paraId="6785839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3类</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r>
                    <w:rPr>
                      <w:color w:val="000000" w:themeColor="text1"/>
                      <w:szCs w:val="21"/>
                      <w:highlight w:val="none"/>
                      <w14:textFill>
                        <w14:solidFill>
                          <w14:schemeClr w14:val="tx1"/>
                        </w14:solidFill>
                      </w14:textFill>
                    </w:rPr>
                    <w:t>昼间</w:t>
                  </w:r>
                  <w:r>
                    <w:rPr>
                      <w:rFonts w:hint="eastAsia"/>
                      <w:color w:val="000000" w:themeColor="text1"/>
                      <w:szCs w:val="21"/>
                      <w:highlight w:val="none"/>
                      <w:lang w:val="en-US" w:eastAsia="zh-CN"/>
                      <w14:textFill>
                        <w14:solidFill>
                          <w14:schemeClr w14:val="tx1"/>
                        </w14:solidFill>
                      </w14:textFill>
                    </w:rPr>
                    <w:t>65</w:t>
                  </w:r>
                  <w:r>
                    <w:rPr>
                      <w:color w:val="000000" w:themeColor="text1"/>
                      <w:szCs w:val="21"/>
                      <w:highlight w:val="none"/>
                      <w:lang w:val="zh-CN"/>
                      <w14:textFill>
                        <w14:solidFill>
                          <w14:schemeClr w14:val="tx1"/>
                        </w14:solidFill>
                      </w14:textFill>
                    </w:rPr>
                    <w:t>≤dB（A）</w:t>
                  </w:r>
                </w:p>
              </w:tc>
              <w:tc>
                <w:tcPr>
                  <w:tcW w:w="666" w:type="pct"/>
                  <w:tcBorders>
                    <w:tl2br w:val="nil"/>
                    <w:tr2bl w:val="nil"/>
                  </w:tcBorders>
                  <w:shd w:val="clear" w:color="auto" w:fill="auto"/>
                  <w:noWrap/>
                  <w:vAlign w:val="center"/>
                </w:tcPr>
                <w:p w14:paraId="722F028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是</w:t>
                  </w:r>
                </w:p>
              </w:tc>
            </w:tr>
            <w:tr w14:paraId="0E9DF51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919" w:type="pct"/>
                  <w:tcBorders>
                    <w:tl2br w:val="nil"/>
                    <w:tr2bl w:val="nil"/>
                  </w:tcBorders>
                  <w:shd w:val="clear" w:color="auto" w:fill="auto"/>
                  <w:noWrap/>
                  <w:vAlign w:val="center"/>
                </w:tcPr>
                <w:p w14:paraId="059058F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南厂界接受点</w:t>
                  </w:r>
                </w:p>
              </w:tc>
              <w:tc>
                <w:tcPr>
                  <w:tcW w:w="385" w:type="pct"/>
                  <w:vMerge w:val="continue"/>
                  <w:tcBorders>
                    <w:tl2br w:val="nil"/>
                    <w:tr2bl w:val="nil"/>
                  </w:tcBorders>
                  <w:shd w:val="clear" w:color="auto" w:fill="auto"/>
                  <w:noWrap/>
                  <w:vAlign w:val="center"/>
                </w:tcPr>
                <w:p w14:paraId="72C891F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497" w:type="pct"/>
                  <w:tcBorders>
                    <w:tl2br w:val="nil"/>
                    <w:tr2bl w:val="nil"/>
                  </w:tcBorders>
                  <w:shd w:val="clear" w:color="auto" w:fill="auto"/>
                  <w:noWrap/>
                  <w:vAlign w:val="center"/>
                </w:tcPr>
                <w:p w14:paraId="2087E37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olor w:val="000000" w:themeColor="text1"/>
                      <w:highlight w:val="none"/>
                      <w14:textFill>
                        <w14:solidFill>
                          <w14:schemeClr w14:val="tx1"/>
                        </w14:solidFill>
                      </w14:textFill>
                    </w:rPr>
                    <w:t>-6.91</w:t>
                  </w:r>
                </w:p>
              </w:tc>
              <w:tc>
                <w:tcPr>
                  <w:tcW w:w="530" w:type="pct"/>
                  <w:tcBorders>
                    <w:tl2br w:val="nil"/>
                    <w:tr2bl w:val="nil"/>
                  </w:tcBorders>
                  <w:shd w:val="clear" w:color="auto" w:fill="auto"/>
                  <w:noWrap/>
                  <w:vAlign w:val="center"/>
                </w:tcPr>
                <w:p w14:paraId="22A44D1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olor w:val="000000" w:themeColor="text1"/>
                      <w:highlight w:val="none"/>
                      <w14:textFill>
                        <w14:solidFill>
                          <w14:schemeClr w14:val="tx1"/>
                        </w14:solidFill>
                      </w14:textFill>
                    </w:rPr>
                    <w:t>-83.28</w:t>
                  </w:r>
                </w:p>
              </w:tc>
              <w:tc>
                <w:tcPr>
                  <w:tcW w:w="498" w:type="pct"/>
                  <w:tcBorders>
                    <w:tl2br w:val="nil"/>
                    <w:tr2bl w:val="nil"/>
                  </w:tcBorders>
                  <w:shd w:val="clear" w:color="auto" w:fill="auto"/>
                  <w:noWrap/>
                  <w:vAlign w:val="center"/>
                </w:tcPr>
                <w:p w14:paraId="0412246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1.2</w:t>
                  </w:r>
                </w:p>
              </w:tc>
              <w:tc>
                <w:tcPr>
                  <w:tcW w:w="404" w:type="pct"/>
                  <w:tcBorders>
                    <w:tl2br w:val="nil"/>
                    <w:tr2bl w:val="nil"/>
                  </w:tcBorders>
                  <w:shd w:val="clear" w:color="auto" w:fill="auto"/>
                  <w:noWrap/>
                  <w:vAlign w:val="center"/>
                </w:tcPr>
                <w:p w14:paraId="1207F6A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olor w:val="000000" w:themeColor="text1"/>
                      <w:highlight w:val="none"/>
                      <w14:textFill>
                        <w14:solidFill>
                          <w14:schemeClr w14:val="tx1"/>
                        </w14:solidFill>
                      </w14:textFill>
                    </w:rPr>
                    <w:t>46.80</w:t>
                  </w:r>
                </w:p>
              </w:tc>
              <w:tc>
                <w:tcPr>
                  <w:tcW w:w="1098" w:type="pct"/>
                  <w:vMerge w:val="continue"/>
                  <w:tcBorders>
                    <w:tl2br w:val="nil"/>
                    <w:tr2bl w:val="nil"/>
                  </w:tcBorders>
                  <w:shd w:val="clear" w:color="auto" w:fill="auto"/>
                  <w:noWrap/>
                  <w:vAlign w:val="center"/>
                </w:tcPr>
                <w:p w14:paraId="7D1526FD">
                  <w:pP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66" w:type="pct"/>
                  <w:tcBorders>
                    <w:tl2br w:val="nil"/>
                    <w:tr2bl w:val="nil"/>
                  </w:tcBorders>
                  <w:shd w:val="clear" w:color="auto" w:fill="auto"/>
                  <w:noWrap/>
                  <w:vAlign w:val="center"/>
                </w:tcPr>
                <w:p w14:paraId="678F154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是</w:t>
                  </w:r>
                </w:p>
              </w:tc>
            </w:tr>
            <w:tr w14:paraId="63C4D30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919" w:type="pct"/>
                  <w:tcBorders>
                    <w:tl2br w:val="nil"/>
                    <w:tr2bl w:val="nil"/>
                  </w:tcBorders>
                  <w:shd w:val="clear" w:color="auto" w:fill="auto"/>
                  <w:noWrap/>
                  <w:vAlign w:val="center"/>
                </w:tcPr>
                <w:p w14:paraId="08F6267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西厂界接受点</w:t>
                  </w:r>
                </w:p>
              </w:tc>
              <w:tc>
                <w:tcPr>
                  <w:tcW w:w="385" w:type="pct"/>
                  <w:vMerge w:val="continue"/>
                  <w:tcBorders>
                    <w:tl2br w:val="nil"/>
                    <w:tr2bl w:val="nil"/>
                  </w:tcBorders>
                  <w:shd w:val="clear" w:color="auto" w:fill="auto"/>
                  <w:noWrap/>
                  <w:vAlign w:val="center"/>
                </w:tcPr>
                <w:p w14:paraId="3E17902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497" w:type="pct"/>
                  <w:tcBorders>
                    <w:tl2br w:val="nil"/>
                    <w:tr2bl w:val="nil"/>
                  </w:tcBorders>
                  <w:shd w:val="clear" w:color="auto" w:fill="auto"/>
                  <w:noWrap/>
                  <w:vAlign w:val="center"/>
                </w:tcPr>
                <w:p w14:paraId="5E26998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olor w:val="000000" w:themeColor="text1"/>
                      <w:highlight w:val="none"/>
                      <w14:textFill>
                        <w14:solidFill>
                          <w14:schemeClr w14:val="tx1"/>
                        </w14:solidFill>
                      </w14:textFill>
                    </w:rPr>
                    <w:t>-36.07</w:t>
                  </w:r>
                </w:p>
              </w:tc>
              <w:tc>
                <w:tcPr>
                  <w:tcW w:w="530" w:type="pct"/>
                  <w:tcBorders>
                    <w:tl2br w:val="nil"/>
                    <w:tr2bl w:val="nil"/>
                  </w:tcBorders>
                  <w:shd w:val="clear" w:color="auto" w:fill="auto"/>
                  <w:noWrap/>
                  <w:vAlign w:val="center"/>
                </w:tcPr>
                <w:p w14:paraId="0B4531B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olor w:val="000000" w:themeColor="text1"/>
                      <w:highlight w:val="none"/>
                      <w14:textFill>
                        <w14:solidFill>
                          <w14:schemeClr w14:val="tx1"/>
                        </w14:solidFill>
                      </w14:textFill>
                    </w:rPr>
                    <w:t>-30.12</w:t>
                  </w:r>
                </w:p>
              </w:tc>
              <w:tc>
                <w:tcPr>
                  <w:tcW w:w="498" w:type="pct"/>
                  <w:tcBorders>
                    <w:tl2br w:val="nil"/>
                    <w:tr2bl w:val="nil"/>
                  </w:tcBorders>
                  <w:shd w:val="clear" w:color="auto" w:fill="auto"/>
                  <w:noWrap/>
                  <w:vAlign w:val="center"/>
                </w:tcPr>
                <w:p w14:paraId="0CB4C4A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1.2</w:t>
                  </w:r>
                </w:p>
              </w:tc>
              <w:tc>
                <w:tcPr>
                  <w:tcW w:w="404" w:type="pct"/>
                  <w:tcBorders>
                    <w:tl2br w:val="nil"/>
                    <w:tr2bl w:val="nil"/>
                  </w:tcBorders>
                  <w:shd w:val="clear" w:color="auto" w:fill="auto"/>
                  <w:noWrap/>
                  <w:vAlign w:val="center"/>
                </w:tcPr>
                <w:p w14:paraId="677A8F1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olor w:val="000000" w:themeColor="text1"/>
                      <w:highlight w:val="none"/>
                      <w14:textFill>
                        <w14:solidFill>
                          <w14:schemeClr w14:val="tx1"/>
                        </w14:solidFill>
                      </w14:textFill>
                    </w:rPr>
                    <w:t>47.13</w:t>
                  </w:r>
                </w:p>
              </w:tc>
              <w:tc>
                <w:tcPr>
                  <w:tcW w:w="1098" w:type="pct"/>
                  <w:vMerge w:val="continue"/>
                  <w:tcBorders>
                    <w:tl2br w:val="nil"/>
                    <w:tr2bl w:val="nil"/>
                  </w:tcBorders>
                  <w:shd w:val="clear" w:color="auto" w:fill="auto"/>
                  <w:noWrap/>
                  <w:vAlign w:val="center"/>
                </w:tcPr>
                <w:p w14:paraId="26FF6DBC">
                  <w:pP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66" w:type="pct"/>
                  <w:tcBorders>
                    <w:tl2br w:val="nil"/>
                    <w:tr2bl w:val="nil"/>
                  </w:tcBorders>
                  <w:shd w:val="clear" w:color="auto" w:fill="auto"/>
                  <w:noWrap/>
                  <w:vAlign w:val="center"/>
                </w:tcPr>
                <w:p w14:paraId="63055B7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是</w:t>
                  </w:r>
                </w:p>
              </w:tc>
            </w:tr>
            <w:tr w14:paraId="32911C8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3" w:hRule="atLeast"/>
              </w:trPr>
              <w:tc>
                <w:tcPr>
                  <w:tcW w:w="919" w:type="pct"/>
                  <w:tcBorders>
                    <w:tl2br w:val="nil"/>
                    <w:tr2bl w:val="nil"/>
                  </w:tcBorders>
                  <w:shd w:val="clear" w:color="auto" w:fill="auto"/>
                  <w:noWrap/>
                  <w:vAlign w:val="center"/>
                </w:tcPr>
                <w:p w14:paraId="78E1634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北厂界接受点</w:t>
                  </w:r>
                </w:p>
              </w:tc>
              <w:tc>
                <w:tcPr>
                  <w:tcW w:w="385" w:type="pct"/>
                  <w:vMerge w:val="continue"/>
                  <w:tcBorders>
                    <w:tl2br w:val="nil"/>
                    <w:tr2bl w:val="nil"/>
                  </w:tcBorders>
                  <w:shd w:val="clear" w:color="auto" w:fill="auto"/>
                  <w:noWrap/>
                  <w:vAlign w:val="center"/>
                </w:tcPr>
                <w:p w14:paraId="6462FB7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497" w:type="pct"/>
                  <w:tcBorders>
                    <w:tl2br w:val="nil"/>
                    <w:tr2bl w:val="nil"/>
                  </w:tcBorders>
                  <w:shd w:val="clear" w:color="auto" w:fill="auto"/>
                  <w:noWrap/>
                  <w:vAlign w:val="center"/>
                </w:tcPr>
                <w:p w14:paraId="72C1CF3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olor w:val="000000" w:themeColor="text1"/>
                      <w:highlight w:val="none"/>
                      <w14:textFill>
                        <w14:solidFill>
                          <w14:schemeClr w14:val="tx1"/>
                        </w14:solidFill>
                      </w14:textFill>
                    </w:rPr>
                    <w:t>-9.24</w:t>
                  </w:r>
                </w:p>
              </w:tc>
              <w:tc>
                <w:tcPr>
                  <w:tcW w:w="530" w:type="pct"/>
                  <w:tcBorders>
                    <w:tl2br w:val="nil"/>
                    <w:tr2bl w:val="nil"/>
                  </w:tcBorders>
                  <w:shd w:val="clear" w:color="auto" w:fill="auto"/>
                  <w:noWrap/>
                  <w:vAlign w:val="center"/>
                </w:tcPr>
                <w:p w14:paraId="7E32D0C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olor w:val="000000" w:themeColor="text1"/>
                      <w:highlight w:val="none"/>
                      <w14:textFill>
                        <w14:solidFill>
                          <w14:schemeClr w14:val="tx1"/>
                        </w14:solidFill>
                      </w14:textFill>
                    </w:rPr>
                    <w:t>10.14</w:t>
                  </w:r>
                </w:p>
              </w:tc>
              <w:tc>
                <w:tcPr>
                  <w:tcW w:w="498" w:type="pct"/>
                  <w:tcBorders>
                    <w:tl2br w:val="nil"/>
                    <w:tr2bl w:val="nil"/>
                  </w:tcBorders>
                  <w:shd w:val="clear" w:color="auto" w:fill="auto"/>
                  <w:noWrap/>
                  <w:vAlign w:val="center"/>
                </w:tcPr>
                <w:p w14:paraId="528B9ED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1.2</w:t>
                  </w:r>
                </w:p>
              </w:tc>
              <w:tc>
                <w:tcPr>
                  <w:tcW w:w="404" w:type="pct"/>
                  <w:tcBorders>
                    <w:tl2br w:val="nil"/>
                    <w:tr2bl w:val="nil"/>
                  </w:tcBorders>
                  <w:shd w:val="clear" w:color="auto" w:fill="auto"/>
                  <w:noWrap/>
                  <w:vAlign w:val="center"/>
                </w:tcPr>
                <w:p w14:paraId="5C2F30A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olor w:val="000000" w:themeColor="text1"/>
                      <w:highlight w:val="none"/>
                      <w14:textFill>
                        <w14:solidFill>
                          <w14:schemeClr w14:val="tx1"/>
                        </w14:solidFill>
                      </w14:textFill>
                    </w:rPr>
                    <w:t>55.03</w:t>
                  </w:r>
                </w:p>
              </w:tc>
              <w:tc>
                <w:tcPr>
                  <w:tcW w:w="1098" w:type="pct"/>
                  <w:vMerge w:val="continue"/>
                  <w:tcBorders>
                    <w:tl2br w:val="nil"/>
                    <w:tr2bl w:val="nil"/>
                  </w:tcBorders>
                  <w:shd w:val="clear" w:color="auto" w:fill="auto"/>
                  <w:noWrap/>
                  <w:vAlign w:val="center"/>
                </w:tcPr>
                <w:p w14:paraId="68CF0A68">
                  <w:pP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66" w:type="pct"/>
                  <w:tcBorders>
                    <w:tl2br w:val="nil"/>
                    <w:tr2bl w:val="nil"/>
                  </w:tcBorders>
                  <w:shd w:val="clear" w:color="auto" w:fill="auto"/>
                  <w:noWrap/>
                  <w:vAlign w:val="center"/>
                </w:tcPr>
                <w:p w14:paraId="6E0D1CA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是</w:t>
                  </w:r>
                </w:p>
              </w:tc>
            </w:tr>
          </w:tbl>
          <w:p w14:paraId="4F6A9A57">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综上所述，经距离衰减后各噪声源对厂界的影响值较小。厂界噪声</w:t>
            </w:r>
            <w:r>
              <w:rPr>
                <w:rFonts w:hint="eastAsia"/>
                <w:color w:val="000000" w:themeColor="text1"/>
                <w:sz w:val="24"/>
                <w:highlight w:val="none"/>
                <w:lang w:val="en-US" w:eastAsia="zh-CN"/>
                <w14:textFill>
                  <w14:solidFill>
                    <w14:schemeClr w14:val="tx1"/>
                  </w14:solidFill>
                </w14:textFill>
              </w:rPr>
              <w:t>预测</w:t>
            </w:r>
            <w:r>
              <w:rPr>
                <w:color w:val="000000" w:themeColor="text1"/>
                <w:sz w:val="24"/>
                <w:highlight w:val="none"/>
                <w:lang w:val="zh-CN"/>
                <w14:textFill>
                  <w14:solidFill>
                    <w14:schemeClr w14:val="tx1"/>
                  </w14:solidFill>
                </w14:textFill>
              </w:rPr>
              <w:t>值满足《工业企业厂界环境噪声排放标准》（GB12348-2008）</w:t>
            </w:r>
            <w:r>
              <w:rPr>
                <w:rFonts w:hint="eastAsia"/>
                <w:color w:val="000000" w:themeColor="text1"/>
                <w:sz w:val="24"/>
                <w:highlight w:val="none"/>
                <w:lang w:val="zh-CN"/>
                <w14:textFill>
                  <w14:solidFill>
                    <w14:schemeClr w14:val="tx1"/>
                  </w14:solidFill>
                </w14:textFill>
              </w:rPr>
              <w:t>3类</w:t>
            </w:r>
            <w:r>
              <w:rPr>
                <w:color w:val="000000" w:themeColor="text1"/>
                <w:sz w:val="24"/>
                <w:highlight w:val="none"/>
                <w:lang w:val="zh-CN"/>
                <w14:textFill>
                  <w14:solidFill>
                    <w14:schemeClr w14:val="tx1"/>
                  </w14:solidFill>
                </w14:textFill>
              </w:rPr>
              <w:t>标准要求，即（昼间≤6</w:t>
            </w:r>
            <w:r>
              <w:rPr>
                <w:rFonts w:hint="eastAsia"/>
                <w:color w:val="000000" w:themeColor="text1"/>
                <w:sz w:val="24"/>
                <w:highlight w:val="none"/>
                <w:lang w:val="en-US" w:eastAsia="zh-CN"/>
                <w14:textFill>
                  <w14:solidFill>
                    <w14:schemeClr w14:val="tx1"/>
                  </w14:solidFill>
                </w14:textFill>
              </w:rPr>
              <w:t>5</w:t>
            </w:r>
            <w:r>
              <w:rPr>
                <w:color w:val="000000" w:themeColor="text1"/>
                <w:sz w:val="24"/>
                <w:highlight w:val="none"/>
                <w:lang w:val="zh-CN"/>
                <w14:textFill>
                  <w14:solidFill>
                    <w14:schemeClr w14:val="tx1"/>
                  </w14:solidFill>
                </w14:textFill>
              </w:rPr>
              <w:t>dB（A））。因此在采取降噪措施后，项目产生的噪声对周边环境影响较小。</w:t>
            </w:r>
          </w:p>
          <w:p w14:paraId="03046096">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3.4噪声污染防治</w:t>
            </w:r>
          </w:p>
          <w:p w14:paraId="03394CE7">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本项目尽量采取隔声减振措施等措施降低噪声向外环境的影响，</w:t>
            </w:r>
            <w:r>
              <w:rPr>
                <w:rFonts w:hint="eastAsia"/>
                <w:color w:val="000000" w:themeColor="text1"/>
                <w:sz w:val="24"/>
                <w:highlight w:val="none"/>
                <w14:textFill>
                  <w14:solidFill>
                    <w14:schemeClr w14:val="tx1"/>
                  </w14:solidFill>
                </w14:textFill>
              </w:rPr>
              <w:t>室内声源降噪20dB（A），</w:t>
            </w:r>
            <w:r>
              <w:rPr>
                <w:color w:val="000000" w:themeColor="text1"/>
                <w:sz w:val="24"/>
                <w:highlight w:val="none"/>
                <w:lang w:val="zh-CN"/>
                <w14:textFill>
                  <w14:solidFill>
                    <w14:schemeClr w14:val="tx1"/>
                  </w14:solidFill>
                </w14:textFill>
              </w:rPr>
              <w:t>具体防治措施如下：</w:t>
            </w:r>
          </w:p>
          <w:p w14:paraId="207D37A6">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①设备选用低噪声设备。</w:t>
            </w:r>
          </w:p>
          <w:p w14:paraId="0BE84B37">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②在总平面布置上，合理布置设备的摆放位置，尽可能降低设备噪声对环境的影响。</w:t>
            </w:r>
          </w:p>
          <w:p w14:paraId="2B79880E">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③对产生机械噪声的设备采取隔声、减振措施。</w:t>
            </w:r>
          </w:p>
          <w:p w14:paraId="7C57221F">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④加强设备管理，定期检修、维护和保养，避免由于设备性能降低而使设备噪声增大。</w:t>
            </w:r>
          </w:p>
          <w:p w14:paraId="0D417BAE">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室外</w:t>
            </w:r>
            <w:r>
              <w:rPr>
                <w:rFonts w:hint="eastAsia"/>
                <w:color w:val="000000" w:themeColor="text1"/>
                <w:sz w:val="24"/>
                <w:highlight w:val="none"/>
                <w14:textFill>
                  <w14:solidFill>
                    <w14:schemeClr w14:val="tx1"/>
                  </w14:solidFill>
                </w14:textFill>
              </w:rPr>
              <w:t>声源通过</w:t>
            </w:r>
            <w:r>
              <w:rPr>
                <w:color w:val="000000" w:themeColor="text1"/>
                <w:sz w:val="24"/>
                <w:highlight w:val="none"/>
                <w14:textFill>
                  <w14:solidFill>
                    <w14:schemeClr w14:val="tx1"/>
                  </w14:solidFill>
                </w14:textFill>
              </w:rPr>
              <w:t>选用低噪声、低转速、高质量的风机，采用减振基础和柔性接口</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加强对设备定期维护保养，避免老化引起的噪声，必要时应及时更换，建立各工段操作规范，严格控制设备噪声，减少非正常工况产生的噪声</w:t>
            </w:r>
            <w:r>
              <w:rPr>
                <w:rFonts w:hint="eastAsia"/>
                <w:color w:val="000000" w:themeColor="text1"/>
                <w:sz w:val="24"/>
                <w:highlight w:val="none"/>
                <w14:textFill>
                  <w14:solidFill>
                    <w14:schemeClr w14:val="tx1"/>
                  </w14:solidFill>
                </w14:textFill>
              </w:rPr>
              <w:t>，降噪20</w:t>
            </w:r>
            <w:r>
              <w:rPr>
                <w:color w:val="000000" w:themeColor="text1"/>
                <w:sz w:val="24"/>
                <w:highlight w:val="none"/>
                <w14:textFill>
                  <w14:solidFill>
                    <w14:schemeClr w14:val="tx1"/>
                  </w14:solidFill>
                </w14:textFill>
              </w:rPr>
              <w:t>dB（A）</w:t>
            </w:r>
            <w:r>
              <w:rPr>
                <w:color w:val="000000" w:themeColor="text1"/>
                <w:sz w:val="24"/>
                <w:highlight w:val="none"/>
                <w:lang w:val="zh-CN"/>
                <w14:textFill>
                  <w14:solidFill>
                    <w14:schemeClr w14:val="tx1"/>
                  </w14:solidFill>
                </w14:textFill>
              </w:rPr>
              <w:t>。</w:t>
            </w:r>
          </w:p>
          <w:p w14:paraId="47741DDE">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采取以上降噪措施后并经过距离衰减后，厂界噪声可确保达标，拟采取的噪声污染防治措施可行。</w:t>
            </w:r>
          </w:p>
          <w:p w14:paraId="32CD7283">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3.5监测计划</w:t>
            </w:r>
          </w:p>
          <w:p w14:paraId="20005DA1">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根据《排污单位自行监测技术指南</w:t>
            </w: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总则》（HJ819-2017）相关要求，</w:t>
            </w:r>
            <w:r>
              <w:rPr>
                <w:color w:val="000000" w:themeColor="text1"/>
                <w:sz w:val="24"/>
                <w:highlight w:val="none"/>
                <w:lang w:val="zh-CN"/>
                <w14:textFill>
                  <w14:solidFill>
                    <w14:schemeClr w14:val="tx1"/>
                  </w14:solidFill>
                </w14:textFill>
              </w:rPr>
              <w:t>定期对厂界进行噪声监测，</w:t>
            </w:r>
            <w:r>
              <w:rPr>
                <w:color w:val="000000" w:themeColor="text1"/>
                <w:sz w:val="24"/>
                <w:highlight w:val="none"/>
                <w14:textFill>
                  <w14:solidFill>
                    <w14:schemeClr w14:val="tx1"/>
                  </w14:solidFill>
                </w14:textFill>
              </w:rPr>
              <w:t>日常监测要求见下表。</w:t>
            </w:r>
          </w:p>
          <w:p w14:paraId="28DEBE6C">
            <w:pPr>
              <w:pStyle w:val="125"/>
              <w:numPr>
                <w:ilvl w:val="0"/>
                <w:numId w:val="0"/>
              </w:numPr>
              <w:spacing w:line="440" w:lineRule="exact"/>
              <w:rPr>
                <w:rFonts w:hint="default"/>
                <w:color w:val="000000" w:themeColor="text1"/>
                <w:sz w:val="24"/>
                <w:highlight w:val="none"/>
                <w:lang w:val="zh-CN"/>
                <w14:textFill>
                  <w14:solidFill>
                    <w14:schemeClr w14:val="tx1"/>
                  </w14:solidFill>
                </w14:textFill>
              </w:rPr>
            </w:pPr>
            <w:r>
              <w:rPr>
                <w:rFonts w:hint="default"/>
                <w:color w:val="000000" w:themeColor="text1"/>
                <w:sz w:val="24"/>
                <w:highlight w:val="none"/>
                <w:lang w:val="zh-CN"/>
                <w14:textFill>
                  <w14:solidFill>
                    <w14:schemeClr w14:val="tx1"/>
                  </w14:solidFill>
                </w14:textFill>
              </w:rPr>
              <w:t>表4-</w:t>
            </w:r>
            <w:r>
              <w:rPr>
                <w:color w:val="000000" w:themeColor="text1"/>
                <w:sz w:val="24"/>
                <w:highlight w:val="none"/>
                <w14:textFill>
                  <w14:solidFill>
                    <w14:schemeClr w14:val="tx1"/>
                  </w14:solidFill>
                </w14:textFill>
              </w:rPr>
              <w:t>2</w:t>
            </w:r>
            <w:r>
              <w:rPr>
                <w:rFonts w:hint="eastAsia"/>
                <w:color w:val="000000" w:themeColor="text1"/>
                <w:sz w:val="24"/>
                <w:highlight w:val="none"/>
                <w:lang w:val="en-US" w:eastAsia="zh-CN"/>
                <w14:textFill>
                  <w14:solidFill>
                    <w14:schemeClr w14:val="tx1"/>
                  </w14:solidFill>
                </w14:textFill>
              </w:rPr>
              <w:t xml:space="preserve">6  </w:t>
            </w:r>
            <w:r>
              <w:rPr>
                <w:rFonts w:hint="default"/>
                <w:color w:val="000000" w:themeColor="text1"/>
                <w:sz w:val="24"/>
                <w:highlight w:val="none"/>
                <w:lang w:val="zh-CN"/>
                <w14:textFill>
                  <w14:solidFill>
                    <w14:schemeClr w14:val="tx1"/>
                  </w14:solidFill>
                </w14:textFill>
              </w:rPr>
              <w:t>噪声监测计划表</w:t>
            </w:r>
          </w:p>
          <w:tbl>
            <w:tblPr>
              <w:tblStyle w:val="38"/>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293"/>
              <w:gridCol w:w="1127"/>
              <w:gridCol w:w="2371"/>
              <w:gridCol w:w="3728"/>
            </w:tblGrid>
            <w:tr w14:paraId="3D4616B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0" w:hRule="atLeast"/>
                <w:jc w:val="center"/>
              </w:trPr>
              <w:tc>
                <w:tcPr>
                  <w:tcW w:w="759" w:type="pct"/>
                  <w:vAlign w:val="center"/>
                </w:tcPr>
                <w:p w14:paraId="286F63B4">
                  <w:pPr>
                    <w:snapToGrid w:val="0"/>
                    <w:spacing w:line="240" w:lineRule="exact"/>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监测位置</w:t>
                  </w:r>
                </w:p>
              </w:tc>
              <w:tc>
                <w:tcPr>
                  <w:tcW w:w="661" w:type="pct"/>
                  <w:vAlign w:val="center"/>
                </w:tcPr>
                <w:p w14:paraId="797DFB77">
                  <w:pPr>
                    <w:snapToGrid w:val="0"/>
                    <w:spacing w:line="240" w:lineRule="exact"/>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监测项目</w:t>
                  </w:r>
                </w:p>
              </w:tc>
              <w:tc>
                <w:tcPr>
                  <w:tcW w:w="1391" w:type="pct"/>
                  <w:vAlign w:val="center"/>
                </w:tcPr>
                <w:p w14:paraId="1D16D6AC">
                  <w:pPr>
                    <w:snapToGrid w:val="0"/>
                    <w:spacing w:line="240" w:lineRule="exact"/>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监测频次</w:t>
                  </w:r>
                </w:p>
              </w:tc>
              <w:tc>
                <w:tcPr>
                  <w:tcW w:w="2187" w:type="pct"/>
                  <w:vAlign w:val="center"/>
                </w:tcPr>
                <w:p w14:paraId="3293EE8D">
                  <w:pPr>
                    <w:snapToGrid w:val="0"/>
                    <w:spacing w:line="240" w:lineRule="exact"/>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执行标准</w:t>
                  </w:r>
                </w:p>
              </w:tc>
            </w:tr>
            <w:tr w14:paraId="592E636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759" w:type="pct"/>
                  <w:vAlign w:val="center"/>
                </w:tcPr>
                <w:p w14:paraId="266708CA">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厂界四周外1m</w:t>
                  </w:r>
                </w:p>
              </w:tc>
              <w:tc>
                <w:tcPr>
                  <w:tcW w:w="661" w:type="pct"/>
                  <w:vAlign w:val="center"/>
                </w:tcPr>
                <w:p w14:paraId="0B7AFEB0">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等效A声级</w:t>
                  </w:r>
                </w:p>
              </w:tc>
              <w:tc>
                <w:tcPr>
                  <w:tcW w:w="1391" w:type="pct"/>
                  <w:vAlign w:val="center"/>
                </w:tcPr>
                <w:p w14:paraId="41BFF895">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每季度监测一次，昼间1次</w:t>
                  </w:r>
                </w:p>
              </w:tc>
              <w:tc>
                <w:tcPr>
                  <w:tcW w:w="2187" w:type="pct"/>
                  <w:vAlign w:val="center"/>
                </w:tcPr>
                <w:p w14:paraId="1483F9FE">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《工业企业厂界环境噪声排放标准》（GB12348-2008）中的</w:t>
                  </w:r>
                  <w:r>
                    <w:rPr>
                      <w:rFonts w:hint="eastAsia"/>
                      <w:color w:val="000000" w:themeColor="text1"/>
                      <w:szCs w:val="21"/>
                      <w:highlight w:val="none"/>
                      <w:lang w:eastAsia="zh-CN"/>
                      <w14:textFill>
                        <w14:solidFill>
                          <w14:schemeClr w14:val="tx1"/>
                        </w14:solidFill>
                      </w14:textFill>
                    </w:rPr>
                    <w:t>3类</w:t>
                  </w:r>
                  <w:r>
                    <w:rPr>
                      <w:color w:val="000000" w:themeColor="text1"/>
                      <w:szCs w:val="21"/>
                      <w:highlight w:val="none"/>
                      <w:lang w:val="zh-CN"/>
                      <w14:textFill>
                        <w14:solidFill>
                          <w14:schemeClr w14:val="tx1"/>
                        </w14:solidFill>
                      </w14:textFill>
                    </w:rPr>
                    <w:t>标准</w:t>
                  </w:r>
                </w:p>
              </w:tc>
            </w:tr>
          </w:tbl>
          <w:p w14:paraId="71C8429D">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4、固废</w:t>
            </w:r>
          </w:p>
          <w:p w14:paraId="1AE82212">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（1）固体废物源强分析</w:t>
            </w:r>
          </w:p>
          <w:p w14:paraId="7F3D1512">
            <w:pPr>
              <w:numPr>
                <w:ilvl w:val="0"/>
                <w:numId w:val="0"/>
              </w:numPr>
              <w:adjustRightInd w:val="0"/>
              <w:snapToGrid w:val="0"/>
              <w:spacing w:line="440" w:lineRule="exact"/>
              <w:ind w:firstLine="480" w:firstLineChars="200"/>
              <w:rPr>
                <w:rFonts w:hint="eastAsia" w:ascii="Times New Roman" w:hAnsi="Times New Roman" w:eastAsia="宋体" w:cs="Times New Roman"/>
                <w:color w:val="000000" w:themeColor="text1"/>
                <w:sz w:val="24"/>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zh-CN" w:eastAsia="zh-CN"/>
                <w14:textFill>
                  <w14:solidFill>
                    <w14:schemeClr w14:val="tx1"/>
                  </w14:solidFill>
                </w14:textFill>
              </w:rPr>
              <w:t>本项目固废主要为</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边角料、不合格品、废包装材料、废过滤棉、废活性炭、生活垃圾、化粪池污泥、废包装物</w:t>
            </w:r>
            <w:r>
              <w:rPr>
                <w:rFonts w:hint="eastAsia" w:ascii="Times New Roman" w:hAnsi="Times New Roman" w:eastAsia="宋体" w:cs="Times New Roman"/>
                <w:color w:val="000000" w:themeColor="text1"/>
                <w:sz w:val="24"/>
                <w:highlight w:val="none"/>
                <w:lang w:val="zh-CN" w:eastAsia="zh-CN"/>
                <w14:textFill>
                  <w14:solidFill>
                    <w14:schemeClr w14:val="tx1"/>
                  </w14:solidFill>
                </w14:textFill>
              </w:rPr>
              <w:t>等。</w:t>
            </w:r>
          </w:p>
          <w:p w14:paraId="0D2F2B0F">
            <w:pPr>
              <w:numPr>
                <w:ilvl w:val="0"/>
                <w:numId w:val="15"/>
              </w:numPr>
              <w:adjustRightInd w:val="0"/>
              <w:snapToGrid w:val="0"/>
              <w:spacing w:line="440" w:lineRule="exact"/>
              <w:ind w:firstLine="480" w:firstLineChars="200"/>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边角料：按生产损耗估算，边角料约占使用量的5%，边角料产生量约为7.5t/a</w:t>
            </w:r>
            <w:r>
              <w:rPr>
                <w:rFonts w:hint="eastAsia" w:ascii="Times New Roman" w:hAnsi="Times New Roman" w:eastAsia="宋体" w:cs="Times New Roman"/>
                <w:color w:val="000000" w:themeColor="text1"/>
                <w:sz w:val="24"/>
                <w:highlight w:val="none"/>
                <w:lang w:val="zh-CN" w:eastAsia="zh-CN"/>
                <w14:textFill>
                  <w14:solidFill>
                    <w14:schemeClr w14:val="tx1"/>
                  </w14:solidFill>
                </w14:textFill>
              </w:rPr>
              <w:t>，统一收集后外售相关单位综合利用</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p>
          <w:p w14:paraId="5B8642CE">
            <w:pPr>
              <w:numPr>
                <w:ilvl w:val="0"/>
                <w:numId w:val="0"/>
              </w:numPr>
              <w:adjustRightInd w:val="0"/>
              <w:snapToGrid w:val="0"/>
              <w:spacing w:line="440" w:lineRule="exact"/>
              <w:ind w:firstLine="480" w:firstLineChars="200"/>
              <w:rPr>
                <w:rFonts w:hint="eastAsia" w:ascii="Times New Roman" w:hAnsi="Times New Roman" w:eastAsia="宋体" w:cs="Times New Roman"/>
                <w:color w:val="000000" w:themeColor="text1"/>
                <w:sz w:val="24"/>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sz w:val="24"/>
                <w:highlight w:val="none"/>
                <w:lang w:val="zh-CN"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不合格品：检验不合格产品报废</w:t>
            </w:r>
            <w:r>
              <w:rPr>
                <w:rFonts w:hint="eastAsia" w:ascii="Times New Roman" w:hAnsi="Times New Roman" w:eastAsia="宋体" w:cs="Times New Roman"/>
                <w:color w:val="000000" w:themeColor="text1"/>
                <w:sz w:val="24"/>
                <w:highlight w:val="none"/>
                <w:lang w:val="zh-CN"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不合格率占1%，不合格品产生量约为1.5t/a</w:t>
            </w:r>
            <w:r>
              <w:rPr>
                <w:rFonts w:hint="eastAsia" w:ascii="Times New Roman" w:hAnsi="Times New Roman" w:eastAsia="宋体" w:cs="Times New Roman"/>
                <w:color w:val="000000" w:themeColor="text1"/>
                <w:sz w:val="24"/>
                <w:highlight w:val="none"/>
                <w:lang w:val="zh-CN" w:eastAsia="zh-CN"/>
                <w14:textFill>
                  <w14:solidFill>
                    <w14:schemeClr w14:val="tx1"/>
                  </w14:solidFill>
                </w14:textFill>
              </w:rPr>
              <w:t>，统一收集后外售相关单位综合利用</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p>
          <w:p w14:paraId="046ED66F">
            <w:pPr>
              <w:numPr>
                <w:ilvl w:val="0"/>
                <w:numId w:val="0"/>
              </w:numPr>
              <w:adjustRightInd w:val="0"/>
              <w:snapToGrid w:val="0"/>
              <w:spacing w:line="440" w:lineRule="exact"/>
              <w:ind w:firstLine="480" w:firstLineChars="200"/>
              <w:rPr>
                <w:rFonts w:hint="eastAsia" w:ascii="Times New Roman" w:hAnsi="Times New Roman" w:eastAsia="宋体" w:cs="Times New Roman"/>
                <w:color w:val="000000" w:themeColor="text1"/>
                <w:sz w:val="24"/>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sz w:val="24"/>
                <w:highlight w:val="none"/>
                <w:lang w:val="zh-CN"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废包装材料：本项目对成品进行打包包装时，会产生废包装材料，根据企业提供资料，废包装材料产生量约为0.1t/a，</w:t>
            </w:r>
            <w:r>
              <w:rPr>
                <w:rFonts w:hint="eastAsia" w:ascii="Times New Roman" w:hAnsi="Times New Roman" w:eastAsia="宋体" w:cs="Times New Roman"/>
                <w:color w:val="000000" w:themeColor="text1"/>
                <w:sz w:val="24"/>
                <w:highlight w:val="none"/>
                <w:lang w:val="zh-CN" w:eastAsia="zh-CN"/>
                <w14:textFill>
                  <w14:solidFill>
                    <w14:schemeClr w14:val="tx1"/>
                  </w14:solidFill>
                </w14:textFill>
              </w:rPr>
              <w:t>统一收集后外售</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p>
          <w:p w14:paraId="27E6BC89">
            <w:pPr>
              <w:numPr>
                <w:ilvl w:val="0"/>
                <w:numId w:val="0"/>
              </w:numPr>
              <w:adjustRightInd w:val="0"/>
              <w:snapToGrid w:val="0"/>
              <w:spacing w:line="440" w:lineRule="exact"/>
              <w:ind w:firstLine="480" w:firstLineChars="200"/>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sz w:val="24"/>
                <w:highlight w:val="none"/>
                <w:lang w:val="zh-CN"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废过滤棉：本项目过滤棉吸附颗粒物约0.5t/a，使用过滤棉约0.1t/a，则废过滤棉产生量约为0.6t/a，收集后作为危险废物处置。</w:t>
            </w:r>
          </w:p>
          <w:p w14:paraId="0E365375">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5</w:t>
            </w:r>
            <w:r>
              <w:rPr>
                <w:color w:val="000000" w:themeColor="text1"/>
                <w:sz w:val="24"/>
                <w:highlight w:val="none"/>
                <w:lang w:val="zh-CN"/>
                <w14:textFill>
                  <w14:solidFill>
                    <w14:schemeClr w14:val="tx1"/>
                  </w14:solidFill>
                </w14:textFill>
              </w:rPr>
              <w:t>）</w:t>
            </w:r>
            <w:r>
              <w:rPr>
                <w:rFonts w:hint="eastAsia"/>
                <w:color w:val="000000" w:themeColor="text1"/>
                <w:sz w:val="24"/>
                <w:highlight w:val="none"/>
                <w14:textFill>
                  <w14:solidFill>
                    <w14:schemeClr w14:val="tx1"/>
                  </w14:solidFill>
                </w14:textFill>
              </w:rPr>
              <w:t>废活性炭：</w:t>
            </w:r>
            <w:r>
              <w:rPr>
                <w:color w:val="000000" w:themeColor="text1"/>
                <w:kern w:val="44"/>
                <w:sz w:val="24"/>
                <w:highlight w:val="none"/>
                <w14:textFill>
                  <w14:solidFill>
                    <w14:schemeClr w14:val="tx1"/>
                  </w14:solidFill>
                </w14:textFill>
              </w:rPr>
              <w:t>本项</w:t>
            </w:r>
            <w:r>
              <w:rPr>
                <w:color w:val="000000" w:themeColor="text1"/>
                <w:sz w:val="24"/>
                <w:highlight w:val="none"/>
                <w14:textFill>
                  <w14:solidFill>
                    <w14:schemeClr w14:val="tx1"/>
                  </w14:solidFill>
                </w14:textFill>
              </w:rPr>
              <w:t>目</w:t>
            </w:r>
            <w:r>
              <w:rPr>
                <w:rFonts w:hint="eastAsia"/>
                <w:color w:val="000000" w:themeColor="text1"/>
                <w:sz w:val="24"/>
                <w:highlight w:val="none"/>
                <w:lang w:val="en-US" w:eastAsia="zh-CN"/>
                <w14:textFill>
                  <w14:solidFill>
                    <w14:schemeClr w14:val="tx1"/>
                  </w14:solidFill>
                </w14:textFill>
              </w:rPr>
              <w:t>实施后TA001、TA002</w:t>
            </w:r>
            <w:r>
              <w:rPr>
                <w:color w:val="000000" w:themeColor="text1"/>
                <w:sz w:val="24"/>
                <w:highlight w:val="none"/>
                <w14:textFill>
                  <w14:solidFill>
                    <w14:schemeClr w14:val="tx1"/>
                  </w14:solidFill>
                </w14:textFill>
              </w:rPr>
              <w:t>每3个月更换一次活性炭（每次更换</w:t>
            </w:r>
            <w:r>
              <w:rPr>
                <w:rFonts w:hint="eastAsia"/>
                <w:color w:val="000000" w:themeColor="text1"/>
                <w:sz w:val="24"/>
                <w:highlight w:val="none"/>
                <w:lang w:val="en-US" w:eastAsia="zh-CN"/>
                <w14:textFill>
                  <w14:solidFill>
                    <w14:schemeClr w14:val="tx1"/>
                  </w14:solidFill>
                </w14:textFill>
              </w:rPr>
              <w:t>1344</w:t>
            </w:r>
            <w:r>
              <w:rPr>
                <w:color w:val="000000" w:themeColor="text1"/>
                <w:sz w:val="24"/>
                <w:highlight w:val="none"/>
                <w14:textFill>
                  <w14:solidFill>
                    <w14:schemeClr w14:val="tx1"/>
                  </w14:solidFill>
                </w14:textFill>
              </w:rPr>
              <w:t>kg），一年更换4次</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算入吸附的有机废气</w:t>
            </w:r>
            <w:r>
              <w:rPr>
                <w:rFonts w:hint="eastAsia"/>
                <w:color w:val="000000" w:themeColor="text1"/>
                <w:sz w:val="24"/>
                <w:highlight w:val="none"/>
                <w:lang w:val="en-US" w:eastAsia="zh-CN"/>
                <w14:textFill>
                  <w14:solidFill>
                    <w14:schemeClr w14:val="tx1"/>
                  </w14:solidFill>
                </w14:textFill>
              </w:rPr>
              <w:t>约</w:t>
            </w:r>
            <w:r>
              <w:rPr>
                <w:rFonts w:hint="eastAsia"/>
                <w:color w:val="000000" w:themeColor="text1"/>
                <w:kern w:val="0"/>
                <w:sz w:val="24"/>
                <w:highlight w:val="none"/>
                <w:lang w:val="en-US" w:eastAsia="zh-CN"/>
                <w14:textFill>
                  <w14:solidFill>
                    <w14:schemeClr w14:val="tx1"/>
                  </w14:solidFill>
                </w14:textFill>
              </w:rPr>
              <w:t>0.227</w:t>
            </w:r>
            <w:r>
              <w:rPr>
                <w:color w:val="000000" w:themeColor="text1"/>
                <w:kern w:val="0"/>
                <w:sz w:val="24"/>
                <w:highlight w:val="none"/>
                <w14:textFill>
                  <w14:solidFill>
                    <w14:schemeClr w14:val="tx1"/>
                  </w14:solidFill>
                </w14:textFill>
              </w:rPr>
              <w:t>t</w:t>
            </w:r>
            <w:r>
              <w:rPr>
                <w:color w:val="000000" w:themeColor="text1"/>
                <w:sz w:val="24"/>
                <w:highlight w:val="none"/>
                <w14:textFill>
                  <w14:solidFill>
                    <w14:schemeClr w14:val="tx1"/>
                  </w14:solidFill>
                </w14:textFill>
              </w:rPr>
              <w:t>，则</w:t>
            </w:r>
            <w:r>
              <w:rPr>
                <w:rFonts w:hint="eastAsia"/>
                <w:color w:val="000000" w:themeColor="text1"/>
                <w:sz w:val="24"/>
                <w:highlight w:val="none"/>
                <w:lang w:val="en-US" w:eastAsia="zh-CN"/>
                <w14:textFill>
                  <w14:solidFill>
                    <w14:schemeClr w14:val="tx1"/>
                  </w14:solidFill>
                </w14:textFill>
              </w:rPr>
              <w:t>本项目新增</w:t>
            </w:r>
            <w:r>
              <w:rPr>
                <w:color w:val="000000" w:themeColor="text1"/>
                <w:sz w:val="24"/>
                <w:highlight w:val="none"/>
                <w14:textFill>
                  <w14:solidFill>
                    <w14:schemeClr w14:val="tx1"/>
                  </w14:solidFill>
                </w14:textFill>
              </w:rPr>
              <w:t>废活性炭</w:t>
            </w:r>
            <w:r>
              <w:rPr>
                <w:rFonts w:hint="eastAsia"/>
                <w:color w:val="000000" w:themeColor="text1"/>
                <w:sz w:val="24"/>
                <w:highlight w:val="none"/>
                <w:lang w:val="en-US" w:eastAsia="zh-CN"/>
                <w14:textFill>
                  <w14:solidFill>
                    <w14:schemeClr w14:val="tx1"/>
                  </w14:solidFill>
                </w14:textFill>
              </w:rPr>
              <w:t>产生量约5.6</w:t>
            </w:r>
            <w:r>
              <w:rPr>
                <w:rFonts w:hint="eastAsia"/>
                <w:color w:val="000000" w:themeColor="text1"/>
                <w:sz w:val="24"/>
                <w:highlight w:val="none"/>
                <w14:textFill>
                  <w14:solidFill>
                    <w14:schemeClr w14:val="tx1"/>
                  </w14:solidFill>
                </w14:textFill>
              </w:rPr>
              <w:t>t</w:t>
            </w:r>
            <w:r>
              <w:rPr>
                <w:color w:val="000000" w:themeColor="text1"/>
                <w:sz w:val="24"/>
                <w:highlight w:val="none"/>
                <w14:textFill>
                  <w14:solidFill>
                    <w14:schemeClr w14:val="tx1"/>
                  </w14:solidFill>
                </w14:textFill>
              </w:rPr>
              <w:t>/a</w:t>
            </w:r>
            <w:r>
              <w:rPr>
                <w:rFonts w:hint="eastAsia"/>
                <w:color w:val="000000" w:themeColor="text1"/>
                <w:sz w:val="24"/>
                <w:highlight w:val="none"/>
                <w:lang w:eastAsia="zh-CN"/>
                <w14:textFill>
                  <w14:solidFill>
                    <w14:schemeClr w14:val="tx1"/>
                  </w14:solidFill>
                </w14:textFill>
              </w:rPr>
              <w:t>，收集后作为危险废物处置</w:t>
            </w:r>
            <w:r>
              <w:rPr>
                <w:rFonts w:hint="eastAsia"/>
                <w:color w:val="000000" w:themeColor="text1"/>
                <w:sz w:val="24"/>
                <w:highlight w:val="none"/>
                <w:lang w:val="zh-CN"/>
                <w14:textFill>
                  <w14:solidFill>
                    <w14:schemeClr w14:val="tx1"/>
                  </w14:solidFill>
                </w14:textFill>
              </w:rPr>
              <w:t>。</w:t>
            </w:r>
          </w:p>
          <w:p w14:paraId="69E273D9">
            <w:pPr>
              <w:adjustRightInd w:val="0"/>
              <w:snapToGrid w:val="0"/>
              <w:spacing w:line="440" w:lineRule="exact"/>
              <w:ind w:firstLine="480" w:firstLineChars="200"/>
              <w:rPr>
                <w:color w:val="000000" w:themeColor="text1"/>
                <w:spacing w:val="2"/>
                <w:sz w:val="24"/>
                <w:highlight w:val="none"/>
                <w:lang w:val="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6</w:t>
            </w:r>
            <w:r>
              <w:rPr>
                <w:color w:val="000000" w:themeColor="text1"/>
                <w:sz w:val="24"/>
                <w:highlight w:val="none"/>
                <w:lang w:val="zh-CN"/>
                <w14:textFill>
                  <w14:solidFill>
                    <w14:schemeClr w14:val="tx1"/>
                  </w14:solidFill>
                </w14:textFill>
              </w:rPr>
              <w:t>）</w:t>
            </w:r>
            <w:r>
              <w:rPr>
                <w:rFonts w:hint="default" w:ascii="Times New Roman" w:hAnsi="Times New Roman" w:eastAsia="宋体" w:cs="Times New Roman"/>
                <w:color w:val="000000" w:themeColor="text1"/>
                <w:kern w:val="0"/>
                <w:sz w:val="24"/>
                <w:highlight w:val="none"/>
                <w:lang w:val="en-US" w:eastAsia="zh-CN" w:bidi="ar"/>
                <w14:textFill>
                  <w14:solidFill>
                    <w14:schemeClr w14:val="tx1"/>
                  </w14:solidFill>
                </w14:textFill>
              </w:rPr>
              <w:t>生活垃圾</w:t>
            </w:r>
            <w:r>
              <w:rPr>
                <w:rFonts w:hint="eastAsia" w:cs="Times New Roman"/>
                <w:color w:val="000000" w:themeColor="text1"/>
                <w:kern w:val="0"/>
                <w:sz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highlight w:val="none"/>
                <w:lang w:val="en-US" w:eastAsia="zh-CN" w:bidi="ar"/>
                <w14:textFill>
                  <w14:solidFill>
                    <w14:schemeClr w14:val="tx1"/>
                  </w14:solidFill>
                </w14:textFill>
              </w:rPr>
              <w:t>本项目职工人数</w:t>
            </w:r>
            <w:r>
              <w:rPr>
                <w:rFonts w:hint="eastAsia"/>
                <w:color w:val="000000" w:themeColor="text1"/>
                <w:spacing w:val="2"/>
                <w:sz w:val="24"/>
                <w:highlight w:val="none"/>
                <w:lang w:val="en-US" w:eastAsia="zh-CN"/>
                <w14:textFill>
                  <w14:solidFill>
                    <w14:schemeClr w14:val="tx1"/>
                  </w14:solidFill>
                </w14:textFill>
              </w:rPr>
              <w:t>新增16</w:t>
            </w:r>
            <w:r>
              <w:rPr>
                <w:rFonts w:hint="eastAsia"/>
                <w:color w:val="000000" w:themeColor="text1"/>
                <w:spacing w:val="2"/>
                <w:sz w:val="24"/>
                <w:highlight w:val="none"/>
                <w14:textFill>
                  <w14:solidFill>
                    <w14:schemeClr w14:val="tx1"/>
                  </w14:solidFill>
                </w14:textFill>
              </w:rPr>
              <w:t>人</w:t>
            </w:r>
            <w:r>
              <w:rPr>
                <w:rFonts w:hint="default" w:ascii="Times New Roman" w:hAnsi="Times New Roman" w:eastAsia="宋体" w:cs="Times New Roman"/>
                <w:color w:val="000000" w:themeColor="text1"/>
                <w:kern w:val="0"/>
                <w:sz w:val="24"/>
                <w:highlight w:val="none"/>
                <w:lang w:val="en-US" w:eastAsia="zh-CN" w:bidi="ar"/>
                <w14:textFill>
                  <w14:solidFill>
                    <w14:schemeClr w14:val="tx1"/>
                  </w14:solidFill>
                </w14:textFill>
              </w:rPr>
              <w:t>，生活垃圾人均产生量按0.5kg/d计</w:t>
            </w:r>
            <w:r>
              <w:rPr>
                <w:rFonts w:hint="eastAsia"/>
                <w:color w:val="000000" w:themeColor="text1"/>
                <w:spacing w:val="2"/>
                <w:sz w:val="24"/>
                <w:highlight w:val="none"/>
                <w14:textFill>
                  <w14:solidFill>
                    <w14:schemeClr w14:val="tx1"/>
                  </w14:solidFill>
                </w14:textFill>
              </w:rPr>
              <w:t>，全年工作3</w:t>
            </w:r>
            <w:r>
              <w:rPr>
                <w:rFonts w:hint="eastAsia"/>
                <w:color w:val="000000" w:themeColor="text1"/>
                <w:spacing w:val="2"/>
                <w:sz w:val="24"/>
                <w:highlight w:val="none"/>
                <w:lang w:val="en-US" w:eastAsia="zh-CN"/>
                <w14:textFill>
                  <w14:solidFill>
                    <w14:schemeClr w14:val="tx1"/>
                  </w14:solidFill>
                </w14:textFill>
              </w:rPr>
              <w:t>0</w:t>
            </w:r>
            <w:r>
              <w:rPr>
                <w:rFonts w:hint="eastAsia"/>
                <w:color w:val="000000" w:themeColor="text1"/>
                <w:spacing w:val="2"/>
                <w:sz w:val="24"/>
                <w:highlight w:val="none"/>
                <w14:textFill>
                  <w14:solidFill>
                    <w14:schemeClr w14:val="tx1"/>
                  </w14:solidFill>
                </w14:textFill>
              </w:rPr>
              <w:t>0天</w:t>
            </w:r>
            <w:r>
              <w:rPr>
                <w:rFonts w:hint="default" w:ascii="Times New Roman" w:hAnsi="Times New Roman" w:eastAsia="宋体" w:cs="Times New Roman"/>
                <w:color w:val="000000" w:themeColor="text1"/>
                <w:kern w:val="0"/>
                <w:sz w:val="24"/>
                <w:highlight w:val="none"/>
                <w:lang w:val="en-US" w:eastAsia="zh-CN" w:bidi="ar"/>
                <w14:textFill>
                  <w14:solidFill>
                    <w14:schemeClr w14:val="tx1"/>
                  </w14:solidFill>
                </w14:textFill>
              </w:rPr>
              <w:t>，则生活垃圾产生量约为</w:t>
            </w:r>
            <w:r>
              <w:rPr>
                <w:rFonts w:hint="eastAsia" w:cs="Times New Roman"/>
                <w:color w:val="000000" w:themeColor="text1"/>
                <w:kern w:val="0"/>
                <w:sz w:val="24"/>
                <w:highlight w:val="none"/>
                <w:lang w:val="en-US" w:eastAsia="zh-CN" w:bidi="ar"/>
                <w14:textFill>
                  <w14:solidFill>
                    <w14:schemeClr w14:val="tx1"/>
                  </w14:solidFill>
                </w14:textFill>
              </w:rPr>
              <w:t>2.4</w:t>
            </w:r>
            <w:r>
              <w:rPr>
                <w:rFonts w:hint="default" w:ascii="Times New Roman" w:hAnsi="Times New Roman" w:eastAsia="宋体" w:cs="Times New Roman"/>
                <w:color w:val="000000" w:themeColor="text1"/>
                <w:kern w:val="0"/>
                <w:sz w:val="24"/>
                <w:highlight w:val="none"/>
                <w:lang w:val="en-US" w:eastAsia="zh-CN" w:bidi="ar"/>
                <w14:textFill>
                  <w14:solidFill>
                    <w14:schemeClr w14:val="tx1"/>
                  </w14:solidFill>
                </w14:textFill>
              </w:rPr>
              <w:t>t/a，由环卫部门定期清运</w:t>
            </w:r>
            <w:r>
              <w:rPr>
                <w:rFonts w:hint="eastAsia"/>
                <w:color w:val="000000" w:themeColor="text1"/>
                <w:spacing w:val="2"/>
                <w:sz w:val="24"/>
                <w:highlight w:val="none"/>
                <w14:textFill>
                  <w14:solidFill>
                    <w14:schemeClr w14:val="tx1"/>
                  </w14:solidFill>
                </w14:textFill>
              </w:rPr>
              <w:t>。</w:t>
            </w:r>
          </w:p>
          <w:p w14:paraId="600CA70F">
            <w:pPr>
              <w:adjustRightInd w:val="0"/>
              <w:snapToGrid w:val="0"/>
              <w:spacing w:line="440" w:lineRule="exact"/>
              <w:ind w:firstLine="488" w:firstLineChars="200"/>
              <w:rPr>
                <w:rFonts w:hint="eastAsia"/>
                <w:color w:val="000000" w:themeColor="text1"/>
                <w:spacing w:val="2"/>
                <w:sz w:val="24"/>
                <w:highlight w:val="none"/>
                <w14:textFill>
                  <w14:solidFill>
                    <w14:schemeClr w14:val="tx1"/>
                  </w14:solidFill>
                </w14:textFill>
              </w:rPr>
            </w:pPr>
            <w:r>
              <w:rPr>
                <w:rFonts w:hint="eastAsia"/>
                <w:color w:val="000000" w:themeColor="text1"/>
                <w:spacing w:val="2"/>
                <w:sz w:val="24"/>
                <w:highlight w:val="none"/>
                <w:lang w:val="en-US" w:eastAsia="zh-CN"/>
                <w14:textFill>
                  <w14:solidFill>
                    <w14:schemeClr w14:val="tx1"/>
                  </w14:solidFill>
                </w14:textFill>
              </w:rPr>
              <w:t>7</w:t>
            </w:r>
            <w:r>
              <w:rPr>
                <w:color w:val="000000" w:themeColor="text1"/>
                <w:spacing w:val="2"/>
                <w:sz w:val="24"/>
                <w:highlight w:val="none"/>
                <w:lang w:val="zh-CN"/>
                <w14:textFill>
                  <w14:solidFill>
                    <w14:schemeClr w14:val="tx1"/>
                  </w14:solidFill>
                </w14:textFill>
              </w:rPr>
              <w:t>）</w:t>
            </w:r>
            <w:r>
              <w:rPr>
                <w:rFonts w:hint="eastAsia"/>
                <w:color w:val="000000" w:themeColor="text1"/>
                <w:spacing w:val="2"/>
                <w:sz w:val="24"/>
                <w:highlight w:val="none"/>
                <w:lang w:val="en-US" w:eastAsia="zh-CN"/>
                <w14:textFill>
                  <w14:solidFill>
                    <w14:schemeClr w14:val="tx1"/>
                  </w14:solidFill>
                </w14:textFill>
              </w:rPr>
              <w:t>化粪池污泥</w:t>
            </w:r>
            <w:r>
              <w:rPr>
                <w:rFonts w:hint="eastAsia"/>
                <w:color w:val="000000" w:themeColor="text1"/>
                <w:spacing w:val="2"/>
                <w:sz w:val="24"/>
                <w:highlight w:val="none"/>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根据企业提供资料，本次新增生活污水量为1</w:t>
            </w:r>
            <w:r>
              <w:rPr>
                <w:rFonts w:hint="eastAsia" w:cs="Times New Roman"/>
                <w:color w:val="000000" w:themeColor="text1"/>
                <w:sz w:val="24"/>
                <w:szCs w:val="24"/>
                <w:highlight w:val="none"/>
                <w:lang w:val="en-US" w:eastAsia="zh-CN"/>
                <w14:textFill>
                  <w14:solidFill>
                    <w14:schemeClr w14:val="tx1"/>
                  </w14:solidFill>
                </w14:textFill>
              </w:rPr>
              <w:t>92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t/a，SS去除50mg/L，计算的干污泥量约为0.00</w:t>
            </w:r>
            <w:r>
              <w:rPr>
                <w:rFonts w:hint="eastAsia" w:cs="Times New Roman"/>
                <w:color w:val="000000" w:themeColor="text1"/>
                <w:sz w:val="24"/>
                <w:szCs w:val="24"/>
                <w:highlight w:val="none"/>
                <w:lang w:val="en-US" w:eastAsia="zh-CN"/>
                <w14:textFill>
                  <w14:solidFill>
                    <w14:schemeClr w14:val="tx1"/>
                  </w14:solidFill>
                </w14:textFill>
              </w:rPr>
              <w:t>96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t，湿污泥含水率为98%，湿污泥的量=干污泥的量÷2%，则本次新增化粪池污泥的量约为0.</w:t>
            </w:r>
            <w:r>
              <w:rPr>
                <w:rFonts w:hint="eastAsia" w:cs="Times New Roman"/>
                <w:color w:val="000000" w:themeColor="text1"/>
                <w:sz w:val="24"/>
                <w:szCs w:val="24"/>
                <w:highlight w:val="none"/>
                <w:lang w:val="en-US" w:eastAsia="zh-CN"/>
                <w14:textFill>
                  <w14:solidFill>
                    <w14:schemeClr w14:val="tx1"/>
                  </w14:solidFill>
                </w14:textFill>
              </w:rPr>
              <w:t>48</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t/a</w:t>
            </w:r>
            <w:r>
              <w:rPr>
                <w:rFonts w:hint="eastAsia"/>
                <w:color w:val="000000" w:themeColor="text1"/>
                <w:spacing w:val="2"/>
                <w:sz w:val="24"/>
                <w:highlight w:val="none"/>
                <w14:textFill>
                  <w14:solidFill>
                    <w14:schemeClr w14:val="tx1"/>
                  </w14:solidFill>
                </w14:textFill>
              </w:rPr>
              <w:t>。</w:t>
            </w:r>
          </w:p>
          <w:p w14:paraId="6F655DF2">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8</w:t>
            </w:r>
            <w:r>
              <w:rPr>
                <w:color w:val="000000" w:themeColor="text1"/>
                <w:sz w:val="24"/>
                <w:highlight w:val="none"/>
                <w:lang w:val="zh-CN"/>
                <w14:textFill>
                  <w14:solidFill>
                    <w14:schemeClr w14:val="tx1"/>
                  </w14:solidFill>
                </w14:textFill>
              </w:rPr>
              <w:t>）</w:t>
            </w:r>
            <w:r>
              <w:rPr>
                <w:rFonts w:hint="eastAsia"/>
                <w:color w:val="000000" w:themeColor="text1"/>
                <w:sz w:val="24"/>
                <w:highlight w:val="none"/>
                <w:lang w:eastAsia="zh-CN"/>
                <w14:textFill>
                  <w14:solidFill>
                    <w14:schemeClr w14:val="tx1"/>
                  </w14:solidFill>
                </w14:textFill>
              </w:rPr>
              <w:t>废包装物</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本项目原料会产生废包装物，20L包装容器单个重量大约是0.5kg，数量约2500个，则废包装物产生量约为1.25t/a，收集后作为危险废物处置</w:t>
            </w:r>
            <w:r>
              <w:rPr>
                <w:rFonts w:hint="eastAsia"/>
                <w:color w:val="000000" w:themeColor="text1"/>
                <w:sz w:val="24"/>
                <w:highlight w:val="none"/>
                <w14:textFill>
                  <w14:solidFill>
                    <w14:schemeClr w14:val="tx1"/>
                  </w14:solidFill>
                </w14:textFill>
              </w:rPr>
              <w:t>。</w:t>
            </w:r>
          </w:p>
          <w:p w14:paraId="2B58665D">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（2）固体废物鉴别</w:t>
            </w:r>
          </w:p>
          <w:p w14:paraId="5DFE3A36">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根据《固体废物鉴别标准</w:t>
            </w: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lang w:val="zh-CN"/>
                <w14:textFill>
                  <w14:solidFill>
                    <w14:schemeClr w14:val="tx1"/>
                  </w14:solidFill>
                </w14:textFill>
              </w:rPr>
              <w:t>通则》《固体废物分类与代码目录》《江苏省固体废物全过程环境监管工作意见》（2024年1月29日印发）的规定以及按照《建设项目危险废物环境影响评价指南》中相关编制要求，本项目的固体废物鉴别情况见</w:t>
            </w:r>
            <w:r>
              <w:rPr>
                <w:rFonts w:hint="eastAsia"/>
                <w:color w:val="000000" w:themeColor="text1"/>
                <w:sz w:val="24"/>
                <w:highlight w:val="none"/>
                <w:lang w:val="en-US" w:eastAsia="zh-CN"/>
                <w14:textFill>
                  <w14:solidFill>
                    <w14:schemeClr w14:val="tx1"/>
                  </w14:solidFill>
                </w14:textFill>
              </w:rPr>
              <w:t>下表</w:t>
            </w:r>
            <w:r>
              <w:rPr>
                <w:color w:val="000000" w:themeColor="text1"/>
                <w:sz w:val="24"/>
                <w:highlight w:val="none"/>
                <w:lang w:val="zh-CN"/>
                <w14:textFill>
                  <w14:solidFill>
                    <w14:schemeClr w14:val="tx1"/>
                  </w14:solidFill>
                </w14:textFill>
              </w:rPr>
              <w:t>。</w:t>
            </w:r>
          </w:p>
          <w:p w14:paraId="6F6177B0">
            <w:pPr>
              <w:pStyle w:val="125"/>
              <w:numPr>
                <w:ilvl w:val="0"/>
                <w:numId w:val="0"/>
              </w:numPr>
              <w:spacing w:line="440" w:lineRule="exact"/>
              <w:rPr>
                <w:rFonts w:hint="default"/>
                <w:color w:val="000000" w:themeColor="text1"/>
                <w:sz w:val="24"/>
                <w:highlight w:val="none"/>
                <w14:textFill>
                  <w14:solidFill>
                    <w14:schemeClr w14:val="tx1"/>
                  </w14:solidFill>
                </w14:textFill>
              </w:rPr>
            </w:pPr>
            <w:r>
              <w:rPr>
                <w:rFonts w:hint="default"/>
                <w:color w:val="000000" w:themeColor="text1"/>
                <w:sz w:val="24"/>
                <w:highlight w:val="none"/>
                <w14:textFill>
                  <w14:solidFill>
                    <w14:schemeClr w14:val="tx1"/>
                  </w14:solidFill>
                </w14:textFill>
              </w:rPr>
              <w:t>表4-2</w:t>
            </w:r>
            <w:r>
              <w:rPr>
                <w:rFonts w:hint="eastAsia"/>
                <w:color w:val="000000" w:themeColor="text1"/>
                <w:sz w:val="24"/>
                <w:highlight w:val="none"/>
                <w:lang w:val="en-US" w:eastAsia="zh-CN"/>
                <w14:textFill>
                  <w14:solidFill>
                    <w14:schemeClr w14:val="tx1"/>
                  </w14:solidFill>
                </w14:textFill>
              </w:rPr>
              <w:t xml:space="preserve">7  </w:t>
            </w:r>
            <w:r>
              <w:rPr>
                <w:rFonts w:hint="default"/>
                <w:color w:val="000000" w:themeColor="text1"/>
                <w:sz w:val="24"/>
                <w:highlight w:val="none"/>
                <w14:textFill>
                  <w14:solidFill>
                    <w14:schemeClr w14:val="tx1"/>
                  </w14:solidFill>
                </w14:textFill>
              </w:rPr>
              <w:t>本项目固废鉴别情况汇总表（t/a）</w:t>
            </w:r>
          </w:p>
          <w:tbl>
            <w:tblPr>
              <w:tblStyle w:val="38"/>
              <w:tblW w:w="499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22"/>
              <w:gridCol w:w="1593"/>
              <w:gridCol w:w="1257"/>
              <w:gridCol w:w="654"/>
              <w:gridCol w:w="1281"/>
              <w:gridCol w:w="887"/>
              <w:gridCol w:w="1100"/>
              <w:gridCol w:w="1118"/>
            </w:tblGrid>
            <w:tr w14:paraId="3FC9A3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5" w:type="pct"/>
                  <w:vMerge w:val="restart"/>
                  <w:vAlign w:val="center"/>
                </w:tcPr>
                <w:p w14:paraId="305BE310">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序号</w:t>
                  </w:r>
                </w:p>
              </w:tc>
              <w:tc>
                <w:tcPr>
                  <w:tcW w:w="935" w:type="pct"/>
                  <w:vMerge w:val="restart"/>
                  <w:vAlign w:val="center"/>
                </w:tcPr>
                <w:p w14:paraId="521A256B">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副产物名称</w:t>
                  </w:r>
                </w:p>
              </w:tc>
              <w:tc>
                <w:tcPr>
                  <w:tcW w:w="738" w:type="pct"/>
                  <w:vMerge w:val="restart"/>
                  <w:vAlign w:val="center"/>
                </w:tcPr>
                <w:p w14:paraId="439D1454">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产生工序</w:t>
                  </w:r>
                </w:p>
              </w:tc>
              <w:tc>
                <w:tcPr>
                  <w:tcW w:w="384" w:type="pct"/>
                  <w:vMerge w:val="restart"/>
                  <w:vAlign w:val="center"/>
                </w:tcPr>
                <w:p w14:paraId="7CD338B7">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形态</w:t>
                  </w:r>
                </w:p>
              </w:tc>
              <w:tc>
                <w:tcPr>
                  <w:tcW w:w="752" w:type="pct"/>
                  <w:vMerge w:val="restart"/>
                  <w:vAlign w:val="center"/>
                </w:tcPr>
                <w:p w14:paraId="3224D154">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主要成分</w:t>
                  </w:r>
                </w:p>
              </w:tc>
              <w:tc>
                <w:tcPr>
                  <w:tcW w:w="521" w:type="pct"/>
                  <w:vMerge w:val="restart"/>
                  <w:vAlign w:val="center"/>
                </w:tcPr>
                <w:p w14:paraId="2D6673E2">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预测产生量（t/a）</w:t>
                  </w:r>
                </w:p>
              </w:tc>
              <w:tc>
                <w:tcPr>
                  <w:tcW w:w="1302" w:type="pct"/>
                  <w:gridSpan w:val="2"/>
                  <w:vAlign w:val="center"/>
                </w:tcPr>
                <w:p w14:paraId="339226BD">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种类判断</w:t>
                  </w:r>
                </w:p>
              </w:tc>
            </w:tr>
            <w:tr w14:paraId="35049B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5" w:type="pct"/>
                  <w:vMerge w:val="continue"/>
                  <w:vAlign w:val="center"/>
                </w:tcPr>
                <w:p w14:paraId="1F3BF914">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p>
              </w:tc>
              <w:tc>
                <w:tcPr>
                  <w:tcW w:w="935" w:type="pct"/>
                  <w:vMerge w:val="continue"/>
                  <w:vAlign w:val="center"/>
                </w:tcPr>
                <w:p w14:paraId="459ECED2">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p>
              </w:tc>
              <w:tc>
                <w:tcPr>
                  <w:tcW w:w="738" w:type="pct"/>
                  <w:vMerge w:val="continue"/>
                  <w:vAlign w:val="center"/>
                </w:tcPr>
                <w:p w14:paraId="4E908E45">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p>
              </w:tc>
              <w:tc>
                <w:tcPr>
                  <w:tcW w:w="384" w:type="pct"/>
                  <w:vMerge w:val="continue"/>
                  <w:vAlign w:val="center"/>
                </w:tcPr>
                <w:p w14:paraId="200A6080">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p>
              </w:tc>
              <w:tc>
                <w:tcPr>
                  <w:tcW w:w="752" w:type="pct"/>
                  <w:vMerge w:val="continue"/>
                  <w:vAlign w:val="center"/>
                </w:tcPr>
                <w:p w14:paraId="68C4621D">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p>
              </w:tc>
              <w:tc>
                <w:tcPr>
                  <w:tcW w:w="521" w:type="pct"/>
                  <w:vMerge w:val="continue"/>
                  <w:vAlign w:val="center"/>
                </w:tcPr>
                <w:p w14:paraId="71B11112">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p>
              </w:tc>
              <w:tc>
                <w:tcPr>
                  <w:tcW w:w="646" w:type="pct"/>
                  <w:vAlign w:val="center"/>
                </w:tcPr>
                <w:p w14:paraId="25788566">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是否属于固体废物</w:t>
                  </w:r>
                </w:p>
              </w:tc>
              <w:tc>
                <w:tcPr>
                  <w:tcW w:w="656" w:type="pct"/>
                  <w:vAlign w:val="center"/>
                </w:tcPr>
                <w:p w14:paraId="12AB8192">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判定依据</w:t>
                  </w:r>
                </w:p>
              </w:tc>
            </w:tr>
            <w:tr w14:paraId="37CF36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5" w:type="pct"/>
                  <w:vAlign w:val="center"/>
                </w:tcPr>
                <w:p w14:paraId="44BECC6C">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w:t>
                  </w:r>
                </w:p>
              </w:tc>
              <w:tc>
                <w:tcPr>
                  <w:tcW w:w="935" w:type="pct"/>
                  <w:vAlign w:val="center"/>
                </w:tcPr>
                <w:p w14:paraId="78C60CF3">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边角料</w:t>
                  </w:r>
                </w:p>
              </w:tc>
              <w:tc>
                <w:tcPr>
                  <w:tcW w:w="738" w:type="pct"/>
                  <w:vAlign w:val="center"/>
                </w:tcPr>
                <w:p w14:paraId="02172C86">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硫化成型、注射成型</w:t>
                  </w:r>
                </w:p>
              </w:tc>
              <w:tc>
                <w:tcPr>
                  <w:tcW w:w="384" w:type="pct"/>
                  <w:vAlign w:val="center"/>
                </w:tcPr>
                <w:p w14:paraId="2B4BA0AD">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固</w:t>
                  </w:r>
                </w:p>
              </w:tc>
              <w:tc>
                <w:tcPr>
                  <w:tcW w:w="752" w:type="pct"/>
                  <w:vAlign w:val="center"/>
                </w:tcPr>
                <w:p w14:paraId="098350C6">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塑料、橡胶边角料</w:t>
                  </w:r>
                </w:p>
              </w:tc>
              <w:tc>
                <w:tcPr>
                  <w:tcW w:w="521" w:type="pct"/>
                  <w:vAlign w:val="center"/>
                </w:tcPr>
                <w:p w14:paraId="0CC82003">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7.5</w:t>
                  </w:r>
                </w:p>
              </w:tc>
              <w:tc>
                <w:tcPr>
                  <w:tcW w:w="646" w:type="pct"/>
                  <w:vAlign w:val="center"/>
                </w:tcPr>
                <w:p w14:paraId="3B8AFD1D">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是</w:t>
                  </w:r>
                </w:p>
              </w:tc>
              <w:tc>
                <w:tcPr>
                  <w:tcW w:w="656" w:type="pct"/>
                  <w:vMerge w:val="restart"/>
                  <w:vAlign w:val="center"/>
                </w:tcPr>
                <w:p w14:paraId="39DBF48D">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《固体废物鉴别标准</w:t>
                  </w:r>
                  <w:r>
                    <w:rPr>
                      <w:rFonts w:hint="eastAsia"/>
                      <w:color w:val="000000" w:themeColor="text1"/>
                      <w:szCs w:val="21"/>
                      <w:highlight w:val="none"/>
                      <w:lang w:val="en-US" w:eastAsia="zh-CN"/>
                      <w14:textFill>
                        <w14:solidFill>
                          <w14:schemeClr w14:val="tx1"/>
                        </w14:solidFill>
                      </w14:textFill>
                    </w:rPr>
                    <w:t xml:space="preserve"> </w:t>
                  </w:r>
                  <w:r>
                    <w:rPr>
                      <w:color w:val="000000" w:themeColor="text1"/>
                      <w:szCs w:val="21"/>
                      <w:highlight w:val="none"/>
                      <w14:textFill>
                        <w14:solidFill>
                          <w14:schemeClr w14:val="tx1"/>
                        </w14:solidFill>
                      </w14:textFill>
                    </w:rPr>
                    <w:t>通则》</w:t>
                  </w:r>
                </w:p>
              </w:tc>
            </w:tr>
            <w:tr w14:paraId="0EAB35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5" w:type="pct"/>
                  <w:shd w:val="clear" w:color="auto" w:fill="auto"/>
                  <w:vAlign w:val="center"/>
                </w:tcPr>
                <w:p w14:paraId="2EA141A5">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w:t>
                  </w:r>
                </w:p>
              </w:tc>
              <w:tc>
                <w:tcPr>
                  <w:tcW w:w="1593" w:type="dxa"/>
                  <w:vAlign w:val="center"/>
                </w:tcPr>
                <w:p w14:paraId="62B5A708">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不合格品</w:t>
                  </w:r>
                </w:p>
              </w:tc>
              <w:tc>
                <w:tcPr>
                  <w:tcW w:w="1257" w:type="dxa"/>
                  <w:vAlign w:val="center"/>
                </w:tcPr>
                <w:p w14:paraId="4A92E989">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检验</w:t>
                  </w:r>
                </w:p>
              </w:tc>
              <w:tc>
                <w:tcPr>
                  <w:tcW w:w="654" w:type="dxa"/>
                  <w:vAlign w:val="center"/>
                </w:tcPr>
                <w:p w14:paraId="3A172238">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固</w:t>
                  </w:r>
                </w:p>
              </w:tc>
              <w:tc>
                <w:tcPr>
                  <w:tcW w:w="1281" w:type="dxa"/>
                  <w:vAlign w:val="center"/>
                </w:tcPr>
                <w:p w14:paraId="3ADEEED4">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废塑料、废橡胶</w:t>
                  </w:r>
                </w:p>
              </w:tc>
              <w:tc>
                <w:tcPr>
                  <w:tcW w:w="887" w:type="dxa"/>
                  <w:vAlign w:val="center"/>
                </w:tcPr>
                <w:p w14:paraId="6A82CC8E">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1.5</w:t>
                  </w:r>
                </w:p>
              </w:tc>
              <w:tc>
                <w:tcPr>
                  <w:tcW w:w="1100" w:type="dxa"/>
                  <w:vAlign w:val="center"/>
                </w:tcPr>
                <w:p w14:paraId="6E37871E">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是</w:t>
                  </w:r>
                </w:p>
              </w:tc>
              <w:tc>
                <w:tcPr>
                  <w:tcW w:w="656" w:type="pct"/>
                  <w:vMerge w:val="continue"/>
                  <w:vAlign w:val="center"/>
                </w:tcPr>
                <w:p w14:paraId="597832EF">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color w:val="000000" w:themeColor="text1"/>
                      <w:szCs w:val="21"/>
                      <w:highlight w:val="none"/>
                      <w14:textFill>
                        <w14:solidFill>
                          <w14:schemeClr w14:val="tx1"/>
                        </w14:solidFill>
                      </w14:textFill>
                    </w:rPr>
                  </w:pPr>
                </w:p>
              </w:tc>
            </w:tr>
            <w:tr w14:paraId="00255F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5" w:type="pct"/>
                  <w:shd w:val="clear" w:color="auto" w:fill="auto"/>
                  <w:vAlign w:val="center"/>
                </w:tcPr>
                <w:p w14:paraId="677ED094">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w:t>
                  </w:r>
                </w:p>
              </w:tc>
              <w:tc>
                <w:tcPr>
                  <w:tcW w:w="935" w:type="pct"/>
                  <w:shd w:val="clear" w:color="auto" w:fill="auto"/>
                  <w:vAlign w:val="center"/>
                </w:tcPr>
                <w:p w14:paraId="705F9FC1">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废包装材料</w:t>
                  </w:r>
                </w:p>
              </w:tc>
              <w:tc>
                <w:tcPr>
                  <w:tcW w:w="738" w:type="pct"/>
                  <w:shd w:val="clear" w:color="auto" w:fill="auto"/>
                  <w:vAlign w:val="center"/>
                </w:tcPr>
                <w:p w14:paraId="025A306C">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包装</w:t>
                  </w:r>
                </w:p>
              </w:tc>
              <w:tc>
                <w:tcPr>
                  <w:tcW w:w="384" w:type="pct"/>
                  <w:shd w:val="clear" w:color="auto" w:fill="auto"/>
                  <w:vAlign w:val="center"/>
                </w:tcPr>
                <w:p w14:paraId="77942B3A">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固</w:t>
                  </w:r>
                </w:p>
              </w:tc>
              <w:tc>
                <w:tcPr>
                  <w:tcW w:w="752" w:type="pct"/>
                  <w:shd w:val="clear" w:color="auto" w:fill="auto"/>
                  <w:vAlign w:val="center"/>
                </w:tcPr>
                <w:p w14:paraId="2D42298D">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废纸箱</w:t>
                  </w:r>
                </w:p>
              </w:tc>
              <w:tc>
                <w:tcPr>
                  <w:tcW w:w="521" w:type="pct"/>
                  <w:shd w:val="clear" w:color="auto" w:fill="auto"/>
                  <w:vAlign w:val="center"/>
                </w:tcPr>
                <w:p w14:paraId="0165753B">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0.1</w:t>
                  </w:r>
                </w:p>
              </w:tc>
              <w:tc>
                <w:tcPr>
                  <w:tcW w:w="646" w:type="pct"/>
                  <w:shd w:val="clear" w:color="auto" w:fill="auto"/>
                  <w:vAlign w:val="center"/>
                </w:tcPr>
                <w:p w14:paraId="3BFD7B60">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是</w:t>
                  </w:r>
                </w:p>
              </w:tc>
              <w:tc>
                <w:tcPr>
                  <w:tcW w:w="656" w:type="pct"/>
                  <w:vMerge w:val="continue"/>
                  <w:vAlign w:val="center"/>
                </w:tcPr>
                <w:p w14:paraId="3D906F42">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color w:val="000000" w:themeColor="text1"/>
                      <w:szCs w:val="21"/>
                      <w:highlight w:val="none"/>
                      <w14:textFill>
                        <w14:solidFill>
                          <w14:schemeClr w14:val="tx1"/>
                        </w14:solidFill>
                      </w14:textFill>
                    </w:rPr>
                  </w:pPr>
                </w:p>
              </w:tc>
            </w:tr>
            <w:tr w14:paraId="32AC60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5" w:type="pct"/>
                  <w:shd w:val="clear" w:color="auto" w:fill="auto"/>
                  <w:vAlign w:val="center"/>
                </w:tcPr>
                <w:p w14:paraId="7752175A">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4</w:t>
                  </w:r>
                </w:p>
              </w:tc>
              <w:tc>
                <w:tcPr>
                  <w:tcW w:w="935" w:type="pct"/>
                  <w:shd w:val="clear" w:color="auto" w:fill="auto"/>
                  <w:vAlign w:val="center"/>
                </w:tcPr>
                <w:p w14:paraId="243B2F80">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废过滤棉</w:t>
                  </w:r>
                </w:p>
              </w:tc>
              <w:tc>
                <w:tcPr>
                  <w:tcW w:w="738" w:type="pct"/>
                  <w:vMerge w:val="restart"/>
                  <w:shd w:val="clear" w:color="auto" w:fill="auto"/>
                  <w:vAlign w:val="center"/>
                </w:tcPr>
                <w:p w14:paraId="2AB18C8A">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废气处理</w:t>
                  </w:r>
                </w:p>
              </w:tc>
              <w:tc>
                <w:tcPr>
                  <w:tcW w:w="384" w:type="pct"/>
                  <w:vMerge w:val="restart"/>
                  <w:shd w:val="clear" w:color="auto" w:fill="auto"/>
                  <w:vAlign w:val="center"/>
                </w:tcPr>
                <w:p w14:paraId="63997A1F">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固</w:t>
                  </w:r>
                </w:p>
              </w:tc>
              <w:tc>
                <w:tcPr>
                  <w:tcW w:w="752" w:type="pct"/>
                  <w:shd w:val="clear" w:color="auto" w:fill="auto"/>
                  <w:vAlign w:val="center"/>
                </w:tcPr>
                <w:p w14:paraId="56FB6870">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废过滤棉</w:t>
                  </w:r>
                </w:p>
              </w:tc>
              <w:tc>
                <w:tcPr>
                  <w:tcW w:w="521" w:type="pct"/>
                  <w:vAlign w:val="center"/>
                </w:tcPr>
                <w:p w14:paraId="76F403E4">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0.6</w:t>
                  </w:r>
                </w:p>
              </w:tc>
              <w:tc>
                <w:tcPr>
                  <w:tcW w:w="646" w:type="pct"/>
                  <w:vAlign w:val="center"/>
                </w:tcPr>
                <w:p w14:paraId="65FE4A68">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是</w:t>
                  </w:r>
                </w:p>
              </w:tc>
              <w:tc>
                <w:tcPr>
                  <w:tcW w:w="656" w:type="pct"/>
                  <w:vMerge w:val="continue"/>
                  <w:vAlign w:val="center"/>
                </w:tcPr>
                <w:p w14:paraId="558E0747">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color w:val="000000" w:themeColor="text1"/>
                      <w:szCs w:val="21"/>
                      <w:highlight w:val="none"/>
                      <w14:textFill>
                        <w14:solidFill>
                          <w14:schemeClr w14:val="tx1"/>
                        </w14:solidFill>
                      </w14:textFill>
                    </w:rPr>
                  </w:pPr>
                </w:p>
              </w:tc>
            </w:tr>
            <w:tr w14:paraId="18735F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5" w:type="pct"/>
                  <w:shd w:val="clear" w:color="auto" w:fill="auto"/>
                  <w:vAlign w:val="center"/>
                </w:tcPr>
                <w:p w14:paraId="3E6CA337">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5</w:t>
                  </w:r>
                </w:p>
              </w:tc>
              <w:tc>
                <w:tcPr>
                  <w:tcW w:w="935" w:type="pct"/>
                  <w:shd w:val="clear" w:color="auto" w:fill="auto"/>
                  <w:vAlign w:val="center"/>
                </w:tcPr>
                <w:p w14:paraId="14808EA5">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废活性炭</w:t>
                  </w:r>
                </w:p>
              </w:tc>
              <w:tc>
                <w:tcPr>
                  <w:tcW w:w="738" w:type="pct"/>
                  <w:vMerge w:val="continue"/>
                  <w:shd w:val="clear" w:color="auto" w:fill="auto"/>
                  <w:vAlign w:val="center"/>
                </w:tcPr>
                <w:p w14:paraId="2C7CBD6A">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384" w:type="pct"/>
                  <w:vMerge w:val="continue"/>
                  <w:shd w:val="clear" w:color="auto" w:fill="auto"/>
                  <w:vAlign w:val="center"/>
                </w:tcPr>
                <w:p w14:paraId="6EE3E1F2">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752" w:type="pct"/>
                  <w:shd w:val="clear" w:color="auto" w:fill="auto"/>
                  <w:vAlign w:val="center"/>
                </w:tcPr>
                <w:p w14:paraId="5982599C">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废活性炭</w:t>
                  </w:r>
                </w:p>
              </w:tc>
              <w:tc>
                <w:tcPr>
                  <w:tcW w:w="521" w:type="pct"/>
                  <w:shd w:val="clear" w:color="auto" w:fill="auto"/>
                  <w:vAlign w:val="center"/>
                </w:tcPr>
                <w:p w14:paraId="1729F0F9">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5.6</w:t>
                  </w:r>
                </w:p>
              </w:tc>
              <w:tc>
                <w:tcPr>
                  <w:tcW w:w="646" w:type="pct"/>
                  <w:shd w:val="clear" w:color="auto" w:fill="auto"/>
                  <w:vAlign w:val="center"/>
                </w:tcPr>
                <w:p w14:paraId="7815FE0E">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是</w:t>
                  </w:r>
                </w:p>
              </w:tc>
              <w:tc>
                <w:tcPr>
                  <w:tcW w:w="656" w:type="pct"/>
                  <w:vMerge w:val="continue"/>
                  <w:vAlign w:val="center"/>
                </w:tcPr>
                <w:p w14:paraId="1B530CD4">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color w:val="000000" w:themeColor="text1"/>
                      <w:szCs w:val="21"/>
                      <w:highlight w:val="none"/>
                      <w14:textFill>
                        <w14:solidFill>
                          <w14:schemeClr w14:val="tx1"/>
                        </w14:solidFill>
                      </w14:textFill>
                    </w:rPr>
                  </w:pPr>
                </w:p>
              </w:tc>
            </w:tr>
            <w:tr w14:paraId="436F19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5" w:type="pct"/>
                  <w:shd w:val="clear" w:color="auto" w:fill="auto"/>
                  <w:vAlign w:val="center"/>
                </w:tcPr>
                <w:p w14:paraId="3F598AF3">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6</w:t>
                  </w:r>
                </w:p>
              </w:tc>
              <w:tc>
                <w:tcPr>
                  <w:tcW w:w="935" w:type="pct"/>
                  <w:shd w:val="clear" w:color="auto" w:fill="auto"/>
                  <w:vAlign w:val="center"/>
                </w:tcPr>
                <w:p w14:paraId="108B7A1F">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生活垃圾</w:t>
                  </w:r>
                </w:p>
              </w:tc>
              <w:tc>
                <w:tcPr>
                  <w:tcW w:w="738" w:type="pct"/>
                  <w:shd w:val="clear" w:color="auto" w:fill="auto"/>
                  <w:vAlign w:val="center"/>
                </w:tcPr>
                <w:p w14:paraId="1AB754E4">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办公</w:t>
                  </w:r>
                </w:p>
              </w:tc>
              <w:tc>
                <w:tcPr>
                  <w:tcW w:w="384" w:type="pct"/>
                  <w:shd w:val="clear" w:color="auto" w:fill="auto"/>
                  <w:vAlign w:val="center"/>
                </w:tcPr>
                <w:p w14:paraId="361617F5">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固</w:t>
                  </w:r>
                </w:p>
              </w:tc>
              <w:tc>
                <w:tcPr>
                  <w:tcW w:w="752" w:type="pct"/>
                  <w:shd w:val="clear" w:color="auto" w:fill="auto"/>
                  <w:vAlign w:val="center"/>
                </w:tcPr>
                <w:p w14:paraId="1F47437D">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生活垃圾</w:t>
                  </w:r>
                </w:p>
              </w:tc>
              <w:tc>
                <w:tcPr>
                  <w:tcW w:w="521" w:type="pct"/>
                  <w:shd w:val="clear" w:color="auto" w:fill="auto"/>
                  <w:vAlign w:val="center"/>
                </w:tcPr>
                <w:p w14:paraId="2F11F026">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w:t>
                  </w:r>
                </w:p>
              </w:tc>
              <w:tc>
                <w:tcPr>
                  <w:tcW w:w="646" w:type="pct"/>
                  <w:shd w:val="clear" w:color="auto" w:fill="auto"/>
                  <w:vAlign w:val="center"/>
                </w:tcPr>
                <w:p w14:paraId="6E220548">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是</w:t>
                  </w:r>
                </w:p>
              </w:tc>
              <w:tc>
                <w:tcPr>
                  <w:tcW w:w="656" w:type="pct"/>
                  <w:vMerge w:val="continue"/>
                  <w:vAlign w:val="center"/>
                </w:tcPr>
                <w:p w14:paraId="09EBD2C7">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color w:val="000000" w:themeColor="text1"/>
                      <w:szCs w:val="21"/>
                      <w:highlight w:val="none"/>
                      <w14:textFill>
                        <w14:solidFill>
                          <w14:schemeClr w14:val="tx1"/>
                        </w14:solidFill>
                      </w14:textFill>
                    </w:rPr>
                  </w:pPr>
                </w:p>
              </w:tc>
            </w:tr>
            <w:tr w14:paraId="5B9835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5" w:type="pct"/>
                  <w:shd w:val="clear" w:color="auto" w:fill="auto"/>
                  <w:vAlign w:val="center"/>
                </w:tcPr>
                <w:p w14:paraId="1DFB1075">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7</w:t>
                  </w:r>
                </w:p>
              </w:tc>
              <w:tc>
                <w:tcPr>
                  <w:tcW w:w="935" w:type="pct"/>
                  <w:vAlign w:val="center"/>
                </w:tcPr>
                <w:p w14:paraId="44407AB8">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化粪池污泥</w:t>
                  </w:r>
                </w:p>
              </w:tc>
              <w:tc>
                <w:tcPr>
                  <w:tcW w:w="738" w:type="pct"/>
                  <w:vAlign w:val="center"/>
                </w:tcPr>
                <w:p w14:paraId="17F10E9A">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废水处理</w:t>
                  </w:r>
                </w:p>
              </w:tc>
              <w:tc>
                <w:tcPr>
                  <w:tcW w:w="384" w:type="pct"/>
                  <w:vAlign w:val="center"/>
                </w:tcPr>
                <w:p w14:paraId="36F9D3AC">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固</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液</w:t>
                  </w:r>
                </w:p>
              </w:tc>
              <w:tc>
                <w:tcPr>
                  <w:tcW w:w="752" w:type="pct"/>
                  <w:vAlign w:val="center"/>
                </w:tcPr>
                <w:p w14:paraId="7BDE45BB">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化粪池污泥</w:t>
                  </w:r>
                </w:p>
              </w:tc>
              <w:tc>
                <w:tcPr>
                  <w:tcW w:w="521" w:type="pct"/>
                  <w:vAlign w:val="center"/>
                </w:tcPr>
                <w:p w14:paraId="44104C02">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0.48</w:t>
                  </w:r>
                </w:p>
              </w:tc>
              <w:tc>
                <w:tcPr>
                  <w:tcW w:w="646" w:type="pct"/>
                  <w:vAlign w:val="center"/>
                </w:tcPr>
                <w:p w14:paraId="04937A8F">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是</w:t>
                  </w:r>
                </w:p>
              </w:tc>
              <w:tc>
                <w:tcPr>
                  <w:tcW w:w="656" w:type="pct"/>
                  <w:vMerge w:val="continue"/>
                  <w:vAlign w:val="center"/>
                </w:tcPr>
                <w:p w14:paraId="0C55F01C">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color w:val="000000" w:themeColor="text1"/>
                      <w:szCs w:val="21"/>
                      <w:highlight w:val="none"/>
                      <w14:textFill>
                        <w14:solidFill>
                          <w14:schemeClr w14:val="tx1"/>
                        </w14:solidFill>
                      </w14:textFill>
                    </w:rPr>
                  </w:pPr>
                </w:p>
              </w:tc>
            </w:tr>
            <w:tr w14:paraId="457DEC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5" w:type="pct"/>
                  <w:vAlign w:val="center"/>
                </w:tcPr>
                <w:p w14:paraId="7404FAE5">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8</w:t>
                  </w:r>
                </w:p>
              </w:tc>
              <w:tc>
                <w:tcPr>
                  <w:tcW w:w="935" w:type="pct"/>
                  <w:shd w:val="clear" w:color="auto" w:fill="auto"/>
                  <w:vAlign w:val="center"/>
                </w:tcPr>
                <w:p w14:paraId="523FB147">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废包装物</w:t>
                  </w:r>
                </w:p>
              </w:tc>
              <w:tc>
                <w:tcPr>
                  <w:tcW w:w="738" w:type="pct"/>
                  <w:shd w:val="clear" w:color="auto" w:fill="auto"/>
                  <w:vAlign w:val="center"/>
                </w:tcPr>
                <w:p w14:paraId="647FA0C6">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拆除包装</w:t>
                  </w:r>
                </w:p>
              </w:tc>
              <w:tc>
                <w:tcPr>
                  <w:tcW w:w="384" w:type="pct"/>
                  <w:shd w:val="clear" w:color="auto" w:fill="auto"/>
                  <w:vAlign w:val="center"/>
                </w:tcPr>
                <w:p w14:paraId="3B5363E1">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固</w:t>
                  </w:r>
                </w:p>
              </w:tc>
              <w:tc>
                <w:tcPr>
                  <w:tcW w:w="752" w:type="pct"/>
                  <w:shd w:val="clear" w:color="auto" w:fill="auto"/>
                  <w:vAlign w:val="center"/>
                </w:tcPr>
                <w:p w14:paraId="1A726944">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废包装</w:t>
                  </w:r>
                </w:p>
              </w:tc>
              <w:tc>
                <w:tcPr>
                  <w:tcW w:w="521" w:type="pct"/>
                  <w:shd w:val="clear" w:color="auto" w:fill="auto"/>
                  <w:vAlign w:val="center"/>
                </w:tcPr>
                <w:p w14:paraId="25407D66">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1.25</w:t>
                  </w:r>
                </w:p>
              </w:tc>
              <w:tc>
                <w:tcPr>
                  <w:tcW w:w="646" w:type="pct"/>
                  <w:shd w:val="clear" w:color="auto" w:fill="auto"/>
                  <w:vAlign w:val="center"/>
                </w:tcPr>
                <w:p w14:paraId="08754FA1">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是</w:t>
                  </w:r>
                </w:p>
              </w:tc>
              <w:tc>
                <w:tcPr>
                  <w:tcW w:w="656" w:type="pct"/>
                  <w:vMerge w:val="continue"/>
                  <w:vAlign w:val="center"/>
                </w:tcPr>
                <w:p w14:paraId="300C3FA4">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color w:val="000000" w:themeColor="text1"/>
                      <w:szCs w:val="21"/>
                      <w:highlight w:val="none"/>
                      <w14:textFill>
                        <w14:solidFill>
                          <w14:schemeClr w14:val="tx1"/>
                        </w14:solidFill>
                      </w14:textFill>
                    </w:rPr>
                  </w:pPr>
                </w:p>
              </w:tc>
            </w:tr>
          </w:tbl>
          <w:p w14:paraId="024AAFA4">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（3）固体废物属性判定及危险废物汇总</w:t>
            </w:r>
          </w:p>
          <w:p w14:paraId="358BF13E">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本项目产生的固体废物属性判定情况见</w:t>
            </w:r>
            <w:r>
              <w:rPr>
                <w:rFonts w:hint="eastAsia"/>
                <w:color w:val="000000" w:themeColor="text1"/>
                <w:sz w:val="24"/>
                <w:highlight w:val="none"/>
                <w:lang w:val="en-US" w:eastAsia="zh-CN"/>
                <w14:textFill>
                  <w14:solidFill>
                    <w14:schemeClr w14:val="tx1"/>
                  </w14:solidFill>
                </w14:textFill>
              </w:rPr>
              <w:t>下表</w:t>
            </w:r>
            <w:r>
              <w:rPr>
                <w:color w:val="000000" w:themeColor="text1"/>
                <w:sz w:val="24"/>
                <w:highlight w:val="none"/>
                <w:lang w:val="zh-CN"/>
                <w14:textFill>
                  <w14:solidFill>
                    <w14:schemeClr w14:val="tx1"/>
                  </w14:solidFill>
                </w14:textFill>
              </w:rPr>
              <w:t>。</w:t>
            </w:r>
          </w:p>
          <w:p w14:paraId="7F9AD85A">
            <w:pPr>
              <w:pStyle w:val="125"/>
              <w:numPr>
                <w:ilvl w:val="0"/>
                <w:numId w:val="0"/>
              </w:numPr>
              <w:spacing w:line="440" w:lineRule="exact"/>
              <w:rPr>
                <w:rFonts w:hint="default"/>
                <w:color w:val="000000" w:themeColor="text1"/>
                <w:sz w:val="24"/>
                <w:highlight w:val="none"/>
                <w14:textFill>
                  <w14:solidFill>
                    <w14:schemeClr w14:val="tx1"/>
                  </w14:solidFill>
                </w14:textFill>
              </w:rPr>
            </w:pPr>
            <w:r>
              <w:rPr>
                <w:rFonts w:hint="default"/>
                <w:color w:val="000000" w:themeColor="text1"/>
                <w:sz w:val="24"/>
                <w:highlight w:val="none"/>
                <w14:textFill>
                  <w14:solidFill>
                    <w14:schemeClr w14:val="tx1"/>
                  </w14:solidFill>
                </w14:textFill>
              </w:rPr>
              <w:t>表4-2</w:t>
            </w:r>
            <w:r>
              <w:rPr>
                <w:rFonts w:hint="eastAsia"/>
                <w:color w:val="000000" w:themeColor="text1"/>
                <w:sz w:val="24"/>
                <w:highlight w:val="none"/>
                <w:lang w:val="en-US" w:eastAsia="zh-CN"/>
                <w14:textFill>
                  <w14:solidFill>
                    <w14:schemeClr w14:val="tx1"/>
                  </w14:solidFill>
                </w14:textFill>
              </w:rPr>
              <w:t xml:space="preserve">8  </w:t>
            </w:r>
            <w:r>
              <w:rPr>
                <w:rFonts w:hint="default"/>
                <w:color w:val="000000" w:themeColor="text1"/>
                <w:sz w:val="24"/>
                <w:highlight w:val="none"/>
                <w14:textFill>
                  <w14:solidFill>
                    <w14:schemeClr w14:val="tx1"/>
                  </w14:solidFill>
                </w14:textFill>
              </w:rPr>
              <w:t>本项目固体废物分析结果汇总表（t/a）</w:t>
            </w:r>
          </w:p>
          <w:tbl>
            <w:tblPr>
              <w:tblStyle w:val="38"/>
              <w:tblW w:w="4994"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0" w:type="dxa"/>
                <w:bottom w:w="0" w:type="dxa"/>
                <w:right w:w="0" w:type="dxa"/>
              </w:tblCellMar>
            </w:tblPr>
            <w:tblGrid>
              <w:gridCol w:w="1135"/>
              <w:gridCol w:w="370"/>
              <w:gridCol w:w="1060"/>
              <w:gridCol w:w="491"/>
              <w:gridCol w:w="641"/>
              <w:gridCol w:w="716"/>
              <w:gridCol w:w="663"/>
              <w:gridCol w:w="699"/>
              <w:gridCol w:w="1324"/>
              <w:gridCol w:w="752"/>
              <w:gridCol w:w="661"/>
            </w:tblGrid>
            <w:tr w14:paraId="02AA56A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1" w:hRule="atLeast"/>
              </w:trPr>
              <w:tc>
                <w:tcPr>
                  <w:tcW w:w="666" w:type="pct"/>
                  <w:vAlign w:val="center"/>
                </w:tcPr>
                <w:p w14:paraId="1A72500D">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固废名称</w:t>
                  </w:r>
                </w:p>
              </w:tc>
              <w:tc>
                <w:tcPr>
                  <w:tcW w:w="217" w:type="pct"/>
                  <w:vAlign w:val="center"/>
                </w:tcPr>
                <w:p w14:paraId="1B7E582A">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属性</w:t>
                  </w:r>
                </w:p>
              </w:tc>
              <w:tc>
                <w:tcPr>
                  <w:tcW w:w="622" w:type="pct"/>
                  <w:vAlign w:val="center"/>
                </w:tcPr>
                <w:p w14:paraId="7859CE1F">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产生工序</w:t>
                  </w:r>
                </w:p>
              </w:tc>
              <w:tc>
                <w:tcPr>
                  <w:tcW w:w="288" w:type="pct"/>
                  <w:vAlign w:val="center"/>
                </w:tcPr>
                <w:p w14:paraId="48260090">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形态</w:t>
                  </w:r>
                </w:p>
              </w:tc>
              <w:tc>
                <w:tcPr>
                  <w:tcW w:w="376" w:type="pct"/>
                  <w:vAlign w:val="center"/>
                </w:tcPr>
                <w:p w14:paraId="75052FF1">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主要成分</w:t>
                  </w:r>
                </w:p>
              </w:tc>
              <w:tc>
                <w:tcPr>
                  <w:tcW w:w="420" w:type="pct"/>
                  <w:vAlign w:val="center"/>
                </w:tcPr>
                <w:p w14:paraId="7827FD80">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危险特性鉴别方法</w:t>
                  </w:r>
                </w:p>
              </w:tc>
              <w:tc>
                <w:tcPr>
                  <w:tcW w:w="389" w:type="pct"/>
                  <w:vAlign w:val="center"/>
                </w:tcPr>
                <w:p w14:paraId="592EFEEB">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危险特性</w:t>
                  </w:r>
                </w:p>
              </w:tc>
              <w:tc>
                <w:tcPr>
                  <w:tcW w:w="410" w:type="pct"/>
                  <w:vAlign w:val="center"/>
                </w:tcPr>
                <w:p w14:paraId="15F0B810">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废物类别</w:t>
                  </w:r>
                </w:p>
              </w:tc>
              <w:tc>
                <w:tcPr>
                  <w:tcW w:w="777" w:type="pct"/>
                  <w:vAlign w:val="center"/>
                </w:tcPr>
                <w:p w14:paraId="4A188D8A">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废物代码</w:t>
                  </w:r>
                </w:p>
              </w:tc>
              <w:tc>
                <w:tcPr>
                  <w:tcW w:w="441" w:type="pct"/>
                  <w:tcBorders>
                    <w:right w:val="single" w:color="auto" w:sz="4" w:space="0"/>
                  </w:tcBorders>
                  <w:vAlign w:val="center"/>
                </w:tcPr>
                <w:p w14:paraId="5740A743">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产生量</w:t>
                  </w:r>
                </w:p>
                <w:p w14:paraId="43A6C856">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（t/a）</w:t>
                  </w:r>
                </w:p>
              </w:tc>
              <w:tc>
                <w:tcPr>
                  <w:tcW w:w="388" w:type="pct"/>
                  <w:tcBorders>
                    <w:left w:val="single" w:color="auto" w:sz="4" w:space="0"/>
                  </w:tcBorders>
                  <w:vAlign w:val="center"/>
                </w:tcPr>
                <w:p w14:paraId="09E688D8">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拟采取的处理处置方式</w:t>
                  </w:r>
                </w:p>
              </w:tc>
            </w:tr>
            <w:tr w14:paraId="339FCA6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551" w:hRule="atLeast"/>
              </w:trPr>
              <w:tc>
                <w:tcPr>
                  <w:tcW w:w="666" w:type="pct"/>
                  <w:shd w:val="clear" w:color="auto" w:fill="auto"/>
                  <w:vAlign w:val="center"/>
                </w:tcPr>
                <w:p w14:paraId="0396E505">
                  <w:pPr>
                    <w:keepNext w:val="0"/>
                    <w:keepLines w:val="0"/>
                    <w:widowControl/>
                    <w:suppressLineNumbers w:val="0"/>
                    <w:jc w:val="center"/>
                    <w:textAlignment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边角料</w:t>
                  </w:r>
                </w:p>
              </w:tc>
              <w:tc>
                <w:tcPr>
                  <w:tcW w:w="217" w:type="pct"/>
                  <w:vMerge w:val="restart"/>
                  <w:shd w:val="clear" w:color="auto" w:fill="auto"/>
                  <w:vAlign w:val="center"/>
                </w:tcPr>
                <w:p w14:paraId="585B18B3">
                  <w:pPr>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一般固废</w:t>
                  </w:r>
                </w:p>
              </w:tc>
              <w:tc>
                <w:tcPr>
                  <w:tcW w:w="1060" w:type="dxa"/>
                  <w:shd w:val="clear" w:color="auto" w:fill="auto"/>
                  <w:vAlign w:val="center"/>
                </w:tcPr>
                <w:p w14:paraId="2742A931">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硫化成型、注射成型</w:t>
                  </w:r>
                </w:p>
              </w:tc>
              <w:tc>
                <w:tcPr>
                  <w:tcW w:w="491" w:type="dxa"/>
                  <w:shd w:val="clear" w:color="auto" w:fill="auto"/>
                  <w:vAlign w:val="center"/>
                </w:tcPr>
                <w:p w14:paraId="536CD380">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固</w:t>
                  </w:r>
                </w:p>
              </w:tc>
              <w:tc>
                <w:tcPr>
                  <w:tcW w:w="641" w:type="dxa"/>
                  <w:shd w:val="clear" w:color="auto" w:fill="auto"/>
                  <w:vAlign w:val="center"/>
                </w:tcPr>
                <w:p w14:paraId="23C09A3A">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塑料、橡胶边角料</w:t>
                  </w:r>
                </w:p>
              </w:tc>
              <w:tc>
                <w:tcPr>
                  <w:tcW w:w="420" w:type="pct"/>
                  <w:vMerge w:val="restart"/>
                  <w:shd w:val="clear" w:color="auto" w:fill="auto"/>
                  <w:vAlign w:val="center"/>
                </w:tcPr>
                <w:p w14:paraId="5160CE2E">
                  <w:pPr>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《国家危险废物名录》《固体废物分类与代码目录》</w:t>
                  </w:r>
                </w:p>
              </w:tc>
              <w:tc>
                <w:tcPr>
                  <w:tcW w:w="389" w:type="pct"/>
                  <w:shd w:val="clear" w:color="auto" w:fill="auto"/>
                  <w:vAlign w:val="center"/>
                </w:tcPr>
                <w:p w14:paraId="2AC8F557">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410" w:type="pct"/>
                  <w:shd w:val="clear" w:color="auto" w:fill="auto"/>
                  <w:vAlign w:val="center"/>
                </w:tcPr>
                <w:p w14:paraId="18DB4971">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SW17</w:t>
                  </w:r>
                </w:p>
              </w:tc>
              <w:tc>
                <w:tcPr>
                  <w:tcW w:w="777" w:type="pct"/>
                  <w:shd w:val="clear" w:color="auto" w:fill="auto"/>
                  <w:vAlign w:val="center"/>
                </w:tcPr>
                <w:p w14:paraId="1B1F8739">
                  <w:pPr>
                    <w:snapToGrid w:val="0"/>
                    <w:spacing w:line="240" w:lineRule="exact"/>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900-00</w:t>
                  </w:r>
                  <w:r>
                    <w:rPr>
                      <w:rFonts w:hint="eastAsia"/>
                      <w:color w:val="000000" w:themeColor="text1"/>
                      <w:szCs w:val="21"/>
                      <w:highlight w:val="none"/>
                      <w:lang w:val="en-US" w:eastAsia="zh-CN"/>
                      <w14:textFill>
                        <w14:solidFill>
                          <w14:schemeClr w14:val="tx1"/>
                        </w14:solidFill>
                      </w14:textFill>
                    </w:rPr>
                    <w:t>3</w:t>
                  </w:r>
                  <w:r>
                    <w:rPr>
                      <w:rFonts w:hint="eastAsia"/>
                      <w:color w:val="000000" w:themeColor="text1"/>
                      <w:szCs w:val="21"/>
                      <w:highlight w:val="none"/>
                      <w14:textFill>
                        <w14:solidFill>
                          <w14:schemeClr w14:val="tx1"/>
                        </w14:solidFill>
                      </w14:textFill>
                    </w:rPr>
                    <w:t>-S17</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900-00</w:t>
                  </w:r>
                  <w:r>
                    <w:rPr>
                      <w:rFonts w:hint="eastAsia"/>
                      <w:color w:val="000000" w:themeColor="text1"/>
                      <w:szCs w:val="21"/>
                      <w:highlight w:val="none"/>
                      <w:lang w:val="en-US" w:eastAsia="zh-CN"/>
                      <w14:textFill>
                        <w14:solidFill>
                          <w14:schemeClr w14:val="tx1"/>
                        </w14:solidFill>
                      </w14:textFill>
                    </w:rPr>
                    <w:t>6</w:t>
                  </w:r>
                  <w:r>
                    <w:rPr>
                      <w:rFonts w:hint="eastAsia"/>
                      <w:color w:val="000000" w:themeColor="text1"/>
                      <w:szCs w:val="21"/>
                      <w:highlight w:val="none"/>
                      <w14:textFill>
                        <w14:solidFill>
                          <w14:schemeClr w14:val="tx1"/>
                        </w14:solidFill>
                      </w14:textFill>
                    </w:rPr>
                    <w:t>-S17</w:t>
                  </w:r>
                </w:p>
              </w:tc>
              <w:tc>
                <w:tcPr>
                  <w:tcW w:w="441" w:type="pct"/>
                  <w:tcBorders>
                    <w:right w:val="single" w:color="auto" w:sz="4" w:space="0"/>
                  </w:tcBorders>
                  <w:shd w:val="clear" w:color="auto" w:fill="auto"/>
                  <w:vAlign w:val="center"/>
                </w:tcPr>
                <w:p w14:paraId="5E4AF2D2">
                  <w:pPr>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388" w:type="pct"/>
                  <w:vMerge w:val="restart"/>
                  <w:tcBorders>
                    <w:left w:val="single" w:color="auto" w:sz="4" w:space="0"/>
                  </w:tcBorders>
                  <w:shd w:val="clear" w:color="auto" w:fill="auto"/>
                  <w:vAlign w:val="center"/>
                </w:tcPr>
                <w:p w14:paraId="15085B91">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外售</w:t>
                  </w:r>
                </w:p>
              </w:tc>
            </w:tr>
            <w:tr w14:paraId="1C6171A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551" w:hRule="atLeast"/>
              </w:trPr>
              <w:tc>
                <w:tcPr>
                  <w:tcW w:w="666" w:type="pct"/>
                  <w:shd w:val="clear" w:color="auto" w:fill="auto"/>
                  <w:vAlign w:val="center"/>
                </w:tcPr>
                <w:p w14:paraId="02553E66">
                  <w:pPr>
                    <w:keepNext w:val="0"/>
                    <w:keepLines w:val="0"/>
                    <w:widowControl/>
                    <w:suppressLineNumbers w:val="0"/>
                    <w:jc w:val="center"/>
                    <w:textAlignment w:val="cente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不合格品</w:t>
                  </w:r>
                </w:p>
              </w:tc>
              <w:tc>
                <w:tcPr>
                  <w:tcW w:w="217" w:type="pct"/>
                  <w:vMerge w:val="continue"/>
                  <w:shd w:val="clear" w:color="auto" w:fill="auto"/>
                  <w:vAlign w:val="center"/>
                </w:tcPr>
                <w:p w14:paraId="5C32A908">
                  <w:pPr>
                    <w:spacing w:line="240" w:lineRule="exact"/>
                    <w:jc w:val="center"/>
                    <w:rPr>
                      <w:rFonts w:hint="eastAsia"/>
                      <w:color w:val="000000" w:themeColor="text1"/>
                      <w:szCs w:val="21"/>
                      <w:highlight w:val="none"/>
                      <w14:textFill>
                        <w14:solidFill>
                          <w14:schemeClr w14:val="tx1"/>
                        </w14:solidFill>
                      </w14:textFill>
                    </w:rPr>
                  </w:pPr>
                </w:p>
              </w:tc>
              <w:tc>
                <w:tcPr>
                  <w:tcW w:w="622" w:type="pct"/>
                  <w:shd w:val="clear" w:color="auto" w:fill="auto"/>
                  <w:vAlign w:val="center"/>
                </w:tcPr>
                <w:p w14:paraId="243BFC93">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检验</w:t>
                  </w:r>
                </w:p>
              </w:tc>
              <w:tc>
                <w:tcPr>
                  <w:tcW w:w="288" w:type="pct"/>
                  <w:shd w:val="clear" w:color="auto" w:fill="auto"/>
                  <w:vAlign w:val="center"/>
                </w:tcPr>
                <w:p w14:paraId="50C200B6">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固</w:t>
                  </w:r>
                </w:p>
              </w:tc>
              <w:tc>
                <w:tcPr>
                  <w:tcW w:w="376" w:type="pct"/>
                  <w:shd w:val="clear" w:color="auto" w:fill="auto"/>
                  <w:vAlign w:val="center"/>
                </w:tcPr>
                <w:p w14:paraId="3A6F52C7">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废塑料、废橡胶</w:t>
                  </w:r>
                </w:p>
              </w:tc>
              <w:tc>
                <w:tcPr>
                  <w:tcW w:w="420" w:type="pct"/>
                  <w:vMerge w:val="continue"/>
                  <w:shd w:val="clear" w:color="auto" w:fill="auto"/>
                  <w:vAlign w:val="center"/>
                </w:tcPr>
                <w:p w14:paraId="679062CC">
                  <w:pPr>
                    <w:spacing w:line="240" w:lineRule="exact"/>
                    <w:jc w:val="center"/>
                    <w:rPr>
                      <w:color w:val="000000" w:themeColor="text1"/>
                      <w:szCs w:val="21"/>
                      <w:highlight w:val="none"/>
                      <w14:textFill>
                        <w14:solidFill>
                          <w14:schemeClr w14:val="tx1"/>
                        </w14:solidFill>
                      </w14:textFill>
                    </w:rPr>
                  </w:pPr>
                </w:p>
              </w:tc>
              <w:tc>
                <w:tcPr>
                  <w:tcW w:w="663" w:type="dxa"/>
                  <w:shd w:val="clear" w:color="auto" w:fill="auto"/>
                  <w:vAlign w:val="center"/>
                </w:tcPr>
                <w:p w14:paraId="279D7206">
                  <w:pPr>
                    <w:snapToGrid w:val="0"/>
                    <w:spacing w:line="240" w:lineRule="exact"/>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699" w:type="dxa"/>
                  <w:shd w:val="clear" w:color="auto" w:fill="auto"/>
                  <w:vAlign w:val="center"/>
                </w:tcPr>
                <w:p w14:paraId="3906CD10">
                  <w:pPr>
                    <w:snapToGrid w:val="0"/>
                    <w:spacing w:line="240" w:lineRule="exact"/>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SW17</w:t>
                  </w:r>
                </w:p>
              </w:tc>
              <w:tc>
                <w:tcPr>
                  <w:tcW w:w="1324" w:type="dxa"/>
                  <w:shd w:val="clear" w:color="auto" w:fill="auto"/>
                  <w:vAlign w:val="center"/>
                </w:tcPr>
                <w:p w14:paraId="1A2289A3">
                  <w:pPr>
                    <w:snapToGrid w:val="0"/>
                    <w:spacing w:line="240" w:lineRule="exact"/>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900-00</w:t>
                  </w:r>
                  <w:r>
                    <w:rPr>
                      <w:rFonts w:hint="eastAsia"/>
                      <w:color w:val="000000" w:themeColor="text1"/>
                      <w:szCs w:val="21"/>
                      <w:highlight w:val="none"/>
                      <w:lang w:val="en-US" w:eastAsia="zh-CN"/>
                      <w14:textFill>
                        <w14:solidFill>
                          <w14:schemeClr w14:val="tx1"/>
                        </w14:solidFill>
                      </w14:textFill>
                    </w:rPr>
                    <w:t>3</w:t>
                  </w:r>
                  <w:r>
                    <w:rPr>
                      <w:rFonts w:hint="eastAsia"/>
                      <w:color w:val="000000" w:themeColor="text1"/>
                      <w:szCs w:val="21"/>
                      <w:highlight w:val="none"/>
                      <w14:textFill>
                        <w14:solidFill>
                          <w14:schemeClr w14:val="tx1"/>
                        </w14:solidFill>
                      </w14:textFill>
                    </w:rPr>
                    <w:t>-S17</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900-00</w:t>
                  </w:r>
                  <w:r>
                    <w:rPr>
                      <w:rFonts w:hint="eastAsia"/>
                      <w:color w:val="000000" w:themeColor="text1"/>
                      <w:szCs w:val="21"/>
                      <w:highlight w:val="none"/>
                      <w:lang w:val="en-US" w:eastAsia="zh-CN"/>
                      <w14:textFill>
                        <w14:solidFill>
                          <w14:schemeClr w14:val="tx1"/>
                        </w14:solidFill>
                      </w14:textFill>
                    </w:rPr>
                    <w:t>6</w:t>
                  </w:r>
                  <w:r>
                    <w:rPr>
                      <w:rFonts w:hint="eastAsia"/>
                      <w:color w:val="000000" w:themeColor="text1"/>
                      <w:szCs w:val="21"/>
                      <w:highlight w:val="none"/>
                      <w14:textFill>
                        <w14:solidFill>
                          <w14:schemeClr w14:val="tx1"/>
                        </w14:solidFill>
                      </w14:textFill>
                    </w:rPr>
                    <w:t>-S17</w:t>
                  </w:r>
                </w:p>
              </w:tc>
              <w:tc>
                <w:tcPr>
                  <w:tcW w:w="752" w:type="dxa"/>
                  <w:tcBorders>
                    <w:right w:val="single" w:color="auto" w:sz="4" w:space="0"/>
                  </w:tcBorders>
                  <w:shd w:val="clear" w:color="auto" w:fill="auto"/>
                  <w:vAlign w:val="center"/>
                </w:tcPr>
                <w:p w14:paraId="275EBEDE">
                  <w:pPr>
                    <w:spacing w:line="240" w:lineRule="exact"/>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1.5</w:t>
                  </w:r>
                </w:p>
              </w:tc>
              <w:tc>
                <w:tcPr>
                  <w:tcW w:w="388" w:type="pct"/>
                  <w:vMerge w:val="continue"/>
                  <w:tcBorders>
                    <w:left w:val="single" w:color="auto" w:sz="4" w:space="0"/>
                  </w:tcBorders>
                  <w:shd w:val="clear" w:color="auto" w:fill="auto"/>
                  <w:vAlign w:val="center"/>
                </w:tcPr>
                <w:p w14:paraId="58F49F54">
                  <w:pPr>
                    <w:jc w:val="center"/>
                    <w:rPr>
                      <w:rFonts w:hint="eastAsia"/>
                      <w:color w:val="000000" w:themeColor="text1"/>
                      <w:szCs w:val="21"/>
                      <w:highlight w:val="none"/>
                      <w14:textFill>
                        <w14:solidFill>
                          <w14:schemeClr w14:val="tx1"/>
                        </w14:solidFill>
                      </w14:textFill>
                    </w:rPr>
                  </w:pPr>
                </w:p>
              </w:tc>
            </w:tr>
            <w:tr w14:paraId="740292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551" w:hRule="atLeast"/>
              </w:trPr>
              <w:tc>
                <w:tcPr>
                  <w:tcW w:w="666" w:type="pct"/>
                  <w:shd w:val="clear" w:color="auto" w:fill="auto"/>
                  <w:vAlign w:val="center"/>
                </w:tcPr>
                <w:p w14:paraId="6772AE6A">
                  <w:pPr>
                    <w:keepNext w:val="0"/>
                    <w:keepLines w:val="0"/>
                    <w:widowControl/>
                    <w:suppressLineNumbers w:val="0"/>
                    <w:jc w:val="center"/>
                    <w:textAlignment w:val="center"/>
                    <w:rPr>
                      <w:rFonts w:hint="default"/>
                      <w:color w:val="000000" w:themeColor="text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废包装材料</w:t>
                  </w:r>
                </w:p>
              </w:tc>
              <w:tc>
                <w:tcPr>
                  <w:tcW w:w="217" w:type="pct"/>
                  <w:vMerge w:val="continue"/>
                  <w:shd w:val="clear" w:color="auto" w:fill="auto"/>
                  <w:vAlign w:val="center"/>
                </w:tcPr>
                <w:p w14:paraId="310D6054">
                  <w:pPr>
                    <w:spacing w:line="240" w:lineRule="exact"/>
                    <w:jc w:val="center"/>
                    <w:rPr>
                      <w:color w:val="000000" w:themeColor="text1"/>
                      <w:szCs w:val="21"/>
                      <w:highlight w:val="none"/>
                      <w14:textFill>
                        <w14:solidFill>
                          <w14:schemeClr w14:val="tx1"/>
                        </w14:solidFill>
                      </w14:textFill>
                    </w:rPr>
                  </w:pPr>
                </w:p>
              </w:tc>
              <w:tc>
                <w:tcPr>
                  <w:tcW w:w="622" w:type="pct"/>
                  <w:shd w:val="clear" w:color="auto" w:fill="auto"/>
                  <w:vAlign w:val="center"/>
                </w:tcPr>
                <w:p w14:paraId="6FDF5EFA">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包装</w:t>
                  </w:r>
                </w:p>
              </w:tc>
              <w:tc>
                <w:tcPr>
                  <w:tcW w:w="288" w:type="pct"/>
                  <w:shd w:val="clear" w:color="auto" w:fill="auto"/>
                  <w:vAlign w:val="center"/>
                </w:tcPr>
                <w:p w14:paraId="1AB9A762">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固</w:t>
                  </w:r>
                </w:p>
              </w:tc>
              <w:tc>
                <w:tcPr>
                  <w:tcW w:w="376" w:type="pct"/>
                  <w:shd w:val="clear" w:color="auto" w:fill="auto"/>
                  <w:vAlign w:val="center"/>
                </w:tcPr>
                <w:p w14:paraId="595C1A30">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废纸箱</w:t>
                  </w:r>
                </w:p>
              </w:tc>
              <w:tc>
                <w:tcPr>
                  <w:tcW w:w="420" w:type="pct"/>
                  <w:vMerge w:val="continue"/>
                  <w:shd w:val="clear" w:color="auto" w:fill="auto"/>
                  <w:vAlign w:val="center"/>
                </w:tcPr>
                <w:p w14:paraId="2E8F3874">
                  <w:pPr>
                    <w:spacing w:line="240" w:lineRule="exact"/>
                    <w:jc w:val="center"/>
                    <w:rPr>
                      <w:color w:val="000000" w:themeColor="text1"/>
                      <w:szCs w:val="21"/>
                      <w:highlight w:val="none"/>
                      <w14:textFill>
                        <w14:solidFill>
                          <w14:schemeClr w14:val="tx1"/>
                        </w14:solidFill>
                      </w14:textFill>
                    </w:rPr>
                  </w:pPr>
                </w:p>
              </w:tc>
              <w:tc>
                <w:tcPr>
                  <w:tcW w:w="389" w:type="pct"/>
                  <w:shd w:val="clear" w:color="auto" w:fill="auto"/>
                  <w:vAlign w:val="center"/>
                </w:tcPr>
                <w:p w14:paraId="1E1A6FC7">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410" w:type="pct"/>
                  <w:shd w:val="clear" w:color="auto" w:fill="auto"/>
                  <w:vAlign w:val="center"/>
                </w:tcPr>
                <w:p w14:paraId="4073D34A">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SW17</w:t>
                  </w:r>
                </w:p>
              </w:tc>
              <w:tc>
                <w:tcPr>
                  <w:tcW w:w="777" w:type="pct"/>
                  <w:shd w:val="clear" w:color="auto" w:fill="auto"/>
                  <w:vAlign w:val="center"/>
                </w:tcPr>
                <w:p w14:paraId="6181631D">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900-005-S17</w:t>
                  </w:r>
                </w:p>
              </w:tc>
              <w:tc>
                <w:tcPr>
                  <w:tcW w:w="441" w:type="pct"/>
                  <w:tcBorders>
                    <w:right w:val="single" w:color="auto" w:sz="4" w:space="0"/>
                  </w:tcBorders>
                  <w:shd w:val="clear" w:color="auto" w:fill="auto"/>
                  <w:vAlign w:val="center"/>
                </w:tcPr>
                <w:p w14:paraId="715BB5CC">
                  <w:pPr>
                    <w:spacing w:line="24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0.1</w:t>
                  </w:r>
                </w:p>
              </w:tc>
              <w:tc>
                <w:tcPr>
                  <w:tcW w:w="388" w:type="pct"/>
                  <w:vMerge w:val="continue"/>
                  <w:tcBorders>
                    <w:left w:val="single" w:color="auto" w:sz="4" w:space="0"/>
                  </w:tcBorders>
                  <w:shd w:val="clear" w:color="auto" w:fill="auto"/>
                  <w:vAlign w:val="center"/>
                </w:tcPr>
                <w:p w14:paraId="5B31EE31">
                  <w:pPr>
                    <w:jc w:val="center"/>
                    <w:rPr>
                      <w:color w:val="000000" w:themeColor="text1"/>
                      <w:szCs w:val="21"/>
                      <w:highlight w:val="none"/>
                      <w14:textFill>
                        <w14:solidFill>
                          <w14:schemeClr w14:val="tx1"/>
                        </w14:solidFill>
                      </w14:textFill>
                    </w:rPr>
                  </w:pPr>
                </w:p>
              </w:tc>
            </w:tr>
            <w:tr w14:paraId="0579690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551" w:hRule="atLeast"/>
              </w:trPr>
              <w:tc>
                <w:tcPr>
                  <w:tcW w:w="666" w:type="pct"/>
                  <w:shd w:val="clear" w:color="auto" w:fill="auto"/>
                  <w:vAlign w:val="center"/>
                </w:tcPr>
                <w:p w14:paraId="616259EB">
                  <w:pPr>
                    <w:keepNext w:val="0"/>
                    <w:keepLines w:val="0"/>
                    <w:widowControl/>
                    <w:suppressLineNumbers w:val="0"/>
                    <w:jc w:val="center"/>
                    <w:textAlignment w:val="center"/>
                    <w:rPr>
                      <w:rFonts w:hint="eastAsia"/>
                      <w:color w:val="000000" w:themeColor="text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生活垃圾</w:t>
                  </w:r>
                </w:p>
              </w:tc>
              <w:tc>
                <w:tcPr>
                  <w:tcW w:w="217" w:type="pct"/>
                  <w:vMerge w:val="restart"/>
                  <w:shd w:val="clear" w:color="auto" w:fill="auto"/>
                  <w:vAlign w:val="center"/>
                </w:tcPr>
                <w:p w14:paraId="7153D293">
                  <w:pPr>
                    <w:spacing w:line="240" w:lineRule="exact"/>
                    <w:jc w:val="center"/>
                    <w:rPr>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生活垃圾</w:t>
                  </w:r>
                </w:p>
              </w:tc>
              <w:tc>
                <w:tcPr>
                  <w:tcW w:w="622" w:type="pct"/>
                  <w:shd w:val="clear" w:color="auto" w:fill="auto"/>
                  <w:vAlign w:val="center"/>
                </w:tcPr>
                <w:p w14:paraId="3087A118">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办公</w:t>
                  </w:r>
                </w:p>
              </w:tc>
              <w:tc>
                <w:tcPr>
                  <w:tcW w:w="288" w:type="pct"/>
                  <w:shd w:val="clear" w:color="auto" w:fill="auto"/>
                  <w:vAlign w:val="center"/>
                </w:tcPr>
                <w:p w14:paraId="4FE970AE">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固</w:t>
                  </w:r>
                </w:p>
              </w:tc>
              <w:tc>
                <w:tcPr>
                  <w:tcW w:w="376" w:type="pct"/>
                  <w:shd w:val="clear" w:color="auto" w:fill="auto"/>
                  <w:vAlign w:val="center"/>
                </w:tcPr>
                <w:p w14:paraId="14F88CAB">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生活垃圾</w:t>
                  </w:r>
                </w:p>
              </w:tc>
              <w:tc>
                <w:tcPr>
                  <w:tcW w:w="420" w:type="pct"/>
                  <w:vMerge w:val="continue"/>
                  <w:shd w:val="clear" w:color="auto" w:fill="auto"/>
                  <w:vAlign w:val="center"/>
                </w:tcPr>
                <w:p w14:paraId="2FF17344">
                  <w:pPr>
                    <w:spacing w:line="240" w:lineRule="exact"/>
                    <w:jc w:val="center"/>
                    <w:rPr>
                      <w:color w:val="000000" w:themeColor="text1"/>
                      <w:szCs w:val="21"/>
                      <w:highlight w:val="none"/>
                      <w14:textFill>
                        <w14:solidFill>
                          <w14:schemeClr w14:val="tx1"/>
                        </w14:solidFill>
                      </w14:textFill>
                    </w:rPr>
                  </w:pPr>
                </w:p>
              </w:tc>
              <w:tc>
                <w:tcPr>
                  <w:tcW w:w="389" w:type="pct"/>
                  <w:shd w:val="clear" w:color="auto" w:fill="auto"/>
                  <w:vAlign w:val="center"/>
                </w:tcPr>
                <w:p w14:paraId="699CF1C0">
                  <w:pPr>
                    <w:keepNext w:val="0"/>
                    <w:keepLines w:val="0"/>
                    <w:widowControl/>
                    <w:suppressLineNumbers w:val="0"/>
                    <w:jc w:val="center"/>
                    <w:textAlignment w:val="center"/>
                    <w:rPr>
                      <w:color w:val="000000" w:themeColor="text1"/>
                      <w:szCs w:val="21"/>
                      <w:highlight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410" w:type="pct"/>
                  <w:shd w:val="clear" w:color="auto" w:fill="auto"/>
                  <w:vAlign w:val="center"/>
                </w:tcPr>
                <w:p w14:paraId="7F5145AE">
                  <w:pPr>
                    <w:keepNext w:val="0"/>
                    <w:keepLines w:val="0"/>
                    <w:widowControl/>
                    <w:suppressLineNumbers w:val="0"/>
                    <w:jc w:val="center"/>
                    <w:textAlignment w:val="center"/>
                    <w:rPr>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SW</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64</w:t>
                  </w:r>
                </w:p>
              </w:tc>
              <w:tc>
                <w:tcPr>
                  <w:tcW w:w="777" w:type="pct"/>
                  <w:shd w:val="clear" w:color="auto" w:fill="auto"/>
                  <w:vAlign w:val="center"/>
                </w:tcPr>
                <w:p w14:paraId="7BFA9C86">
                  <w:pPr>
                    <w:jc w:val="center"/>
                    <w:rPr>
                      <w:rFonts w:hint="default" w:ascii="Times New Roman" w:hAnsi="Times New Roman" w:eastAsia="宋体" w:cs="宋体"/>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宋体"/>
                      <w:color w:val="000000" w:themeColor="text1"/>
                      <w:kern w:val="0"/>
                      <w:szCs w:val="21"/>
                      <w:highlight w:val="none"/>
                      <w:lang w:val="en-US" w:eastAsia="zh-CN"/>
                      <w14:textFill>
                        <w14:solidFill>
                          <w14:schemeClr w14:val="tx1"/>
                        </w14:solidFill>
                      </w14:textFill>
                    </w:rPr>
                    <w:t>900-099-S64</w:t>
                  </w:r>
                </w:p>
              </w:tc>
              <w:tc>
                <w:tcPr>
                  <w:tcW w:w="441" w:type="pct"/>
                  <w:tcBorders>
                    <w:right w:val="single" w:color="auto" w:sz="4" w:space="0"/>
                  </w:tcBorders>
                  <w:shd w:val="clear" w:color="auto" w:fill="auto"/>
                  <w:vAlign w:val="center"/>
                </w:tcPr>
                <w:p w14:paraId="42F3044F">
                  <w:pPr>
                    <w:keepNext w:val="0"/>
                    <w:keepLines w:val="0"/>
                    <w:pageBreakBefore w:val="0"/>
                    <w:widowControl w:val="0"/>
                    <w:kinsoku/>
                    <w:wordWrap/>
                    <w:overflowPunct/>
                    <w:topLinePunct w:val="0"/>
                    <w:autoSpaceDE/>
                    <w:autoSpaceDN/>
                    <w:bidi w:val="0"/>
                    <w:spacing w:line="240" w:lineRule="exact"/>
                    <w:jc w:val="center"/>
                    <w:textAlignment w:val="auto"/>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2.4</w:t>
                  </w:r>
                </w:p>
              </w:tc>
              <w:tc>
                <w:tcPr>
                  <w:tcW w:w="388" w:type="pct"/>
                  <w:tcBorders>
                    <w:left w:val="single" w:color="auto" w:sz="4" w:space="0"/>
                  </w:tcBorders>
                  <w:shd w:val="clear" w:color="auto" w:fill="auto"/>
                  <w:vAlign w:val="center"/>
                </w:tcPr>
                <w:p w14:paraId="14FEDA2E">
                  <w:pPr>
                    <w:spacing w:line="240" w:lineRule="exact"/>
                    <w:jc w:val="center"/>
                    <w:rPr>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环卫清运</w:t>
                  </w:r>
                </w:p>
              </w:tc>
            </w:tr>
            <w:tr w14:paraId="5DDD337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551" w:hRule="atLeast"/>
              </w:trPr>
              <w:tc>
                <w:tcPr>
                  <w:tcW w:w="666" w:type="pct"/>
                  <w:shd w:val="clear" w:color="auto" w:fill="auto"/>
                  <w:vAlign w:val="center"/>
                </w:tcPr>
                <w:p w14:paraId="00C093BF">
                  <w:pPr>
                    <w:keepNext w:val="0"/>
                    <w:keepLines w:val="0"/>
                    <w:widowControl/>
                    <w:suppressLineNumbers w:val="0"/>
                    <w:jc w:val="center"/>
                    <w:textAlignment w:val="center"/>
                    <w:rPr>
                      <w:rFonts w:hint="eastAsia"/>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化粪池污泥</w:t>
                  </w:r>
                </w:p>
              </w:tc>
              <w:tc>
                <w:tcPr>
                  <w:tcW w:w="217" w:type="pct"/>
                  <w:vMerge w:val="continue"/>
                  <w:shd w:val="clear" w:color="auto" w:fill="auto"/>
                  <w:vAlign w:val="center"/>
                </w:tcPr>
                <w:p w14:paraId="381B8DD6">
                  <w:pPr>
                    <w:spacing w:line="240" w:lineRule="exact"/>
                    <w:jc w:val="center"/>
                    <w:rPr>
                      <w:color w:val="000000" w:themeColor="text1"/>
                      <w:szCs w:val="21"/>
                      <w:highlight w:val="none"/>
                      <w14:textFill>
                        <w14:solidFill>
                          <w14:schemeClr w14:val="tx1"/>
                        </w14:solidFill>
                      </w14:textFill>
                    </w:rPr>
                  </w:pPr>
                </w:p>
              </w:tc>
              <w:tc>
                <w:tcPr>
                  <w:tcW w:w="622" w:type="pct"/>
                  <w:shd w:val="clear" w:color="auto" w:fill="auto"/>
                  <w:vAlign w:val="center"/>
                </w:tcPr>
                <w:p w14:paraId="5C5B8476">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污水处理</w:t>
                  </w:r>
                </w:p>
              </w:tc>
              <w:tc>
                <w:tcPr>
                  <w:tcW w:w="288" w:type="pct"/>
                  <w:shd w:val="clear" w:color="auto" w:fill="auto"/>
                  <w:vAlign w:val="center"/>
                </w:tcPr>
                <w:p w14:paraId="71645594">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液</w:t>
                  </w:r>
                </w:p>
              </w:tc>
              <w:tc>
                <w:tcPr>
                  <w:tcW w:w="376" w:type="pct"/>
                  <w:shd w:val="clear" w:color="auto" w:fill="auto"/>
                  <w:vAlign w:val="center"/>
                </w:tcPr>
                <w:p w14:paraId="657AE741">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化粪池污泥</w:t>
                  </w:r>
                </w:p>
              </w:tc>
              <w:tc>
                <w:tcPr>
                  <w:tcW w:w="420" w:type="pct"/>
                  <w:vMerge w:val="continue"/>
                  <w:shd w:val="clear" w:color="auto" w:fill="auto"/>
                  <w:vAlign w:val="center"/>
                </w:tcPr>
                <w:p w14:paraId="0FA91F2F">
                  <w:pPr>
                    <w:spacing w:line="240" w:lineRule="exact"/>
                    <w:jc w:val="center"/>
                    <w:rPr>
                      <w:color w:val="000000" w:themeColor="text1"/>
                      <w:szCs w:val="21"/>
                      <w:highlight w:val="none"/>
                      <w14:textFill>
                        <w14:solidFill>
                          <w14:schemeClr w14:val="tx1"/>
                        </w14:solidFill>
                      </w14:textFill>
                    </w:rPr>
                  </w:pPr>
                </w:p>
              </w:tc>
              <w:tc>
                <w:tcPr>
                  <w:tcW w:w="389" w:type="pct"/>
                  <w:shd w:val="clear" w:color="auto" w:fill="auto"/>
                  <w:vAlign w:val="center"/>
                </w:tcPr>
                <w:p w14:paraId="15271D30">
                  <w:pPr>
                    <w:keepNext w:val="0"/>
                    <w:keepLines w:val="0"/>
                    <w:widowControl/>
                    <w:suppressLineNumbers w:val="0"/>
                    <w:jc w:val="center"/>
                    <w:textAlignment w:val="center"/>
                    <w:rPr>
                      <w:color w:val="000000" w:themeColor="text1"/>
                      <w:szCs w:val="21"/>
                      <w:highlight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410" w:type="pct"/>
                  <w:shd w:val="clear" w:color="auto" w:fill="auto"/>
                  <w:vAlign w:val="center"/>
                </w:tcPr>
                <w:p w14:paraId="1D9F8A3D">
                  <w:pPr>
                    <w:keepNext w:val="0"/>
                    <w:keepLines w:val="0"/>
                    <w:widowControl/>
                    <w:suppressLineNumbers w:val="0"/>
                    <w:jc w:val="center"/>
                    <w:textAlignment w:val="center"/>
                    <w:rPr>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SW</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64</w:t>
                  </w:r>
                </w:p>
              </w:tc>
              <w:tc>
                <w:tcPr>
                  <w:tcW w:w="777" w:type="pct"/>
                  <w:shd w:val="clear" w:color="auto" w:fill="auto"/>
                  <w:vAlign w:val="center"/>
                </w:tcPr>
                <w:p w14:paraId="4E82915A">
                  <w:pPr>
                    <w:jc w:val="center"/>
                    <w:rPr>
                      <w:rFonts w:hint="default" w:ascii="Times New Roman" w:hAnsi="Times New Roman" w:eastAsia="宋体" w:cs="宋体"/>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宋体"/>
                      <w:color w:val="000000" w:themeColor="text1"/>
                      <w:kern w:val="0"/>
                      <w:szCs w:val="21"/>
                      <w:highlight w:val="none"/>
                      <w:lang w:val="en-US" w:eastAsia="zh-CN"/>
                      <w14:textFill>
                        <w14:solidFill>
                          <w14:schemeClr w14:val="tx1"/>
                        </w14:solidFill>
                      </w14:textFill>
                    </w:rPr>
                    <w:t>900-002-S64</w:t>
                  </w:r>
                </w:p>
              </w:tc>
              <w:tc>
                <w:tcPr>
                  <w:tcW w:w="441" w:type="pct"/>
                  <w:tcBorders>
                    <w:right w:val="single" w:color="auto" w:sz="4" w:space="0"/>
                  </w:tcBorders>
                  <w:shd w:val="clear" w:color="auto" w:fill="auto"/>
                  <w:vAlign w:val="center"/>
                </w:tcPr>
                <w:p w14:paraId="71EE6647">
                  <w:pPr>
                    <w:keepNext w:val="0"/>
                    <w:keepLines w:val="0"/>
                    <w:pageBreakBefore w:val="0"/>
                    <w:widowControl w:val="0"/>
                    <w:kinsoku/>
                    <w:wordWrap/>
                    <w:overflowPunct/>
                    <w:topLinePunct w:val="0"/>
                    <w:autoSpaceDE/>
                    <w:autoSpaceDN/>
                    <w:bidi w:val="0"/>
                    <w:spacing w:line="240" w:lineRule="exact"/>
                    <w:jc w:val="center"/>
                    <w:textAlignment w:val="auto"/>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0.48</w:t>
                  </w:r>
                </w:p>
              </w:tc>
              <w:tc>
                <w:tcPr>
                  <w:tcW w:w="388" w:type="pct"/>
                  <w:tcBorders>
                    <w:left w:val="single" w:color="auto" w:sz="4" w:space="0"/>
                  </w:tcBorders>
                  <w:shd w:val="clear" w:color="auto" w:fill="auto"/>
                  <w:vAlign w:val="center"/>
                </w:tcPr>
                <w:p w14:paraId="72A84B1B">
                  <w:pPr>
                    <w:spacing w:line="240" w:lineRule="exact"/>
                    <w:jc w:val="center"/>
                    <w:rPr>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专业单位处置</w:t>
                  </w:r>
                </w:p>
              </w:tc>
            </w:tr>
            <w:tr w14:paraId="078F88D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551" w:hRule="atLeast"/>
              </w:trPr>
              <w:tc>
                <w:tcPr>
                  <w:tcW w:w="666" w:type="pct"/>
                  <w:vAlign w:val="center"/>
                </w:tcPr>
                <w:p w14:paraId="7EFCA66B">
                  <w:pPr>
                    <w:keepNext w:val="0"/>
                    <w:keepLines w:val="0"/>
                    <w:widowControl/>
                    <w:suppressLineNumbers w:val="0"/>
                    <w:jc w:val="center"/>
                    <w:textAlignment w:val="center"/>
                    <w:rPr>
                      <w:rFonts w:hint="default"/>
                      <w:color w:val="000000" w:themeColor="text1"/>
                      <w:szCs w:val="21"/>
                      <w:highlight w:val="none"/>
                      <w:lang w:val="en-US"/>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废过滤棉</w:t>
                  </w:r>
                </w:p>
              </w:tc>
              <w:tc>
                <w:tcPr>
                  <w:tcW w:w="217" w:type="pct"/>
                  <w:vMerge w:val="restart"/>
                  <w:vAlign w:val="center"/>
                </w:tcPr>
                <w:p w14:paraId="10BF4528">
                  <w:pPr>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危险废物</w:t>
                  </w:r>
                </w:p>
              </w:tc>
              <w:tc>
                <w:tcPr>
                  <w:tcW w:w="622" w:type="pct"/>
                  <w:vAlign w:val="center"/>
                </w:tcPr>
                <w:p w14:paraId="14A6E97E">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废气处理</w:t>
                  </w:r>
                </w:p>
              </w:tc>
              <w:tc>
                <w:tcPr>
                  <w:tcW w:w="288" w:type="pct"/>
                  <w:vAlign w:val="center"/>
                </w:tcPr>
                <w:p w14:paraId="3EB6C9C0">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固</w:t>
                  </w:r>
                </w:p>
              </w:tc>
              <w:tc>
                <w:tcPr>
                  <w:tcW w:w="376" w:type="pct"/>
                  <w:vAlign w:val="center"/>
                </w:tcPr>
                <w:p w14:paraId="7166147A">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废过滤棉</w:t>
                  </w:r>
                </w:p>
              </w:tc>
              <w:tc>
                <w:tcPr>
                  <w:tcW w:w="420" w:type="pct"/>
                  <w:vMerge w:val="continue"/>
                  <w:vAlign w:val="center"/>
                </w:tcPr>
                <w:p w14:paraId="07FC5649">
                  <w:pPr>
                    <w:spacing w:line="240" w:lineRule="exact"/>
                    <w:jc w:val="center"/>
                    <w:rPr>
                      <w:color w:val="000000" w:themeColor="text1"/>
                      <w:szCs w:val="21"/>
                      <w:highlight w:val="none"/>
                      <w14:textFill>
                        <w14:solidFill>
                          <w14:schemeClr w14:val="tx1"/>
                        </w14:solidFill>
                      </w14:textFill>
                    </w:rPr>
                  </w:pPr>
                </w:p>
              </w:tc>
              <w:tc>
                <w:tcPr>
                  <w:tcW w:w="389" w:type="pct"/>
                  <w:vAlign w:val="center"/>
                </w:tcPr>
                <w:p w14:paraId="0D1C05AC">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T/In</w:t>
                  </w:r>
                </w:p>
              </w:tc>
              <w:tc>
                <w:tcPr>
                  <w:tcW w:w="410" w:type="pct"/>
                  <w:vAlign w:val="center"/>
                </w:tcPr>
                <w:p w14:paraId="1541020B">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HW49</w:t>
                  </w:r>
                </w:p>
              </w:tc>
              <w:tc>
                <w:tcPr>
                  <w:tcW w:w="777" w:type="pct"/>
                  <w:vAlign w:val="center"/>
                </w:tcPr>
                <w:p w14:paraId="3A966C7B">
                  <w:pPr>
                    <w:jc w:val="center"/>
                    <w:rPr>
                      <w:rFonts w:hint="eastAsia" w:eastAsia="宋体"/>
                      <w:color w:val="000000" w:themeColor="text1"/>
                      <w:szCs w:val="21"/>
                      <w:highlight w:val="none"/>
                      <w:lang w:eastAsia="zh-CN"/>
                      <w14:textFill>
                        <w14:solidFill>
                          <w14:schemeClr w14:val="tx1"/>
                        </w14:solidFill>
                      </w14:textFill>
                    </w:rPr>
                  </w:pPr>
                  <w:r>
                    <w:rPr>
                      <w:color w:val="000000" w:themeColor="text1"/>
                      <w:szCs w:val="21"/>
                      <w:highlight w:val="none"/>
                      <w14:textFill>
                        <w14:solidFill>
                          <w14:schemeClr w14:val="tx1"/>
                        </w14:solidFill>
                      </w14:textFill>
                    </w:rPr>
                    <w:t>900-041-49</w:t>
                  </w:r>
                </w:p>
              </w:tc>
              <w:tc>
                <w:tcPr>
                  <w:tcW w:w="441" w:type="pct"/>
                  <w:tcBorders>
                    <w:right w:val="single" w:color="auto" w:sz="4" w:space="0"/>
                  </w:tcBorders>
                  <w:shd w:val="clear" w:color="auto" w:fill="auto"/>
                  <w:vAlign w:val="center"/>
                </w:tcPr>
                <w:p w14:paraId="13939BFF">
                  <w:pPr>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0.6</w:t>
                  </w:r>
                </w:p>
              </w:tc>
              <w:tc>
                <w:tcPr>
                  <w:tcW w:w="388" w:type="pct"/>
                  <w:vMerge w:val="restart"/>
                  <w:tcBorders>
                    <w:left w:val="single" w:color="auto" w:sz="4" w:space="0"/>
                  </w:tcBorders>
                  <w:vAlign w:val="center"/>
                </w:tcPr>
                <w:p w14:paraId="65393987">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委托有资质单位处理</w:t>
                  </w:r>
                </w:p>
              </w:tc>
            </w:tr>
            <w:tr w14:paraId="31E9EA7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551" w:hRule="atLeast"/>
              </w:trPr>
              <w:tc>
                <w:tcPr>
                  <w:tcW w:w="666" w:type="pct"/>
                  <w:vAlign w:val="center"/>
                </w:tcPr>
                <w:p w14:paraId="452ED299">
                  <w:pPr>
                    <w:keepNext w:val="0"/>
                    <w:keepLines w:val="0"/>
                    <w:widowControl/>
                    <w:suppressLineNumbers w:val="0"/>
                    <w:jc w:val="center"/>
                    <w:textAlignment w:val="center"/>
                    <w:rPr>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废活性炭</w:t>
                  </w:r>
                </w:p>
              </w:tc>
              <w:tc>
                <w:tcPr>
                  <w:tcW w:w="217" w:type="pct"/>
                  <w:vMerge w:val="continue"/>
                  <w:vAlign w:val="center"/>
                </w:tcPr>
                <w:p w14:paraId="5FFB5640">
                  <w:pPr>
                    <w:spacing w:line="240" w:lineRule="exact"/>
                    <w:jc w:val="center"/>
                    <w:rPr>
                      <w:color w:val="000000" w:themeColor="text1"/>
                      <w:szCs w:val="21"/>
                      <w:highlight w:val="none"/>
                      <w14:textFill>
                        <w14:solidFill>
                          <w14:schemeClr w14:val="tx1"/>
                        </w14:solidFill>
                      </w14:textFill>
                    </w:rPr>
                  </w:pPr>
                </w:p>
              </w:tc>
              <w:tc>
                <w:tcPr>
                  <w:tcW w:w="622" w:type="pct"/>
                  <w:vAlign w:val="center"/>
                </w:tcPr>
                <w:p w14:paraId="603E57C3">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废气处理</w:t>
                  </w:r>
                </w:p>
              </w:tc>
              <w:tc>
                <w:tcPr>
                  <w:tcW w:w="288" w:type="pct"/>
                  <w:vAlign w:val="center"/>
                </w:tcPr>
                <w:p w14:paraId="7669AEA6">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固</w:t>
                  </w:r>
                </w:p>
              </w:tc>
              <w:tc>
                <w:tcPr>
                  <w:tcW w:w="376" w:type="pct"/>
                  <w:vAlign w:val="center"/>
                </w:tcPr>
                <w:p w14:paraId="4D54C9B4">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废活性炭</w:t>
                  </w:r>
                </w:p>
              </w:tc>
              <w:tc>
                <w:tcPr>
                  <w:tcW w:w="420" w:type="pct"/>
                  <w:vMerge w:val="continue"/>
                  <w:vAlign w:val="center"/>
                </w:tcPr>
                <w:p w14:paraId="2723AFE5">
                  <w:pPr>
                    <w:spacing w:line="240" w:lineRule="exact"/>
                    <w:jc w:val="center"/>
                    <w:rPr>
                      <w:color w:val="000000" w:themeColor="text1"/>
                      <w:szCs w:val="21"/>
                      <w:highlight w:val="none"/>
                      <w14:textFill>
                        <w14:solidFill>
                          <w14:schemeClr w14:val="tx1"/>
                        </w14:solidFill>
                      </w14:textFill>
                    </w:rPr>
                  </w:pPr>
                </w:p>
              </w:tc>
              <w:tc>
                <w:tcPr>
                  <w:tcW w:w="389" w:type="pct"/>
                  <w:vAlign w:val="center"/>
                </w:tcPr>
                <w:p w14:paraId="496C5325">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T/In</w:t>
                  </w:r>
                </w:p>
              </w:tc>
              <w:tc>
                <w:tcPr>
                  <w:tcW w:w="410" w:type="pct"/>
                  <w:vAlign w:val="center"/>
                </w:tcPr>
                <w:p w14:paraId="2A87B04B">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HW49</w:t>
                  </w:r>
                </w:p>
              </w:tc>
              <w:tc>
                <w:tcPr>
                  <w:tcW w:w="777" w:type="pct"/>
                  <w:vAlign w:val="center"/>
                </w:tcPr>
                <w:p w14:paraId="547E53FC">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900-039-49</w:t>
                  </w:r>
                </w:p>
              </w:tc>
              <w:tc>
                <w:tcPr>
                  <w:tcW w:w="441" w:type="pct"/>
                  <w:tcBorders>
                    <w:right w:val="single" w:color="auto" w:sz="4" w:space="0"/>
                  </w:tcBorders>
                  <w:shd w:val="clear" w:color="auto" w:fill="auto"/>
                  <w:vAlign w:val="center"/>
                </w:tcPr>
                <w:p w14:paraId="4F21A3B5">
                  <w:pPr>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5.6</w:t>
                  </w:r>
                </w:p>
              </w:tc>
              <w:tc>
                <w:tcPr>
                  <w:tcW w:w="388" w:type="pct"/>
                  <w:vMerge w:val="continue"/>
                  <w:tcBorders>
                    <w:left w:val="single" w:color="auto" w:sz="4" w:space="0"/>
                  </w:tcBorders>
                  <w:vAlign w:val="center"/>
                </w:tcPr>
                <w:p w14:paraId="18E8689C">
                  <w:pPr>
                    <w:jc w:val="center"/>
                    <w:rPr>
                      <w:color w:val="000000" w:themeColor="text1"/>
                      <w:szCs w:val="21"/>
                      <w:highlight w:val="none"/>
                      <w14:textFill>
                        <w14:solidFill>
                          <w14:schemeClr w14:val="tx1"/>
                        </w14:solidFill>
                      </w14:textFill>
                    </w:rPr>
                  </w:pPr>
                </w:p>
              </w:tc>
            </w:tr>
            <w:tr w14:paraId="4563B63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551" w:hRule="atLeast"/>
              </w:trPr>
              <w:tc>
                <w:tcPr>
                  <w:tcW w:w="666" w:type="pct"/>
                  <w:vAlign w:val="center"/>
                </w:tcPr>
                <w:p w14:paraId="005B2903">
                  <w:pPr>
                    <w:keepNext w:val="0"/>
                    <w:keepLines w:val="0"/>
                    <w:widowControl/>
                    <w:suppressLineNumbers w:val="0"/>
                    <w:jc w:val="center"/>
                    <w:textAlignment w:val="center"/>
                    <w:rPr>
                      <w:rFonts w:hint="eastAsia" w:eastAsia="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废包装物</w:t>
                  </w:r>
                </w:p>
              </w:tc>
              <w:tc>
                <w:tcPr>
                  <w:tcW w:w="217" w:type="pct"/>
                  <w:vMerge w:val="continue"/>
                  <w:vAlign w:val="center"/>
                </w:tcPr>
                <w:p w14:paraId="090DEF84">
                  <w:pPr>
                    <w:spacing w:line="240" w:lineRule="exact"/>
                    <w:jc w:val="center"/>
                    <w:rPr>
                      <w:color w:val="000000" w:themeColor="text1"/>
                      <w:szCs w:val="21"/>
                      <w:highlight w:val="none"/>
                      <w14:textFill>
                        <w14:solidFill>
                          <w14:schemeClr w14:val="tx1"/>
                        </w14:solidFill>
                      </w14:textFill>
                    </w:rPr>
                  </w:pPr>
                </w:p>
              </w:tc>
              <w:tc>
                <w:tcPr>
                  <w:tcW w:w="622" w:type="pct"/>
                  <w:vAlign w:val="center"/>
                </w:tcPr>
                <w:p w14:paraId="00FDE477">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拆除包装</w:t>
                  </w:r>
                </w:p>
              </w:tc>
              <w:tc>
                <w:tcPr>
                  <w:tcW w:w="288" w:type="pct"/>
                  <w:vAlign w:val="center"/>
                </w:tcPr>
                <w:p w14:paraId="30E00A83">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固</w:t>
                  </w:r>
                </w:p>
              </w:tc>
              <w:tc>
                <w:tcPr>
                  <w:tcW w:w="376" w:type="pct"/>
                  <w:vAlign w:val="center"/>
                </w:tcPr>
                <w:p w14:paraId="79E0D9C4">
                  <w:pPr>
                    <w:adjustRightInd w:val="0"/>
                    <w:snapToGrid w:val="0"/>
                    <w:jc w:val="center"/>
                    <w:rPr>
                      <w:rFonts w:hint="eastAsia" w:ascii="Times New Roman" w:hAnsi="Times New Roman" w:eastAsia="宋体" w:cs="Times New Roman"/>
                      <w:color w:val="000000" w:themeColor="text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废包装</w:t>
                  </w:r>
                </w:p>
              </w:tc>
              <w:tc>
                <w:tcPr>
                  <w:tcW w:w="420" w:type="pct"/>
                  <w:vMerge w:val="continue"/>
                  <w:vAlign w:val="center"/>
                </w:tcPr>
                <w:p w14:paraId="18EEBFE4">
                  <w:pPr>
                    <w:spacing w:line="240" w:lineRule="exact"/>
                    <w:jc w:val="center"/>
                    <w:rPr>
                      <w:color w:val="000000" w:themeColor="text1"/>
                      <w:szCs w:val="21"/>
                      <w:highlight w:val="none"/>
                      <w14:textFill>
                        <w14:solidFill>
                          <w14:schemeClr w14:val="tx1"/>
                        </w14:solidFill>
                      </w14:textFill>
                    </w:rPr>
                  </w:pPr>
                </w:p>
              </w:tc>
              <w:tc>
                <w:tcPr>
                  <w:tcW w:w="389" w:type="pct"/>
                  <w:vAlign w:val="center"/>
                </w:tcPr>
                <w:p w14:paraId="24C1E691">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T/In</w:t>
                  </w:r>
                </w:p>
              </w:tc>
              <w:tc>
                <w:tcPr>
                  <w:tcW w:w="410" w:type="pct"/>
                  <w:vAlign w:val="center"/>
                </w:tcPr>
                <w:p w14:paraId="2A58CCC7">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HW49</w:t>
                  </w:r>
                </w:p>
              </w:tc>
              <w:tc>
                <w:tcPr>
                  <w:tcW w:w="777" w:type="pct"/>
                  <w:vAlign w:val="center"/>
                </w:tcPr>
                <w:p w14:paraId="37BF69C1">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900-041-49</w:t>
                  </w:r>
                </w:p>
              </w:tc>
              <w:tc>
                <w:tcPr>
                  <w:tcW w:w="441" w:type="pct"/>
                  <w:tcBorders>
                    <w:right w:val="single" w:color="auto" w:sz="4" w:space="0"/>
                  </w:tcBorders>
                  <w:shd w:val="clear" w:color="auto" w:fill="auto"/>
                  <w:vAlign w:val="center"/>
                </w:tcPr>
                <w:p w14:paraId="24C141C6">
                  <w:pPr>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1.25</w:t>
                  </w:r>
                </w:p>
              </w:tc>
              <w:tc>
                <w:tcPr>
                  <w:tcW w:w="388" w:type="pct"/>
                  <w:vMerge w:val="continue"/>
                  <w:tcBorders>
                    <w:left w:val="single" w:color="auto" w:sz="4" w:space="0"/>
                  </w:tcBorders>
                  <w:vAlign w:val="center"/>
                </w:tcPr>
                <w:p w14:paraId="627DC7E1">
                  <w:pPr>
                    <w:jc w:val="center"/>
                    <w:rPr>
                      <w:color w:val="000000" w:themeColor="text1"/>
                      <w:szCs w:val="21"/>
                      <w:highlight w:val="none"/>
                      <w14:textFill>
                        <w14:solidFill>
                          <w14:schemeClr w14:val="tx1"/>
                        </w14:solidFill>
                      </w14:textFill>
                    </w:rPr>
                  </w:pPr>
                </w:p>
              </w:tc>
            </w:tr>
          </w:tbl>
          <w:p w14:paraId="14B8CC27">
            <w:pPr>
              <w:pStyle w:val="125"/>
              <w:numPr>
                <w:ilvl w:val="0"/>
                <w:numId w:val="0"/>
              </w:numPr>
              <w:spacing w:line="440" w:lineRule="exact"/>
              <w:rPr>
                <w:rFonts w:hint="default"/>
                <w:color w:val="000000" w:themeColor="text1"/>
                <w:sz w:val="24"/>
                <w:highlight w:val="none"/>
                <w14:textFill>
                  <w14:solidFill>
                    <w14:schemeClr w14:val="tx1"/>
                  </w14:solidFill>
                </w14:textFill>
              </w:rPr>
            </w:pPr>
            <w:r>
              <w:rPr>
                <w:rFonts w:hint="default"/>
                <w:color w:val="000000" w:themeColor="text1"/>
                <w:sz w:val="24"/>
                <w:highlight w:val="none"/>
                <w14:textFill>
                  <w14:solidFill>
                    <w14:schemeClr w14:val="tx1"/>
                  </w14:solidFill>
                </w14:textFill>
              </w:rPr>
              <w:t>表4-2</w:t>
            </w:r>
            <w:r>
              <w:rPr>
                <w:rFonts w:hint="eastAsia"/>
                <w:color w:val="000000" w:themeColor="text1"/>
                <w:sz w:val="24"/>
                <w:highlight w:val="none"/>
                <w:lang w:val="en-US" w:eastAsia="zh-CN"/>
                <w14:textFill>
                  <w14:solidFill>
                    <w14:schemeClr w14:val="tx1"/>
                  </w14:solidFill>
                </w14:textFill>
              </w:rPr>
              <w:t xml:space="preserve">9  </w:t>
            </w:r>
            <w:r>
              <w:rPr>
                <w:rFonts w:hint="default"/>
                <w:color w:val="000000" w:themeColor="text1"/>
                <w:sz w:val="24"/>
                <w:highlight w:val="none"/>
                <w14:textFill>
                  <w14:solidFill>
                    <w14:schemeClr w14:val="tx1"/>
                  </w14:solidFill>
                </w14:textFill>
              </w:rPr>
              <w:t>本项目危险废物汇总表（t/a）</w:t>
            </w:r>
          </w:p>
          <w:tbl>
            <w:tblPr>
              <w:tblStyle w:val="38"/>
              <w:tblW w:w="0" w:type="auto"/>
              <w:jc w:val="center"/>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Layout w:type="fixed"/>
              <w:tblCellMar>
                <w:top w:w="0" w:type="dxa"/>
                <w:left w:w="108" w:type="dxa"/>
                <w:bottom w:w="0" w:type="dxa"/>
                <w:right w:w="108" w:type="dxa"/>
              </w:tblCellMar>
            </w:tblPr>
            <w:tblGrid>
              <w:gridCol w:w="245"/>
              <w:gridCol w:w="795"/>
              <w:gridCol w:w="594"/>
              <w:gridCol w:w="1014"/>
              <w:gridCol w:w="754"/>
              <w:gridCol w:w="832"/>
              <w:gridCol w:w="490"/>
              <w:gridCol w:w="886"/>
              <w:gridCol w:w="1033"/>
              <w:gridCol w:w="612"/>
              <w:gridCol w:w="688"/>
              <w:gridCol w:w="579"/>
            </w:tblGrid>
            <w:tr w14:paraId="3C5E916B">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594" w:hRule="atLeast"/>
                <w:jc w:val="center"/>
              </w:trPr>
              <w:tc>
                <w:tcPr>
                  <w:tcW w:w="245" w:type="dxa"/>
                  <w:tcMar>
                    <w:top w:w="0" w:type="dxa"/>
                    <w:left w:w="17" w:type="dxa"/>
                    <w:bottom w:w="0" w:type="dxa"/>
                    <w:right w:w="17" w:type="dxa"/>
                  </w:tcMar>
                  <w:vAlign w:val="center"/>
                </w:tcPr>
                <w:p w14:paraId="5F2A9C30">
                  <w:pPr>
                    <w:keepNext w:val="0"/>
                    <w:keepLines w:val="0"/>
                    <w:pageBreakBefore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序号</w:t>
                  </w:r>
                </w:p>
              </w:tc>
              <w:tc>
                <w:tcPr>
                  <w:tcW w:w="795" w:type="dxa"/>
                  <w:tcMar>
                    <w:top w:w="0" w:type="dxa"/>
                    <w:left w:w="17" w:type="dxa"/>
                    <w:bottom w:w="0" w:type="dxa"/>
                    <w:right w:w="17" w:type="dxa"/>
                  </w:tcMar>
                  <w:vAlign w:val="center"/>
                </w:tcPr>
                <w:p w14:paraId="39CD0083">
                  <w:pPr>
                    <w:keepNext w:val="0"/>
                    <w:keepLines w:val="0"/>
                    <w:pageBreakBefore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危险废物名称</w:t>
                  </w:r>
                </w:p>
              </w:tc>
              <w:tc>
                <w:tcPr>
                  <w:tcW w:w="594" w:type="dxa"/>
                  <w:tcMar>
                    <w:top w:w="0" w:type="dxa"/>
                    <w:left w:w="17" w:type="dxa"/>
                    <w:bottom w:w="0" w:type="dxa"/>
                    <w:right w:w="17" w:type="dxa"/>
                  </w:tcMar>
                  <w:vAlign w:val="center"/>
                </w:tcPr>
                <w:p w14:paraId="7E2261E9">
                  <w:pPr>
                    <w:keepNext w:val="0"/>
                    <w:keepLines w:val="0"/>
                    <w:pageBreakBefore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危险</w:t>
                  </w:r>
                </w:p>
                <w:p w14:paraId="65889107">
                  <w:pPr>
                    <w:keepNext w:val="0"/>
                    <w:keepLines w:val="0"/>
                    <w:pageBreakBefore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类别</w:t>
                  </w:r>
                </w:p>
              </w:tc>
              <w:tc>
                <w:tcPr>
                  <w:tcW w:w="1014" w:type="dxa"/>
                  <w:tcMar>
                    <w:top w:w="0" w:type="dxa"/>
                    <w:left w:w="17" w:type="dxa"/>
                    <w:bottom w:w="0" w:type="dxa"/>
                    <w:right w:w="17" w:type="dxa"/>
                  </w:tcMar>
                  <w:vAlign w:val="center"/>
                </w:tcPr>
                <w:p w14:paraId="55BA438C">
                  <w:pPr>
                    <w:keepNext w:val="0"/>
                    <w:keepLines w:val="0"/>
                    <w:pageBreakBefore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废物代码</w:t>
                  </w:r>
                </w:p>
              </w:tc>
              <w:tc>
                <w:tcPr>
                  <w:tcW w:w="754" w:type="dxa"/>
                  <w:tcMar>
                    <w:top w:w="0" w:type="dxa"/>
                    <w:left w:w="17" w:type="dxa"/>
                    <w:bottom w:w="0" w:type="dxa"/>
                    <w:right w:w="17" w:type="dxa"/>
                  </w:tcMar>
                  <w:vAlign w:val="center"/>
                </w:tcPr>
                <w:p w14:paraId="24868F8E">
                  <w:pPr>
                    <w:keepNext w:val="0"/>
                    <w:keepLines w:val="0"/>
                    <w:pageBreakBefore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产生量</w:t>
                  </w:r>
                </w:p>
                <w:p w14:paraId="051FA267">
                  <w:pPr>
                    <w:keepNext w:val="0"/>
                    <w:keepLines w:val="0"/>
                    <w:pageBreakBefore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（t/a）</w:t>
                  </w:r>
                </w:p>
              </w:tc>
              <w:tc>
                <w:tcPr>
                  <w:tcW w:w="832" w:type="dxa"/>
                  <w:tcMar>
                    <w:top w:w="0" w:type="dxa"/>
                    <w:left w:w="17" w:type="dxa"/>
                    <w:bottom w:w="0" w:type="dxa"/>
                    <w:right w:w="17" w:type="dxa"/>
                  </w:tcMar>
                  <w:vAlign w:val="center"/>
                </w:tcPr>
                <w:p w14:paraId="76CAAE59">
                  <w:pPr>
                    <w:keepNext w:val="0"/>
                    <w:keepLines w:val="0"/>
                    <w:pageBreakBefore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产生</w:t>
                  </w:r>
                </w:p>
                <w:p w14:paraId="483AA6F5">
                  <w:pPr>
                    <w:keepNext w:val="0"/>
                    <w:keepLines w:val="0"/>
                    <w:pageBreakBefore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工序</w:t>
                  </w:r>
                </w:p>
              </w:tc>
              <w:tc>
                <w:tcPr>
                  <w:tcW w:w="490" w:type="dxa"/>
                  <w:tcMar>
                    <w:top w:w="0" w:type="dxa"/>
                    <w:left w:w="17" w:type="dxa"/>
                    <w:bottom w:w="0" w:type="dxa"/>
                    <w:right w:w="17" w:type="dxa"/>
                  </w:tcMar>
                  <w:vAlign w:val="center"/>
                </w:tcPr>
                <w:p w14:paraId="6914AA04">
                  <w:pPr>
                    <w:keepNext w:val="0"/>
                    <w:keepLines w:val="0"/>
                    <w:pageBreakBefore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形态</w:t>
                  </w:r>
                </w:p>
              </w:tc>
              <w:tc>
                <w:tcPr>
                  <w:tcW w:w="886" w:type="dxa"/>
                  <w:tcMar>
                    <w:top w:w="0" w:type="dxa"/>
                    <w:left w:w="17" w:type="dxa"/>
                    <w:bottom w:w="0" w:type="dxa"/>
                    <w:right w:w="17" w:type="dxa"/>
                  </w:tcMar>
                  <w:vAlign w:val="center"/>
                </w:tcPr>
                <w:p w14:paraId="0DB093D9">
                  <w:pPr>
                    <w:keepNext w:val="0"/>
                    <w:keepLines w:val="0"/>
                    <w:pageBreakBefore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主要</w:t>
                  </w:r>
                </w:p>
                <w:p w14:paraId="6060AC29">
                  <w:pPr>
                    <w:keepNext w:val="0"/>
                    <w:keepLines w:val="0"/>
                    <w:pageBreakBefore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成分</w:t>
                  </w:r>
                </w:p>
              </w:tc>
              <w:tc>
                <w:tcPr>
                  <w:tcW w:w="1033" w:type="dxa"/>
                  <w:tcMar>
                    <w:top w:w="0" w:type="dxa"/>
                    <w:left w:w="17" w:type="dxa"/>
                    <w:bottom w:w="0" w:type="dxa"/>
                    <w:right w:w="17" w:type="dxa"/>
                  </w:tcMar>
                  <w:vAlign w:val="center"/>
                </w:tcPr>
                <w:p w14:paraId="5655CCE5">
                  <w:pPr>
                    <w:keepNext w:val="0"/>
                    <w:keepLines w:val="0"/>
                    <w:pageBreakBefore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有害</w:t>
                  </w:r>
                </w:p>
                <w:p w14:paraId="4CF34405">
                  <w:pPr>
                    <w:keepNext w:val="0"/>
                    <w:keepLines w:val="0"/>
                    <w:pageBreakBefore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成分</w:t>
                  </w:r>
                </w:p>
              </w:tc>
              <w:tc>
                <w:tcPr>
                  <w:tcW w:w="612" w:type="dxa"/>
                  <w:tcMar>
                    <w:top w:w="0" w:type="dxa"/>
                    <w:left w:w="17" w:type="dxa"/>
                    <w:bottom w:w="0" w:type="dxa"/>
                    <w:right w:w="17" w:type="dxa"/>
                  </w:tcMar>
                  <w:vAlign w:val="center"/>
                </w:tcPr>
                <w:p w14:paraId="0361F0EA">
                  <w:pPr>
                    <w:keepNext w:val="0"/>
                    <w:keepLines w:val="0"/>
                    <w:pageBreakBefore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产废</w:t>
                  </w:r>
                </w:p>
                <w:p w14:paraId="4E8E9C99">
                  <w:pPr>
                    <w:keepNext w:val="0"/>
                    <w:keepLines w:val="0"/>
                    <w:pageBreakBefore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周期</w:t>
                  </w:r>
                </w:p>
              </w:tc>
              <w:tc>
                <w:tcPr>
                  <w:tcW w:w="688" w:type="dxa"/>
                  <w:tcMar>
                    <w:top w:w="0" w:type="dxa"/>
                    <w:left w:w="17" w:type="dxa"/>
                    <w:bottom w:w="0" w:type="dxa"/>
                    <w:right w:w="17" w:type="dxa"/>
                  </w:tcMar>
                  <w:vAlign w:val="center"/>
                </w:tcPr>
                <w:p w14:paraId="0603DD07">
                  <w:pPr>
                    <w:keepNext w:val="0"/>
                    <w:keepLines w:val="0"/>
                    <w:pageBreakBefore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危险</w:t>
                  </w:r>
                </w:p>
                <w:p w14:paraId="2EB7A281">
                  <w:pPr>
                    <w:keepNext w:val="0"/>
                    <w:keepLines w:val="0"/>
                    <w:pageBreakBefore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特性</w:t>
                  </w:r>
                </w:p>
              </w:tc>
              <w:tc>
                <w:tcPr>
                  <w:tcW w:w="579" w:type="dxa"/>
                  <w:tcMar>
                    <w:top w:w="0" w:type="dxa"/>
                    <w:left w:w="17" w:type="dxa"/>
                    <w:bottom w:w="0" w:type="dxa"/>
                    <w:right w:w="17" w:type="dxa"/>
                  </w:tcMar>
                  <w:vAlign w:val="center"/>
                </w:tcPr>
                <w:p w14:paraId="4A2AACE8">
                  <w:pPr>
                    <w:keepNext w:val="0"/>
                    <w:keepLines w:val="0"/>
                    <w:pageBreakBefore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防治</w:t>
                  </w:r>
                </w:p>
                <w:p w14:paraId="570CCCAE">
                  <w:pPr>
                    <w:keepNext w:val="0"/>
                    <w:keepLines w:val="0"/>
                    <w:pageBreakBefore w:val="0"/>
                    <w:kinsoku/>
                    <w:wordWrap/>
                    <w:overflowPunct/>
                    <w:topLinePunct w:val="0"/>
                    <w:autoSpaceDE/>
                    <w:autoSpaceDN/>
                    <w:bidi w:val="0"/>
                    <w:adjustRightInd w:val="0"/>
                    <w:snapToGrid w:val="0"/>
                    <w:spacing w:line="240" w:lineRule="exact"/>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措施</w:t>
                  </w:r>
                </w:p>
              </w:tc>
            </w:tr>
            <w:tr w14:paraId="58DF243F">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798" w:hRule="atLeast"/>
                <w:jc w:val="center"/>
              </w:trPr>
              <w:tc>
                <w:tcPr>
                  <w:tcW w:w="245" w:type="dxa"/>
                  <w:tcMar>
                    <w:top w:w="0" w:type="dxa"/>
                    <w:left w:w="17" w:type="dxa"/>
                    <w:bottom w:w="0" w:type="dxa"/>
                    <w:right w:w="17" w:type="dxa"/>
                  </w:tcMar>
                  <w:vAlign w:val="center"/>
                </w:tcPr>
                <w:p w14:paraId="346BEDA8">
                  <w:pPr>
                    <w:keepNext w:val="0"/>
                    <w:keepLines w:val="0"/>
                    <w:pageBreakBefore w:val="0"/>
                    <w:kinsoku/>
                    <w:wordWrap/>
                    <w:overflowPunct/>
                    <w:topLinePunct w:val="0"/>
                    <w:autoSpaceDE/>
                    <w:autoSpaceDN/>
                    <w:bidi w:val="0"/>
                    <w:adjustRightInd w:val="0"/>
                    <w:snapToGrid w:val="0"/>
                    <w:spacing w:line="240" w:lineRule="exact"/>
                    <w:jc w:val="center"/>
                    <w:textAlignment w:val="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795" w:type="dxa"/>
                  <w:tcMar>
                    <w:top w:w="0" w:type="dxa"/>
                    <w:left w:w="17" w:type="dxa"/>
                    <w:bottom w:w="0" w:type="dxa"/>
                    <w:right w:w="17" w:type="dxa"/>
                  </w:tcMar>
                  <w:vAlign w:val="center"/>
                </w:tcPr>
                <w:p w14:paraId="3D767823">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废过滤棉</w:t>
                  </w:r>
                </w:p>
              </w:tc>
              <w:tc>
                <w:tcPr>
                  <w:tcW w:w="594" w:type="dxa"/>
                  <w:tcMar>
                    <w:top w:w="0" w:type="dxa"/>
                    <w:left w:w="17" w:type="dxa"/>
                    <w:bottom w:w="0" w:type="dxa"/>
                    <w:right w:w="17" w:type="dxa"/>
                  </w:tcMar>
                  <w:vAlign w:val="center"/>
                </w:tcPr>
                <w:p w14:paraId="46510247">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HW49</w:t>
                  </w:r>
                </w:p>
              </w:tc>
              <w:tc>
                <w:tcPr>
                  <w:tcW w:w="1014" w:type="dxa"/>
                  <w:tcMar>
                    <w:top w:w="0" w:type="dxa"/>
                    <w:left w:w="17" w:type="dxa"/>
                    <w:bottom w:w="0" w:type="dxa"/>
                    <w:right w:w="17" w:type="dxa"/>
                  </w:tcMar>
                  <w:vAlign w:val="center"/>
                </w:tcPr>
                <w:p w14:paraId="7AAE9199">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900-041-49</w:t>
                  </w:r>
                </w:p>
              </w:tc>
              <w:tc>
                <w:tcPr>
                  <w:tcW w:w="754" w:type="dxa"/>
                  <w:tcMar>
                    <w:top w:w="0" w:type="dxa"/>
                    <w:left w:w="17" w:type="dxa"/>
                    <w:bottom w:w="0" w:type="dxa"/>
                    <w:right w:w="17" w:type="dxa"/>
                  </w:tcMar>
                  <w:vAlign w:val="center"/>
                </w:tcPr>
                <w:p w14:paraId="3C7029BA">
                  <w:pPr>
                    <w:keepNext w:val="0"/>
                    <w:keepLines w:val="0"/>
                    <w:pageBreakBefore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0.6</w:t>
                  </w:r>
                </w:p>
              </w:tc>
              <w:tc>
                <w:tcPr>
                  <w:tcW w:w="832" w:type="dxa"/>
                  <w:vMerge w:val="restart"/>
                  <w:tcMar>
                    <w:top w:w="0" w:type="dxa"/>
                    <w:left w:w="17" w:type="dxa"/>
                    <w:bottom w:w="0" w:type="dxa"/>
                    <w:right w:w="17" w:type="dxa"/>
                  </w:tcMar>
                  <w:vAlign w:val="center"/>
                </w:tcPr>
                <w:p w14:paraId="0123AB56">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废气处理</w:t>
                  </w:r>
                </w:p>
              </w:tc>
              <w:tc>
                <w:tcPr>
                  <w:tcW w:w="490" w:type="dxa"/>
                  <w:vMerge w:val="restart"/>
                  <w:tcMar>
                    <w:top w:w="0" w:type="dxa"/>
                    <w:left w:w="17" w:type="dxa"/>
                    <w:bottom w:w="0" w:type="dxa"/>
                    <w:right w:w="17" w:type="dxa"/>
                  </w:tcMar>
                  <w:vAlign w:val="center"/>
                </w:tcPr>
                <w:p w14:paraId="3BB1F5B0">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固</w:t>
                  </w:r>
                </w:p>
              </w:tc>
              <w:tc>
                <w:tcPr>
                  <w:tcW w:w="886" w:type="dxa"/>
                  <w:tcMar>
                    <w:top w:w="0" w:type="dxa"/>
                    <w:left w:w="17" w:type="dxa"/>
                    <w:bottom w:w="0" w:type="dxa"/>
                    <w:right w:w="17" w:type="dxa"/>
                  </w:tcMar>
                  <w:vAlign w:val="center"/>
                </w:tcPr>
                <w:p w14:paraId="6358EB15">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废过滤棉</w:t>
                  </w:r>
                </w:p>
              </w:tc>
              <w:tc>
                <w:tcPr>
                  <w:tcW w:w="1033" w:type="dxa"/>
                  <w:tcMar>
                    <w:top w:w="0" w:type="dxa"/>
                    <w:left w:w="17" w:type="dxa"/>
                    <w:bottom w:w="0" w:type="dxa"/>
                    <w:right w:w="17" w:type="dxa"/>
                  </w:tcMar>
                  <w:vAlign w:val="center"/>
                </w:tcPr>
                <w:p w14:paraId="1D23F5EC">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废过滤棉</w:t>
                  </w:r>
                </w:p>
              </w:tc>
              <w:tc>
                <w:tcPr>
                  <w:tcW w:w="612" w:type="dxa"/>
                  <w:tcMar>
                    <w:top w:w="0" w:type="dxa"/>
                    <w:left w:w="17" w:type="dxa"/>
                    <w:bottom w:w="0" w:type="dxa"/>
                    <w:right w:w="17" w:type="dxa"/>
                  </w:tcMar>
                  <w:vAlign w:val="center"/>
                </w:tcPr>
                <w:p w14:paraId="124C8F09">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6个月</w:t>
                  </w:r>
                </w:p>
              </w:tc>
              <w:tc>
                <w:tcPr>
                  <w:tcW w:w="688" w:type="dxa"/>
                  <w:tcMar>
                    <w:top w:w="0" w:type="dxa"/>
                    <w:left w:w="17" w:type="dxa"/>
                    <w:bottom w:w="0" w:type="dxa"/>
                    <w:right w:w="17" w:type="dxa"/>
                  </w:tcMar>
                  <w:vAlign w:val="center"/>
                </w:tcPr>
                <w:p w14:paraId="5DEFCC88">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T/In</w:t>
                  </w:r>
                </w:p>
              </w:tc>
              <w:tc>
                <w:tcPr>
                  <w:tcW w:w="579" w:type="dxa"/>
                  <w:vMerge w:val="restart"/>
                  <w:tcMar>
                    <w:top w:w="0" w:type="dxa"/>
                    <w:left w:w="17" w:type="dxa"/>
                    <w:bottom w:w="0" w:type="dxa"/>
                    <w:right w:w="17" w:type="dxa"/>
                  </w:tcMar>
                  <w:vAlign w:val="center"/>
                </w:tcPr>
                <w:p w14:paraId="4DC0E8BC">
                  <w:pPr>
                    <w:keepNext w:val="0"/>
                    <w:keepLines w:val="0"/>
                    <w:pageBreakBefore w:val="0"/>
                    <w:kinsoku/>
                    <w:wordWrap/>
                    <w:overflowPunct/>
                    <w:topLinePunct w:val="0"/>
                    <w:autoSpaceDE/>
                    <w:autoSpaceDN/>
                    <w:bidi w:val="0"/>
                    <w:adjustRightInd w:val="0"/>
                    <w:snapToGrid w:val="0"/>
                    <w:spacing w:line="240" w:lineRule="exact"/>
                    <w:jc w:val="center"/>
                    <w:textAlignment w:val="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委托有资质单位处理</w:t>
                  </w:r>
                </w:p>
              </w:tc>
            </w:tr>
            <w:tr w14:paraId="75B00402">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798" w:hRule="atLeast"/>
                <w:jc w:val="center"/>
              </w:trPr>
              <w:tc>
                <w:tcPr>
                  <w:tcW w:w="245" w:type="dxa"/>
                  <w:shd w:val="clear" w:color="auto" w:fill="auto"/>
                  <w:tcMar>
                    <w:top w:w="0" w:type="dxa"/>
                    <w:left w:w="17" w:type="dxa"/>
                    <w:bottom w:w="0" w:type="dxa"/>
                    <w:right w:w="17" w:type="dxa"/>
                  </w:tcMar>
                  <w:vAlign w:val="center"/>
                </w:tcPr>
                <w:p w14:paraId="5BC45F2B">
                  <w:pPr>
                    <w:keepNext w:val="0"/>
                    <w:keepLines w:val="0"/>
                    <w:pageBreakBefore w:val="0"/>
                    <w:kinsoku/>
                    <w:wordWrap/>
                    <w:overflowPunct/>
                    <w:topLinePunct w:val="0"/>
                    <w:autoSpaceDE/>
                    <w:autoSpaceDN/>
                    <w:bidi w:val="0"/>
                    <w:adjustRightInd w:val="0"/>
                    <w:snapToGrid w:val="0"/>
                    <w:spacing w:line="240" w:lineRule="exact"/>
                    <w:jc w:val="center"/>
                    <w:textAlignment w:val="auto"/>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2</w:t>
                  </w:r>
                </w:p>
              </w:tc>
              <w:tc>
                <w:tcPr>
                  <w:tcW w:w="795" w:type="dxa"/>
                  <w:shd w:val="clear" w:color="auto" w:fill="auto"/>
                  <w:tcMar>
                    <w:top w:w="0" w:type="dxa"/>
                    <w:left w:w="17" w:type="dxa"/>
                    <w:bottom w:w="0" w:type="dxa"/>
                    <w:right w:w="17" w:type="dxa"/>
                  </w:tcMar>
                  <w:vAlign w:val="center"/>
                </w:tcPr>
                <w:p w14:paraId="31820F68">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废活性炭</w:t>
                  </w:r>
                </w:p>
              </w:tc>
              <w:tc>
                <w:tcPr>
                  <w:tcW w:w="594" w:type="dxa"/>
                  <w:shd w:val="clear" w:color="auto" w:fill="auto"/>
                  <w:tcMar>
                    <w:top w:w="0" w:type="dxa"/>
                    <w:left w:w="17" w:type="dxa"/>
                    <w:bottom w:w="0" w:type="dxa"/>
                    <w:right w:w="17" w:type="dxa"/>
                  </w:tcMar>
                  <w:vAlign w:val="center"/>
                </w:tcPr>
                <w:p w14:paraId="5613A6A5">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HW49</w:t>
                  </w:r>
                </w:p>
              </w:tc>
              <w:tc>
                <w:tcPr>
                  <w:tcW w:w="1014" w:type="dxa"/>
                  <w:shd w:val="clear" w:color="auto" w:fill="auto"/>
                  <w:tcMar>
                    <w:top w:w="0" w:type="dxa"/>
                    <w:left w:w="17" w:type="dxa"/>
                    <w:bottom w:w="0" w:type="dxa"/>
                    <w:right w:w="17" w:type="dxa"/>
                  </w:tcMar>
                  <w:vAlign w:val="center"/>
                </w:tcPr>
                <w:p w14:paraId="0A512EAF">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900-039-49</w:t>
                  </w:r>
                </w:p>
              </w:tc>
              <w:tc>
                <w:tcPr>
                  <w:tcW w:w="754" w:type="dxa"/>
                  <w:shd w:val="clear" w:color="auto" w:fill="auto"/>
                  <w:tcMar>
                    <w:top w:w="0" w:type="dxa"/>
                    <w:left w:w="17" w:type="dxa"/>
                    <w:bottom w:w="0" w:type="dxa"/>
                    <w:right w:w="17" w:type="dxa"/>
                  </w:tcMar>
                  <w:vAlign w:val="center"/>
                </w:tcPr>
                <w:p w14:paraId="09453D05">
                  <w:pPr>
                    <w:keepNext w:val="0"/>
                    <w:keepLines w:val="0"/>
                    <w:pageBreakBefore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5.6</w:t>
                  </w:r>
                </w:p>
              </w:tc>
              <w:tc>
                <w:tcPr>
                  <w:tcW w:w="832" w:type="dxa"/>
                  <w:vMerge w:val="continue"/>
                  <w:shd w:val="clear" w:color="auto" w:fill="auto"/>
                  <w:tcMar>
                    <w:top w:w="0" w:type="dxa"/>
                    <w:left w:w="17" w:type="dxa"/>
                    <w:bottom w:w="0" w:type="dxa"/>
                    <w:right w:w="17" w:type="dxa"/>
                  </w:tcMar>
                  <w:vAlign w:val="center"/>
                </w:tcPr>
                <w:p w14:paraId="7D2E06EA">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490" w:type="dxa"/>
                  <w:vMerge w:val="continue"/>
                  <w:shd w:val="clear" w:color="auto" w:fill="auto"/>
                  <w:tcMar>
                    <w:top w:w="0" w:type="dxa"/>
                    <w:left w:w="17" w:type="dxa"/>
                    <w:bottom w:w="0" w:type="dxa"/>
                    <w:right w:w="17" w:type="dxa"/>
                  </w:tcMar>
                  <w:vAlign w:val="center"/>
                </w:tcPr>
                <w:p w14:paraId="472D753E">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886" w:type="dxa"/>
                  <w:shd w:val="clear" w:color="auto" w:fill="auto"/>
                  <w:tcMar>
                    <w:top w:w="0" w:type="dxa"/>
                    <w:left w:w="17" w:type="dxa"/>
                    <w:bottom w:w="0" w:type="dxa"/>
                    <w:right w:w="17" w:type="dxa"/>
                  </w:tcMar>
                  <w:vAlign w:val="center"/>
                </w:tcPr>
                <w:p w14:paraId="2D7129A0">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废活性炭</w:t>
                  </w:r>
                </w:p>
              </w:tc>
              <w:tc>
                <w:tcPr>
                  <w:tcW w:w="1033" w:type="dxa"/>
                  <w:shd w:val="clear" w:color="auto" w:fill="auto"/>
                  <w:tcMar>
                    <w:top w:w="0" w:type="dxa"/>
                    <w:left w:w="17" w:type="dxa"/>
                    <w:bottom w:w="0" w:type="dxa"/>
                    <w:right w:w="17" w:type="dxa"/>
                  </w:tcMar>
                  <w:vAlign w:val="center"/>
                </w:tcPr>
                <w:p w14:paraId="38EF63B4">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废活性炭</w:t>
                  </w:r>
                </w:p>
              </w:tc>
              <w:tc>
                <w:tcPr>
                  <w:tcW w:w="612" w:type="dxa"/>
                  <w:shd w:val="clear" w:color="auto" w:fill="auto"/>
                  <w:tcMar>
                    <w:top w:w="0" w:type="dxa"/>
                    <w:left w:w="17" w:type="dxa"/>
                    <w:bottom w:w="0" w:type="dxa"/>
                    <w:right w:w="17" w:type="dxa"/>
                  </w:tcMar>
                  <w:vAlign w:val="center"/>
                </w:tcPr>
                <w:p w14:paraId="2FF79276">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3个月</w:t>
                  </w:r>
                </w:p>
              </w:tc>
              <w:tc>
                <w:tcPr>
                  <w:tcW w:w="688" w:type="dxa"/>
                  <w:shd w:val="clear" w:color="auto" w:fill="auto"/>
                  <w:tcMar>
                    <w:top w:w="0" w:type="dxa"/>
                    <w:left w:w="17" w:type="dxa"/>
                    <w:bottom w:w="0" w:type="dxa"/>
                    <w:right w:w="17" w:type="dxa"/>
                  </w:tcMar>
                  <w:vAlign w:val="center"/>
                </w:tcPr>
                <w:p w14:paraId="7A6407CF">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T/In</w:t>
                  </w:r>
                </w:p>
              </w:tc>
              <w:tc>
                <w:tcPr>
                  <w:tcW w:w="579" w:type="dxa"/>
                  <w:vMerge w:val="continue"/>
                  <w:tcMar>
                    <w:top w:w="0" w:type="dxa"/>
                    <w:left w:w="17" w:type="dxa"/>
                    <w:bottom w:w="0" w:type="dxa"/>
                    <w:right w:w="17" w:type="dxa"/>
                  </w:tcMar>
                  <w:vAlign w:val="center"/>
                </w:tcPr>
                <w:p w14:paraId="531FD2B8">
                  <w:pPr>
                    <w:keepNext w:val="0"/>
                    <w:keepLines w:val="0"/>
                    <w:pageBreakBefore w:val="0"/>
                    <w:kinsoku/>
                    <w:wordWrap/>
                    <w:overflowPunct/>
                    <w:topLinePunct w:val="0"/>
                    <w:autoSpaceDE/>
                    <w:autoSpaceDN/>
                    <w:bidi w:val="0"/>
                    <w:adjustRightInd w:val="0"/>
                    <w:snapToGrid w:val="0"/>
                    <w:spacing w:line="240" w:lineRule="exact"/>
                    <w:jc w:val="center"/>
                    <w:textAlignment w:val="auto"/>
                    <w:rPr>
                      <w:color w:val="000000" w:themeColor="text1"/>
                      <w:szCs w:val="21"/>
                      <w:highlight w:val="none"/>
                      <w14:textFill>
                        <w14:solidFill>
                          <w14:schemeClr w14:val="tx1"/>
                        </w14:solidFill>
                      </w14:textFill>
                    </w:rPr>
                  </w:pPr>
                </w:p>
              </w:tc>
            </w:tr>
            <w:tr w14:paraId="6DA694A0">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798" w:hRule="atLeast"/>
                <w:jc w:val="center"/>
              </w:trPr>
              <w:tc>
                <w:tcPr>
                  <w:tcW w:w="245" w:type="dxa"/>
                  <w:shd w:val="clear" w:color="auto" w:fill="auto"/>
                  <w:tcMar>
                    <w:top w:w="0" w:type="dxa"/>
                    <w:left w:w="17" w:type="dxa"/>
                    <w:bottom w:w="0" w:type="dxa"/>
                    <w:right w:w="17" w:type="dxa"/>
                  </w:tcMar>
                  <w:vAlign w:val="center"/>
                </w:tcPr>
                <w:p w14:paraId="1A30EB4A">
                  <w:pPr>
                    <w:keepNext w:val="0"/>
                    <w:keepLines w:val="0"/>
                    <w:pageBreakBefore w:val="0"/>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w:t>
                  </w:r>
                </w:p>
              </w:tc>
              <w:tc>
                <w:tcPr>
                  <w:tcW w:w="795" w:type="dxa"/>
                  <w:tcMar>
                    <w:top w:w="0" w:type="dxa"/>
                    <w:left w:w="17" w:type="dxa"/>
                    <w:bottom w:w="0" w:type="dxa"/>
                    <w:right w:w="17" w:type="dxa"/>
                  </w:tcMar>
                  <w:vAlign w:val="center"/>
                </w:tcPr>
                <w:p w14:paraId="6C90CFE4">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废包装物</w:t>
                  </w:r>
                </w:p>
              </w:tc>
              <w:tc>
                <w:tcPr>
                  <w:tcW w:w="594" w:type="dxa"/>
                  <w:tcMar>
                    <w:top w:w="0" w:type="dxa"/>
                    <w:left w:w="17" w:type="dxa"/>
                    <w:bottom w:w="0" w:type="dxa"/>
                    <w:right w:w="17" w:type="dxa"/>
                  </w:tcMar>
                  <w:vAlign w:val="center"/>
                </w:tcPr>
                <w:p w14:paraId="3DF35542">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HW49</w:t>
                  </w:r>
                </w:p>
              </w:tc>
              <w:tc>
                <w:tcPr>
                  <w:tcW w:w="1014" w:type="dxa"/>
                  <w:tcMar>
                    <w:top w:w="0" w:type="dxa"/>
                    <w:left w:w="17" w:type="dxa"/>
                    <w:bottom w:w="0" w:type="dxa"/>
                    <w:right w:w="17" w:type="dxa"/>
                  </w:tcMar>
                  <w:vAlign w:val="center"/>
                </w:tcPr>
                <w:p w14:paraId="765EB960">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900-041-49</w:t>
                  </w:r>
                </w:p>
              </w:tc>
              <w:tc>
                <w:tcPr>
                  <w:tcW w:w="754" w:type="dxa"/>
                  <w:tcMar>
                    <w:top w:w="0" w:type="dxa"/>
                    <w:left w:w="17" w:type="dxa"/>
                    <w:bottom w:w="0" w:type="dxa"/>
                    <w:right w:w="17" w:type="dxa"/>
                  </w:tcMar>
                  <w:vAlign w:val="center"/>
                </w:tcPr>
                <w:p w14:paraId="4DBC373B">
                  <w:pPr>
                    <w:keepNext w:val="0"/>
                    <w:keepLines w:val="0"/>
                    <w:pageBreakBefore w:val="0"/>
                    <w:kinsoku/>
                    <w:wordWrap/>
                    <w:overflowPunct/>
                    <w:topLinePunct w:val="0"/>
                    <w:autoSpaceDE/>
                    <w:autoSpaceDN/>
                    <w:bidi w:val="0"/>
                    <w:spacing w:line="240" w:lineRule="exact"/>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1.25</w:t>
                  </w:r>
                </w:p>
              </w:tc>
              <w:tc>
                <w:tcPr>
                  <w:tcW w:w="832" w:type="dxa"/>
                  <w:tcMar>
                    <w:top w:w="0" w:type="dxa"/>
                    <w:left w:w="17" w:type="dxa"/>
                    <w:bottom w:w="0" w:type="dxa"/>
                    <w:right w:w="17" w:type="dxa"/>
                  </w:tcMar>
                  <w:vAlign w:val="center"/>
                </w:tcPr>
                <w:p w14:paraId="55DDB81D">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拆除包装</w:t>
                  </w:r>
                </w:p>
              </w:tc>
              <w:tc>
                <w:tcPr>
                  <w:tcW w:w="490" w:type="dxa"/>
                  <w:tcMar>
                    <w:top w:w="0" w:type="dxa"/>
                    <w:left w:w="17" w:type="dxa"/>
                    <w:bottom w:w="0" w:type="dxa"/>
                    <w:right w:w="17" w:type="dxa"/>
                  </w:tcMar>
                  <w:vAlign w:val="center"/>
                </w:tcPr>
                <w:p w14:paraId="35B103D5">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固</w:t>
                  </w:r>
                </w:p>
              </w:tc>
              <w:tc>
                <w:tcPr>
                  <w:tcW w:w="886" w:type="dxa"/>
                  <w:tcMar>
                    <w:top w:w="0" w:type="dxa"/>
                    <w:left w:w="17" w:type="dxa"/>
                    <w:bottom w:w="0" w:type="dxa"/>
                    <w:right w:w="17" w:type="dxa"/>
                  </w:tcMar>
                  <w:vAlign w:val="center"/>
                </w:tcPr>
                <w:p w14:paraId="7613B64E">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废包装</w:t>
                  </w:r>
                </w:p>
              </w:tc>
              <w:tc>
                <w:tcPr>
                  <w:tcW w:w="1033" w:type="dxa"/>
                  <w:tcMar>
                    <w:top w:w="0" w:type="dxa"/>
                    <w:left w:w="17" w:type="dxa"/>
                    <w:bottom w:w="0" w:type="dxa"/>
                    <w:right w:w="17" w:type="dxa"/>
                  </w:tcMar>
                  <w:vAlign w:val="center"/>
                </w:tcPr>
                <w:p w14:paraId="45C57AA4">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废包装</w:t>
                  </w:r>
                </w:p>
              </w:tc>
              <w:tc>
                <w:tcPr>
                  <w:tcW w:w="612" w:type="dxa"/>
                  <w:tcMar>
                    <w:top w:w="0" w:type="dxa"/>
                    <w:left w:w="17" w:type="dxa"/>
                    <w:bottom w:w="0" w:type="dxa"/>
                    <w:right w:w="17" w:type="dxa"/>
                  </w:tcMar>
                  <w:vAlign w:val="center"/>
                </w:tcPr>
                <w:p w14:paraId="3C6ADB07">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1个月</w:t>
                  </w:r>
                </w:p>
              </w:tc>
              <w:tc>
                <w:tcPr>
                  <w:tcW w:w="688" w:type="dxa"/>
                  <w:tcMar>
                    <w:top w:w="0" w:type="dxa"/>
                    <w:left w:w="17" w:type="dxa"/>
                    <w:bottom w:w="0" w:type="dxa"/>
                    <w:right w:w="17" w:type="dxa"/>
                  </w:tcMar>
                  <w:vAlign w:val="center"/>
                </w:tcPr>
                <w:p w14:paraId="598AB769">
                  <w:pPr>
                    <w:keepNext w:val="0"/>
                    <w:keepLines w:val="0"/>
                    <w:pageBreakBefore w:val="0"/>
                    <w:kinsoku/>
                    <w:wordWrap/>
                    <w:overflowPunct/>
                    <w:topLinePunct w:val="0"/>
                    <w:autoSpaceDE/>
                    <w:autoSpaceDN/>
                    <w:bidi w:val="0"/>
                    <w:spacing w:line="240" w:lineRule="exact"/>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T/In</w:t>
                  </w:r>
                </w:p>
              </w:tc>
              <w:tc>
                <w:tcPr>
                  <w:tcW w:w="579" w:type="dxa"/>
                  <w:vMerge w:val="continue"/>
                  <w:tcMar>
                    <w:top w:w="0" w:type="dxa"/>
                    <w:left w:w="17" w:type="dxa"/>
                    <w:bottom w:w="0" w:type="dxa"/>
                    <w:right w:w="17" w:type="dxa"/>
                  </w:tcMar>
                  <w:vAlign w:val="center"/>
                </w:tcPr>
                <w:p w14:paraId="09EA91F2">
                  <w:pPr>
                    <w:keepNext w:val="0"/>
                    <w:keepLines w:val="0"/>
                    <w:pageBreakBefore w:val="0"/>
                    <w:kinsoku/>
                    <w:wordWrap/>
                    <w:overflowPunct/>
                    <w:topLinePunct w:val="0"/>
                    <w:autoSpaceDE/>
                    <w:autoSpaceDN/>
                    <w:bidi w:val="0"/>
                    <w:adjustRightInd w:val="0"/>
                    <w:snapToGrid w:val="0"/>
                    <w:spacing w:line="240" w:lineRule="exact"/>
                    <w:jc w:val="center"/>
                    <w:textAlignment w:val="auto"/>
                    <w:rPr>
                      <w:color w:val="000000" w:themeColor="text1"/>
                      <w:szCs w:val="21"/>
                      <w:highlight w:val="none"/>
                      <w14:textFill>
                        <w14:solidFill>
                          <w14:schemeClr w14:val="tx1"/>
                        </w14:solidFill>
                      </w14:textFill>
                    </w:rPr>
                  </w:pPr>
                </w:p>
              </w:tc>
            </w:tr>
          </w:tbl>
          <w:p w14:paraId="1BCCB8A6">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（4）一般固体废物环境影响分析</w:t>
            </w:r>
          </w:p>
          <w:p w14:paraId="7D034388">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本项目采用库房、包装工具（罐、桶、包装袋等）贮存一般工业固体废物过程的污染控制，其贮存过程应满足相应防渗漏、防雨淋、防扬尘等环境保护要求。</w:t>
            </w:r>
          </w:p>
          <w:p w14:paraId="0C1B5717">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rFonts w:hint="eastAsia" w:ascii="Times New Roman" w:hAnsi="Times New Roman" w:eastAsia="宋体" w:cs="Times New Roman"/>
                <w:color w:val="000000" w:themeColor="text1"/>
                <w:sz w:val="24"/>
                <w:highlight w:val="none"/>
                <w:lang w:val="zh-CN"/>
                <w14:textFill>
                  <w14:solidFill>
                    <w14:schemeClr w14:val="tx1"/>
                  </w14:solidFill>
                </w14:textFill>
              </w:rPr>
              <w:t>本项目</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新增</w:t>
            </w:r>
            <w:r>
              <w:rPr>
                <w:rFonts w:hint="eastAsia" w:ascii="Times New Roman" w:hAnsi="Times New Roman" w:eastAsia="宋体" w:cs="Times New Roman"/>
                <w:color w:val="000000" w:themeColor="text1"/>
                <w:sz w:val="24"/>
                <w:highlight w:val="none"/>
                <w:lang w:val="zh-CN"/>
                <w14:textFill>
                  <w14:solidFill>
                    <w14:schemeClr w14:val="tx1"/>
                  </w14:solidFill>
                </w14:textFill>
              </w:rPr>
              <w:t>一般固废</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仓库1</w:t>
            </w:r>
            <w:r>
              <w:rPr>
                <w:rFonts w:hint="eastAsia" w:ascii="Times New Roman" w:hAnsi="Times New Roman" w:eastAsia="宋体" w:cs="Times New Roman"/>
                <w:color w:val="000000" w:themeColor="text1"/>
                <w:sz w:val="24"/>
                <w:highlight w:val="none"/>
                <w:lang w:val="zh-CN"/>
                <w14:textFill>
                  <w14:solidFill>
                    <w14:schemeClr w14:val="tx1"/>
                  </w14:solidFill>
                </w14:textFill>
              </w:rPr>
              <w:t>0m</w:t>
            </w:r>
            <w:r>
              <w:rPr>
                <w:rFonts w:hint="eastAsia" w:ascii="Times New Roman" w:hAnsi="Times New Roman" w:eastAsia="宋体" w:cs="Times New Roman"/>
                <w:color w:val="000000" w:themeColor="text1"/>
                <w:sz w:val="24"/>
                <w:highlight w:val="none"/>
                <w:vertAlign w:val="superscript"/>
                <w:lang w:val="zh-CN"/>
                <w14:textFill>
                  <w14:solidFill>
                    <w14:schemeClr w14:val="tx1"/>
                  </w14:solidFill>
                </w14:textFill>
              </w:rPr>
              <w:t>2</w:t>
            </w:r>
            <w:r>
              <w:rPr>
                <w:rFonts w:hint="eastAsia" w:ascii="Times New Roman" w:hAnsi="Times New Roman" w:eastAsia="宋体" w:cs="Times New Roman"/>
                <w:color w:val="000000" w:themeColor="text1"/>
                <w:sz w:val="24"/>
                <w:highlight w:val="none"/>
                <w:lang w:val="zh-CN"/>
                <w14:textFill>
                  <w14:solidFill>
                    <w14:schemeClr w14:val="tx1"/>
                  </w14:solidFill>
                </w14:textFill>
              </w:rPr>
              <w:t>，本项目一般固废的产生量约</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9.1</w:t>
            </w:r>
            <w:r>
              <w:rPr>
                <w:rFonts w:hint="eastAsia" w:ascii="Times New Roman" w:hAnsi="Times New Roman" w:eastAsia="宋体" w:cs="Times New Roman"/>
                <w:color w:val="000000" w:themeColor="text1"/>
                <w:sz w:val="24"/>
                <w:highlight w:val="none"/>
                <w:lang w:val="zh-CN"/>
                <w14:textFill>
                  <w14:solidFill>
                    <w14:schemeClr w14:val="tx1"/>
                  </w14:solidFill>
                </w14:textFill>
              </w:rPr>
              <w:t>t/a，</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需要占用面积约10</w:t>
            </w:r>
            <w:r>
              <w:rPr>
                <w:rFonts w:hint="eastAsia" w:ascii="Times New Roman" w:hAnsi="Times New Roman" w:eastAsia="宋体" w:cs="Times New Roman"/>
                <w:color w:val="000000" w:themeColor="text1"/>
                <w:sz w:val="24"/>
                <w:highlight w:val="none"/>
                <w:lang w:val="zh-CN"/>
                <w14:textFill>
                  <w14:solidFill>
                    <w14:schemeClr w14:val="tx1"/>
                  </w14:solidFill>
                </w14:textFill>
              </w:rPr>
              <w:t>m</w:t>
            </w:r>
            <w:r>
              <w:rPr>
                <w:rFonts w:hint="eastAsia" w:ascii="Times New Roman" w:hAnsi="Times New Roman" w:eastAsia="宋体" w:cs="Times New Roman"/>
                <w:color w:val="000000" w:themeColor="text1"/>
                <w:sz w:val="24"/>
                <w:highlight w:val="none"/>
                <w:vertAlign w:val="superscript"/>
                <w:lang w:val="zh-CN"/>
                <w14:textFill>
                  <w14:solidFill>
                    <w14:schemeClr w14:val="tx1"/>
                  </w14:solidFill>
                </w14:textFill>
              </w:rPr>
              <w:t>2</w:t>
            </w:r>
            <w:r>
              <w:rPr>
                <w:rFonts w:hint="eastAsia" w:ascii="Times New Roman" w:hAnsi="Times New Roman" w:eastAsia="宋体" w:cs="Times New Roman"/>
                <w:color w:val="000000" w:themeColor="text1"/>
                <w:sz w:val="24"/>
                <w:highlight w:val="none"/>
                <w:lang w:val="zh-CN"/>
                <w14:textFill>
                  <w14:solidFill>
                    <w14:schemeClr w14:val="tx1"/>
                  </w14:solidFill>
                </w14:textFill>
              </w:rPr>
              <w:t>，在定期清理的情况下，一般固废堆场可以满足企业正常生产情况的需求</w:t>
            </w:r>
            <w:r>
              <w:rPr>
                <w:rFonts w:hint="eastAsia"/>
                <w:color w:val="000000" w:themeColor="text1"/>
                <w:sz w:val="24"/>
                <w:highlight w:val="none"/>
                <w:lang w:val="zh-CN"/>
                <w14:textFill>
                  <w14:solidFill>
                    <w14:schemeClr w14:val="tx1"/>
                  </w14:solidFill>
                </w14:textFill>
              </w:rPr>
              <w:t>。</w:t>
            </w:r>
          </w:p>
          <w:p w14:paraId="6A2F5A1C">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（5）</w:t>
            </w:r>
            <w:r>
              <w:rPr>
                <w:rFonts w:hint="eastAsia"/>
                <w:color w:val="000000" w:themeColor="text1"/>
                <w:sz w:val="24"/>
                <w:highlight w:val="none"/>
                <w:lang w:val="zh-CN"/>
                <w14:textFill>
                  <w14:solidFill>
                    <w14:schemeClr w14:val="tx1"/>
                  </w14:solidFill>
                </w14:textFill>
              </w:rPr>
              <w:t>危废仓库</w:t>
            </w:r>
            <w:r>
              <w:rPr>
                <w:color w:val="000000" w:themeColor="text1"/>
                <w:sz w:val="24"/>
                <w:highlight w:val="none"/>
                <w:lang w:val="zh-CN"/>
                <w14:textFill>
                  <w14:solidFill>
                    <w14:schemeClr w14:val="tx1"/>
                  </w14:solidFill>
                </w14:textFill>
              </w:rPr>
              <w:t>环境影响分析</w:t>
            </w:r>
          </w:p>
          <w:p w14:paraId="0DDA8845">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本次评价按照《建设项目危险废物环境影响评价指南》（2017年10月1日实施）要求进行本项目危险废物的环境影响分析。主要包括</w:t>
            </w:r>
            <w:r>
              <w:rPr>
                <w:rFonts w:hint="eastAsia"/>
                <w:color w:val="000000" w:themeColor="text1"/>
                <w:sz w:val="24"/>
                <w:highlight w:val="none"/>
                <w:lang w:val="zh-CN"/>
                <w14:textFill>
                  <w14:solidFill>
                    <w14:schemeClr w14:val="tx1"/>
                  </w14:solidFill>
                </w14:textFill>
              </w:rPr>
              <w:t>危废仓库</w:t>
            </w:r>
            <w:r>
              <w:rPr>
                <w:color w:val="000000" w:themeColor="text1"/>
                <w:sz w:val="24"/>
                <w:highlight w:val="none"/>
                <w:lang w:val="zh-CN"/>
                <w14:textFill>
                  <w14:solidFill>
                    <w14:schemeClr w14:val="tx1"/>
                  </w14:solidFill>
                </w14:textFill>
              </w:rPr>
              <w:t>（设施）环境影响分析、运输过程的环境影响分析、委托处置的环境影响分析三大方面。</w:t>
            </w:r>
          </w:p>
          <w:p w14:paraId="2D91C941">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1）</w:t>
            </w:r>
            <w:r>
              <w:rPr>
                <w:rFonts w:hint="eastAsia"/>
                <w:color w:val="000000" w:themeColor="text1"/>
                <w:sz w:val="24"/>
                <w:highlight w:val="none"/>
                <w:lang w:val="zh-CN"/>
                <w14:textFill>
                  <w14:solidFill>
                    <w14:schemeClr w14:val="tx1"/>
                  </w14:solidFill>
                </w14:textFill>
              </w:rPr>
              <w:t>危废仓库</w:t>
            </w:r>
            <w:r>
              <w:rPr>
                <w:color w:val="000000" w:themeColor="text1"/>
                <w:sz w:val="24"/>
                <w:highlight w:val="none"/>
                <w:lang w:val="zh-CN"/>
                <w14:textFill>
                  <w14:solidFill>
                    <w14:schemeClr w14:val="tx1"/>
                  </w14:solidFill>
                </w14:textFill>
              </w:rPr>
              <w:t>环境影响分析</w:t>
            </w:r>
          </w:p>
          <w:p w14:paraId="6350C64B">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①</w:t>
            </w:r>
            <w:bookmarkStart w:id="12" w:name="OLE_LINK34"/>
            <w:r>
              <w:rPr>
                <w:rFonts w:hint="eastAsia"/>
                <w:color w:val="000000" w:themeColor="text1"/>
                <w:sz w:val="24"/>
                <w:highlight w:val="none"/>
                <w:lang w:val="zh-CN"/>
                <w14:textFill>
                  <w14:solidFill>
                    <w14:schemeClr w14:val="tx1"/>
                  </w14:solidFill>
                </w14:textFill>
              </w:rPr>
              <w:t>危废仓库</w:t>
            </w:r>
            <w:r>
              <w:rPr>
                <w:color w:val="000000" w:themeColor="text1"/>
                <w:sz w:val="24"/>
                <w:highlight w:val="none"/>
                <w:lang w:val="zh-CN"/>
                <w14:textFill>
                  <w14:solidFill>
                    <w14:schemeClr w14:val="tx1"/>
                  </w14:solidFill>
                </w14:textFill>
              </w:rPr>
              <w:t>的能力分析</w:t>
            </w:r>
            <w:bookmarkEnd w:id="12"/>
          </w:p>
          <w:p w14:paraId="79734700">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本项目新增1个20</w:t>
            </w:r>
            <w:r>
              <w:rPr>
                <w:rFonts w:ascii="Times New Roman" w:hAnsi="Times New Roman" w:eastAsia="宋体" w:cs="Times New Roman"/>
                <w:color w:val="000000" w:themeColor="text1"/>
                <w:sz w:val="24"/>
                <w:highlight w:val="none"/>
                <w:lang w:val="zh-CN"/>
                <w14:textFill>
                  <w14:solidFill>
                    <w14:schemeClr w14:val="tx1"/>
                  </w14:solidFill>
                </w14:textFill>
              </w:rPr>
              <w:t>平方米</w:t>
            </w:r>
            <w:r>
              <w:rPr>
                <w:rFonts w:hint="eastAsia" w:ascii="Times New Roman" w:hAnsi="Times New Roman" w:eastAsia="宋体" w:cs="Times New Roman"/>
                <w:color w:val="000000" w:themeColor="text1"/>
                <w:sz w:val="24"/>
                <w:highlight w:val="none"/>
                <w:lang w:val="zh-CN"/>
                <w14:textFill>
                  <w14:solidFill>
                    <w14:schemeClr w14:val="tx1"/>
                  </w14:solidFill>
                </w14:textFill>
              </w:rPr>
              <w:t>危废仓库</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highlight w:val="none"/>
                <w:lang w:val="zh-CN"/>
                <w14:textFill>
                  <w14:solidFill>
                    <w14:schemeClr w14:val="tx1"/>
                  </w14:solidFill>
                </w14:textFill>
              </w:rPr>
              <w:t>危废产生量</w:t>
            </w:r>
            <w:r>
              <w:rPr>
                <w:rFonts w:hint="eastAsia" w:cs="Times New Roman"/>
                <w:color w:val="000000" w:themeColor="text1"/>
                <w:sz w:val="24"/>
                <w:highlight w:val="none"/>
                <w:lang w:val="en-US" w:eastAsia="zh-CN"/>
                <w14:textFill>
                  <w14:solidFill>
                    <w14:schemeClr w14:val="tx1"/>
                  </w14:solidFill>
                </w14:textFill>
              </w:rPr>
              <w:t>7.45</w:t>
            </w:r>
            <w:r>
              <w:rPr>
                <w:rFonts w:ascii="Times New Roman" w:hAnsi="Times New Roman" w:eastAsia="宋体" w:cs="Times New Roman"/>
                <w:color w:val="000000" w:themeColor="text1"/>
                <w:sz w:val="24"/>
                <w:highlight w:val="none"/>
                <w:lang w:val="zh-CN"/>
                <w14:textFill>
                  <w14:solidFill>
                    <w14:schemeClr w14:val="tx1"/>
                  </w14:solidFill>
                </w14:textFill>
              </w:rPr>
              <w:t>t/a，每</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9</w:t>
            </w:r>
            <w:r>
              <w:rPr>
                <w:rFonts w:hint="eastAsia" w:ascii="Times New Roman" w:hAnsi="Times New Roman" w:eastAsia="宋体" w:cs="Times New Roman"/>
                <w:color w:val="000000" w:themeColor="text1"/>
                <w:sz w:val="24"/>
                <w:highlight w:val="none"/>
                <w14:textFill>
                  <w14:solidFill>
                    <w14:schemeClr w14:val="tx1"/>
                  </w14:solidFill>
                </w14:textFill>
              </w:rPr>
              <w:t>0天</w:t>
            </w:r>
            <w:r>
              <w:rPr>
                <w:rFonts w:ascii="Times New Roman" w:hAnsi="Times New Roman" w:eastAsia="宋体" w:cs="Times New Roman"/>
                <w:color w:val="000000" w:themeColor="text1"/>
                <w:sz w:val="24"/>
                <w:highlight w:val="none"/>
                <w:lang w:val="zh-CN"/>
                <w14:textFill>
                  <w14:solidFill>
                    <w14:schemeClr w14:val="tx1"/>
                  </w14:solidFill>
                </w14:textFill>
              </w:rPr>
              <w:t>转移</w:t>
            </w:r>
            <w:r>
              <w:rPr>
                <w:rFonts w:hint="eastAsia" w:ascii="Times New Roman" w:hAnsi="Times New Roman" w:eastAsia="宋体" w:cs="Times New Roman"/>
                <w:color w:val="000000" w:themeColor="text1"/>
                <w:sz w:val="24"/>
                <w:highlight w:val="none"/>
                <w14:textFill>
                  <w14:solidFill>
                    <w14:schemeClr w14:val="tx1"/>
                  </w14:solidFill>
                </w14:textFill>
              </w:rPr>
              <w:t>一次，</w:t>
            </w:r>
            <w:r>
              <w:rPr>
                <w:rFonts w:ascii="Times New Roman" w:hAnsi="Times New Roman" w:eastAsia="宋体" w:cs="Times New Roman"/>
                <w:color w:val="000000" w:themeColor="text1"/>
                <w:sz w:val="24"/>
                <w:highlight w:val="none"/>
                <w:lang w:val="zh-CN"/>
                <w14:textFill>
                  <w14:solidFill>
                    <w14:schemeClr w14:val="tx1"/>
                  </w14:solidFill>
                </w14:textFill>
              </w:rPr>
              <w:t>最大暂存量</w:t>
            </w:r>
            <w:r>
              <w:rPr>
                <w:rFonts w:hint="eastAsia" w:ascii="Times New Roman" w:hAnsi="Times New Roman" w:eastAsia="宋体" w:cs="Times New Roman"/>
                <w:color w:val="000000" w:themeColor="text1"/>
                <w:sz w:val="24"/>
                <w:highlight w:val="none"/>
                <w14:textFill>
                  <w14:solidFill>
                    <w14:schemeClr w14:val="tx1"/>
                  </w14:solidFill>
                </w14:textFill>
              </w:rPr>
              <w:t>约</w:t>
            </w:r>
            <w:r>
              <w:rPr>
                <w:rFonts w:hint="eastAsia" w:cs="Times New Roman"/>
                <w:color w:val="000000" w:themeColor="text1"/>
                <w:sz w:val="24"/>
                <w:highlight w:val="none"/>
                <w:lang w:val="en-US" w:eastAsia="zh-CN"/>
                <w14:textFill>
                  <w14:solidFill>
                    <w14:schemeClr w14:val="tx1"/>
                  </w14:solidFill>
                </w14:textFill>
              </w:rPr>
              <w:t>1.9</w:t>
            </w:r>
            <w:r>
              <w:rPr>
                <w:rFonts w:ascii="Times New Roman" w:hAnsi="Times New Roman" w:eastAsia="宋体" w:cs="Times New Roman"/>
                <w:color w:val="000000" w:themeColor="text1"/>
                <w:sz w:val="24"/>
                <w:highlight w:val="none"/>
                <w:lang w:val="zh-CN"/>
                <w14:textFill>
                  <w14:solidFill>
                    <w14:schemeClr w14:val="tx1"/>
                  </w14:solidFill>
                </w14:textFill>
              </w:rPr>
              <w:t>t，</w:t>
            </w:r>
            <w:r>
              <w:rPr>
                <w:rFonts w:ascii="Times New Roman" w:hAnsi="Times New Roman" w:eastAsia="宋体" w:cs="Times New Roman"/>
                <w:color w:val="000000" w:themeColor="text1"/>
                <w:sz w:val="24"/>
                <w:highlight w:val="none"/>
                <w14:textFill>
                  <w14:solidFill>
                    <w14:schemeClr w14:val="tx1"/>
                  </w14:solidFill>
                </w14:textFill>
              </w:rPr>
              <w:t>占地面积为</w:t>
            </w:r>
            <w:r>
              <w:rPr>
                <w:rFonts w:hint="eastAsia" w:cs="Times New Roman"/>
                <w:color w:val="000000" w:themeColor="text1"/>
                <w:sz w:val="24"/>
                <w:highlight w:val="none"/>
                <w:lang w:val="en-US" w:eastAsia="zh-CN"/>
                <w14:textFill>
                  <w14:solidFill>
                    <w14:schemeClr w14:val="tx1"/>
                  </w14:solidFill>
                </w14:textFill>
              </w:rPr>
              <w:t>3</w:t>
            </w:r>
            <w:r>
              <w:rPr>
                <w:rFonts w:ascii="Times New Roman" w:hAnsi="Times New Roman" w:eastAsia="宋体" w:cs="Times New Roman"/>
                <w:color w:val="000000" w:themeColor="text1"/>
                <w:sz w:val="24"/>
                <w:highlight w:val="none"/>
                <w14:textFill>
                  <w14:solidFill>
                    <w14:schemeClr w14:val="tx1"/>
                  </w14:solidFill>
                </w14:textFill>
              </w:rPr>
              <w:t>m</w:t>
            </w:r>
            <w:r>
              <w:rPr>
                <w:rFonts w:ascii="Times New Roman" w:hAnsi="Times New Roman" w:eastAsia="宋体" w:cs="Times New Roman"/>
                <w:color w:val="000000" w:themeColor="text1"/>
                <w:sz w:val="24"/>
                <w:highlight w:val="none"/>
                <w:vertAlign w:val="superscript"/>
                <w14:textFill>
                  <w14:solidFill>
                    <w14:schemeClr w14:val="tx1"/>
                  </w14:solidFill>
                </w14:textFill>
              </w:rPr>
              <w:t>2</w:t>
            </w:r>
            <w:r>
              <w:rPr>
                <w:rFonts w:hint="eastAsia" w:ascii="Times New Roman" w:hAnsi="Times New Roman" w:eastAsia="宋体" w:cs="Times New Roman"/>
                <w:color w:val="000000" w:themeColor="text1"/>
                <w:sz w:val="24"/>
                <w:highlight w:val="none"/>
                <w:lang w:val="zh-CN"/>
                <w14:textFill>
                  <w14:solidFill>
                    <w14:schemeClr w14:val="tx1"/>
                  </w14:solidFill>
                </w14:textFill>
              </w:rPr>
              <w:t>，</w:t>
            </w:r>
            <w:r>
              <w:rPr>
                <w:rFonts w:ascii="Times New Roman" w:hAnsi="Times New Roman" w:eastAsia="宋体" w:cs="Times New Roman"/>
                <w:color w:val="000000" w:themeColor="text1"/>
                <w:sz w:val="24"/>
                <w:highlight w:val="none"/>
                <w:lang w:val="zh-CN"/>
                <w14:textFill>
                  <w14:solidFill>
                    <w14:schemeClr w14:val="tx1"/>
                  </w14:solidFill>
                </w14:textFill>
              </w:rPr>
              <w:t>在定期处置前提下，</w:t>
            </w:r>
            <w:r>
              <w:rPr>
                <w:rFonts w:hint="eastAsia" w:ascii="Times New Roman" w:hAnsi="Times New Roman" w:eastAsia="宋体" w:cs="Times New Roman"/>
                <w:color w:val="000000" w:themeColor="text1"/>
                <w:sz w:val="24"/>
                <w:highlight w:val="none"/>
                <w:lang w:val="zh-CN"/>
                <w14:textFill>
                  <w14:solidFill>
                    <w14:schemeClr w14:val="tx1"/>
                  </w14:solidFill>
                </w14:textFill>
              </w:rPr>
              <w:t>危废仓库</w:t>
            </w:r>
            <w:r>
              <w:rPr>
                <w:rFonts w:ascii="Times New Roman" w:hAnsi="Times New Roman" w:eastAsia="宋体" w:cs="Times New Roman"/>
                <w:color w:val="000000" w:themeColor="text1"/>
                <w:sz w:val="24"/>
                <w:highlight w:val="none"/>
                <w:lang w:val="zh-CN"/>
                <w14:textFill>
                  <w14:solidFill>
                    <w14:schemeClr w14:val="tx1"/>
                  </w14:solidFill>
                </w14:textFill>
              </w:rPr>
              <w:t>可以满足危废暂存的需求</w:t>
            </w:r>
            <w:r>
              <w:rPr>
                <w:color w:val="000000" w:themeColor="text1"/>
                <w:sz w:val="24"/>
                <w:highlight w:val="none"/>
                <w:lang w:val="zh-CN"/>
                <w14:textFill>
                  <w14:solidFill>
                    <w14:schemeClr w14:val="tx1"/>
                  </w14:solidFill>
                </w14:textFill>
              </w:rPr>
              <w:t>。</w:t>
            </w:r>
          </w:p>
          <w:p w14:paraId="07EBC2CC">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②选址可行性分析</w:t>
            </w:r>
          </w:p>
          <w:p w14:paraId="25CECA6E">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本项目位于</w:t>
            </w:r>
            <w:r>
              <w:rPr>
                <w:rFonts w:hint="eastAsia"/>
                <w:color w:val="000000" w:themeColor="text1"/>
                <w:sz w:val="24"/>
                <w:highlight w:val="none"/>
                <w:lang w:val="zh-CN"/>
                <w14:textFill>
                  <w14:solidFill>
                    <w14:schemeClr w14:val="tx1"/>
                  </w14:solidFill>
                </w14:textFill>
              </w:rPr>
              <w:t>南京市江宁区禄口街道蓝天路218号</w:t>
            </w:r>
            <w:r>
              <w:rPr>
                <w:color w:val="000000" w:themeColor="text1"/>
                <w:sz w:val="24"/>
                <w:highlight w:val="none"/>
                <w:lang w:val="zh-CN"/>
                <w14:textFill>
                  <w14:solidFill>
                    <w14:schemeClr w14:val="tx1"/>
                  </w14:solidFill>
                </w14:textFill>
              </w:rPr>
              <w:t>，地质结构稳定，地质情况满足《危险废物贮存污染控制标准》（GB18597-2023）的要求。</w:t>
            </w:r>
          </w:p>
          <w:p w14:paraId="3F8650AD">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w:t>
            </w:r>
            <w:r>
              <w:rPr>
                <w:rFonts w:hint="eastAsia"/>
                <w:color w:val="000000" w:themeColor="text1"/>
                <w:sz w:val="24"/>
                <w:highlight w:val="none"/>
                <w14:textFill>
                  <w14:solidFill>
                    <w14:schemeClr w14:val="tx1"/>
                  </w14:solidFill>
                </w14:textFill>
              </w:rPr>
              <w:t>危废仓库</w:t>
            </w:r>
            <w:r>
              <w:rPr>
                <w:color w:val="000000" w:themeColor="text1"/>
                <w:sz w:val="24"/>
                <w:highlight w:val="none"/>
                <w14:textFill>
                  <w14:solidFill>
                    <w14:schemeClr w14:val="tx1"/>
                  </w14:solidFill>
                </w14:textFill>
              </w:rPr>
              <w:t>情况与《危险废物贮存污染控制标准》（GB18597-2023）对危险废物贮存设施的选址提出要求对比详见下表。</w:t>
            </w:r>
          </w:p>
          <w:p w14:paraId="6487D57B">
            <w:pPr>
              <w:pStyle w:val="125"/>
              <w:numPr>
                <w:ilvl w:val="0"/>
                <w:numId w:val="0"/>
              </w:numPr>
              <w:spacing w:line="440" w:lineRule="exact"/>
              <w:rPr>
                <w:rFonts w:hint="default"/>
                <w:color w:val="000000" w:themeColor="text1"/>
                <w:sz w:val="24"/>
                <w:highlight w:val="none"/>
                <w14:textFill>
                  <w14:solidFill>
                    <w14:schemeClr w14:val="tx1"/>
                  </w14:solidFill>
                </w14:textFill>
              </w:rPr>
            </w:pPr>
            <w:r>
              <w:rPr>
                <w:rFonts w:hint="default"/>
                <w:color w:val="000000" w:themeColor="text1"/>
                <w:sz w:val="24"/>
                <w:highlight w:val="none"/>
                <w14:textFill>
                  <w14:solidFill>
                    <w14:schemeClr w14:val="tx1"/>
                  </w14:solidFill>
                </w14:textFill>
              </w:rPr>
              <w:t>表4-</w:t>
            </w:r>
            <w:r>
              <w:rPr>
                <w:rFonts w:hint="eastAsia"/>
                <w:color w:val="000000" w:themeColor="text1"/>
                <w:sz w:val="24"/>
                <w:highlight w:val="none"/>
                <w:lang w:val="en-US" w:eastAsia="zh-CN"/>
                <w14:textFill>
                  <w14:solidFill>
                    <w14:schemeClr w14:val="tx1"/>
                  </w14:solidFill>
                </w14:textFill>
              </w:rPr>
              <w:t xml:space="preserve">30  </w:t>
            </w:r>
            <w:r>
              <w:rPr>
                <w:rFonts w:hint="default"/>
                <w:color w:val="000000" w:themeColor="text1"/>
                <w:sz w:val="24"/>
                <w:highlight w:val="none"/>
                <w14:textFill>
                  <w14:solidFill>
                    <w14:schemeClr w14:val="tx1"/>
                  </w14:solidFill>
                </w14:textFill>
              </w:rPr>
              <w:t>危废间选址分析一览表</w:t>
            </w:r>
          </w:p>
          <w:tbl>
            <w:tblPr>
              <w:tblStyle w:val="38"/>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1"/>
              <w:gridCol w:w="3755"/>
              <w:gridCol w:w="3083"/>
              <w:gridCol w:w="970"/>
            </w:tblGrid>
            <w:tr w14:paraId="2BC61F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06" w:hRule="atLeast"/>
              </w:trPr>
              <w:tc>
                <w:tcPr>
                  <w:tcW w:w="417" w:type="pct"/>
                  <w:tcBorders>
                    <w:top w:val="single" w:color="auto" w:sz="12" w:space="0"/>
                    <w:left w:val="nil"/>
                    <w:bottom w:val="single" w:color="auto" w:sz="6" w:space="0"/>
                    <w:right w:val="single" w:color="auto" w:sz="6" w:space="0"/>
                  </w:tcBorders>
                  <w:vAlign w:val="center"/>
                </w:tcPr>
                <w:p w14:paraId="2E1249FF">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序号</w:t>
                  </w:r>
                </w:p>
              </w:tc>
              <w:tc>
                <w:tcPr>
                  <w:tcW w:w="2203" w:type="pct"/>
                  <w:tcBorders>
                    <w:top w:val="single" w:color="auto" w:sz="12" w:space="0"/>
                    <w:left w:val="single" w:color="auto" w:sz="6" w:space="0"/>
                    <w:bottom w:val="single" w:color="auto" w:sz="6" w:space="0"/>
                    <w:right w:val="single" w:color="auto" w:sz="6" w:space="0"/>
                  </w:tcBorders>
                  <w:vAlign w:val="center"/>
                </w:tcPr>
                <w:p w14:paraId="3F4BBC52">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《危险废物贮存污染控制标准》（GB18597-2023）</w:t>
                  </w:r>
                </w:p>
              </w:tc>
              <w:tc>
                <w:tcPr>
                  <w:tcW w:w="1809" w:type="pct"/>
                  <w:tcBorders>
                    <w:top w:val="single" w:color="auto" w:sz="12" w:space="0"/>
                    <w:left w:val="single" w:color="auto" w:sz="6" w:space="0"/>
                    <w:bottom w:val="single" w:color="auto" w:sz="6" w:space="0"/>
                    <w:right w:val="single" w:color="auto" w:sz="6" w:space="0"/>
                  </w:tcBorders>
                  <w:vAlign w:val="center"/>
                </w:tcPr>
                <w:p w14:paraId="5ECC7EE7">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本项目</w:t>
                  </w:r>
                  <w:r>
                    <w:rPr>
                      <w:rFonts w:hint="eastAsia"/>
                      <w:b/>
                      <w:bCs/>
                      <w:color w:val="000000" w:themeColor="text1"/>
                      <w:szCs w:val="21"/>
                      <w:highlight w:val="none"/>
                      <w14:textFill>
                        <w14:solidFill>
                          <w14:schemeClr w14:val="tx1"/>
                        </w14:solidFill>
                      </w14:textFill>
                    </w:rPr>
                    <w:t>危废仓库</w:t>
                  </w:r>
                  <w:r>
                    <w:rPr>
                      <w:b/>
                      <w:bCs/>
                      <w:color w:val="000000" w:themeColor="text1"/>
                      <w:szCs w:val="21"/>
                      <w:highlight w:val="none"/>
                      <w14:textFill>
                        <w14:solidFill>
                          <w14:schemeClr w14:val="tx1"/>
                        </w14:solidFill>
                      </w14:textFill>
                    </w:rPr>
                    <w:t>情况</w:t>
                  </w:r>
                </w:p>
              </w:tc>
              <w:tc>
                <w:tcPr>
                  <w:tcW w:w="569" w:type="pct"/>
                  <w:tcBorders>
                    <w:top w:val="single" w:color="auto" w:sz="12" w:space="0"/>
                    <w:left w:val="single" w:color="auto" w:sz="6" w:space="0"/>
                    <w:bottom w:val="single" w:color="auto" w:sz="6" w:space="0"/>
                    <w:right w:val="nil"/>
                  </w:tcBorders>
                  <w:vAlign w:val="center"/>
                </w:tcPr>
                <w:p w14:paraId="69425B25">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建设可行性</w:t>
                  </w:r>
                </w:p>
              </w:tc>
            </w:tr>
            <w:tr w14:paraId="610F7B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417" w:type="pct"/>
                  <w:tcBorders>
                    <w:top w:val="single" w:color="auto" w:sz="6" w:space="0"/>
                    <w:left w:val="nil"/>
                    <w:bottom w:val="single" w:color="auto" w:sz="6" w:space="0"/>
                    <w:right w:val="single" w:color="auto" w:sz="6" w:space="0"/>
                  </w:tcBorders>
                  <w:vAlign w:val="center"/>
                </w:tcPr>
                <w:p w14:paraId="57376F9C">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203" w:type="pct"/>
                  <w:tcBorders>
                    <w:top w:val="single" w:color="auto" w:sz="6" w:space="0"/>
                    <w:left w:val="single" w:color="auto" w:sz="6" w:space="0"/>
                    <w:bottom w:val="single" w:color="auto" w:sz="6" w:space="0"/>
                    <w:right w:val="single" w:color="auto" w:sz="6" w:space="0"/>
                  </w:tcBorders>
                  <w:vAlign w:val="center"/>
                </w:tcPr>
                <w:p w14:paraId="1E23A179">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贮存设施选址应满足生态环境保护法律法规、规划和</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三线一单</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生态环境分区管控的要求，建设项目应依法进行环境影响评价。</w:t>
                  </w:r>
                </w:p>
              </w:tc>
              <w:tc>
                <w:tcPr>
                  <w:tcW w:w="1809" w:type="pct"/>
                  <w:tcBorders>
                    <w:top w:val="single" w:color="auto" w:sz="6" w:space="0"/>
                    <w:left w:val="single" w:color="auto" w:sz="6" w:space="0"/>
                    <w:bottom w:val="single" w:color="auto" w:sz="6" w:space="0"/>
                    <w:right w:val="single" w:color="auto" w:sz="6" w:space="0"/>
                  </w:tcBorders>
                  <w:vAlign w:val="center"/>
                </w:tcPr>
                <w:p w14:paraId="499A1EEC">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w:t>
                  </w:r>
                  <w:r>
                    <w:rPr>
                      <w:rFonts w:hint="eastAsia"/>
                      <w:color w:val="000000" w:themeColor="text1"/>
                      <w:szCs w:val="21"/>
                      <w:highlight w:val="none"/>
                      <w14:textFill>
                        <w14:solidFill>
                          <w14:schemeClr w14:val="tx1"/>
                        </w14:solidFill>
                      </w14:textFill>
                    </w:rPr>
                    <w:t>危废仓库</w:t>
                  </w:r>
                  <w:r>
                    <w:rPr>
                      <w:color w:val="000000" w:themeColor="text1"/>
                      <w:szCs w:val="21"/>
                      <w:highlight w:val="none"/>
                      <w14:textFill>
                        <w14:solidFill>
                          <w14:schemeClr w14:val="tx1"/>
                        </w14:solidFill>
                      </w14:textFill>
                    </w:rPr>
                    <w:t>选址满足选址生态环境保护法律法规、规划和</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三线一单</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生态环境分区管控的要求，</w:t>
                  </w:r>
                  <w:r>
                    <w:rPr>
                      <w:rFonts w:hint="eastAsia"/>
                      <w:color w:val="000000" w:themeColor="text1"/>
                      <w:szCs w:val="21"/>
                      <w:highlight w:val="none"/>
                      <w14:textFill>
                        <w14:solidFill>
                          <w14:schemeClr w14:val="tx1"/>
                        </w14:solidFill>
                      </w14:textFill>
                    </w:rPr>
                    <w:t>本项目环评</w:t>
                  </w:r>
                  <w:r>
                    <w:rPr>
                      <w:color w:val="000000" w:themeColor="text1"/>
                      <w:szCs w:val="21"/>
                      <w:highlight w:val="none"/>
                      <w14:textFill>
                        <w14:solidFill>
                          <w14:schemeClr w14:val="tx1"/>
                        </w14:solidFill>
                      </w14:textFill>
                    </w:rPr>
                    <w:t>依法进行环境影响评价</w:t>
                  </w:r>
                </w:p>
              </w:tc>
              <w:tc>
                <w:tcPr>
                  <w:tcW w:w="569" w:type="pct"/>
                  <w:tcBorders>
                    <w:top w:val="single" w:color="auto" w:sz="6" w:space="0"/>
                    <w:left w:val="single" w:color="auto" w:sz="6" w:space="0"/>
                    <w:bottom w:val="single" w:color="auto" w:sz="6" w:space="0"/>
                    <w:right w:val="nil"/>
                  </w:tcBorders>
                  <w:vAlign w:val="center"/>
                </w:tcPr>
                <w:p w14:paraId="4B905A56">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可行</w:t>
                  </w:r>
                </w:p>
              </w:tc>
            </w:tr>
            <w:tr w14:paraId="67E4AB0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417" w:type="pct"/>
                  <w:tcBorders>
                    <w:top w:val="single" w:color="auto" w:sz="6" w:space="0"/>
                    <w:left w:val="nil"/>
                    <w:bottom w:val="single" w:color="auto" w:sz="6" w:space="0"/>
                    <w:right w:val="single" w:color="auto" w:sz="6" w:space="0"/>
                  </w:tcBorders>
                  <w:vAlign w:val="center"/>
                </w:tcPr>
                <w:p w14:paraId="48C1F912">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2203" w:type="pct"/>
                  <w:tcBorders>
                    <w:top w:val="single" w:color="auto" w:sz="6" w:space="0"/>
                    <w:left w:val="single" w:color="auto" w:sz="6" w:space="0"/>
                    <w:bottom w:val="single" w:color="auto" w:sz="6" w:space="0"/>
                    <w:right w:val="single" w:color="auto" w:sz="6" w:space="0"/>
                  </w:tcBorders>
                  <w:vAlign w:val="center"/>
                </w:tcPr>
                <w:p w14:paraId="34F2E6F8">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集中贮存设施不应选在生态保护红线区域、永久基本农田和其他需要特别保护的区域内，不应建在溶洞区或易遭受洪水、滑坡、泥石流、潮汐等严重自然灾害影响的地区。</w:t>
                  </w:r>
                </w:p>
              </w:tc>
              <w:tc>
                <w:tcPr>
                  <w:tcW w:w="1809" w:type="pct"/>
                  <w:tcBorders>
                    <w:top w:val="single" w:color="auto" w:sz="6" w:space="0"/>
                    <w:left w:val="single" w:color="auto" w:sz="6" w:space="0"/>
                    <w:bottom w:val="single" w:color="auto" w:sz="6" w:space="0"/>
                    <w:right w:val="single" w:color="auto" w:sz="6" w:space="0"/>
                  </w:tcBorders>
                  <w:vAlign w:val="center"/>
                </w:tcPr>
                <w:p w14:paraId="1585C335">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w:t>
                  </w:r>
                  <w:r>
                    <w:rPr>
                      <w:rFonts w:hint="eastAsia"/>
                      <w:color w:val="000000" w:themeColor="text1"/>
                      <w:szCs w:val="21"/>
                      <w:highlight w:val="none"/>
                      <w14:textFill>
                        <w14:solidFill>
                          <w14:schemeClr w14:val="tx1"/>
                        </w14:solidFill>
                      </w14:textFill>
                    </w:rPr>
                    <w:t>危废仓库</w:t>
                  </w:r>
                  <w:r>
                    <w:rPr>
                      <w:color w:val="000000" w:themeColor="text1"/>
                      <w:szCs w:val="21"/>
                      <w:highlight w:val="none"/>
                      <w14:textFill>
                        <w14:solidFill>
                          <w14:schemeClr w14:val="tx1"/>
                        </w14:solidFill>
                      </w14:textFill>
                    </w:rPr>
                    <w:t>不位于生态保护红线区域、永久基本农田和其他需要特别保护的区域内，不建在溶洞区或易遭受洪水、滑坡、泥石流、潮汐等严重自然灾害影响的地区</w:t>
                  </w:r>
                </w:p>
              </w:tc>
              <w:tc>
                <w:tcPr>
                  <w:tcW w:w="569" w:type="pct"/>
                  <w:tcBorders>
                    <w:top w:val="single" w:color="auto" w:sz="6" w:space="0"/>
                    <w:left w:val="single" w:color="auto" w:sz="6" w:space="0"/>
                    <w:bottom w:val="single" w:color="auto" w:sz="6" w:space="0"/>
                    <w:right w:val="nil"/>
                  </w:tcBorders>
                  <w:vAlign w:val="center"/>
                </w:tcPr>
                <w:p w14:paraId="4ED4BD1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可行</w:t>
                  </w:r>
                </w:p>
              </w:tc>
            </w:tr>
            <w:tr w14:paraId="7C8201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417" w:type="pct"/>
                  <w:tcBorders>
                    <w:top w:val="single" w:color="auto" w:sz="6" w:space="0"/>
                    <w:left w:val="nil"/>
                    <w:bottom w:val="single" w:color="auto" w:sz="6" w:space="0"/>
                    <w:right w:val="single" w:color="auto" w:sz="6" w:space="0"/>
                  </w:tcBorders>
                  <w:vAlign w:val="center"/>
                </w:tcPr>
                <w:p w14:paraId="21AC2E06">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w:t>
                  </w:r>
                </w:p>
              </w:tc>
              <w:tc>
                <w:tcPr>
                  <w:tcW w:w="2203" w:type="pct"/>
                  <w:tcBorders>
                    <w:top w:val="single" w:color="auto" w:sz="6" w:space="0"/>
                    <w:left w:val="single" w:color="auto" w:sz="6" w:space="0"/>
                    <w:bottom w:val="single" w:color="auto" w:sz="6" w:space="0"/>
                    <w:right w:val="single" w:color="auto" w:sz="6" w:space="0"/>
                  </w:tcBorders>
                  <w:vAlign w:val="center"/>
                </w:tcPr>
                <w:p w14:paraId="2B0238A0">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贮存设施不应选在江河、湖泊、运河、渠道、水库及其最高水位线以下的滩地和岸坡，以及法律法规规定禁止贮存危险废物的其他地点。</w:t>
                  </w:r>
                </w:p>
              </w:tc>
              <w:tc>
                <w:tcPr>
                  <w:tcW w:w="1809" w:type="pct"/>
                  <w:tcBorders>
                    <w:top w:val="single" w:color="auto" w:sz="6" w:space="0"/>
                    <w:left w:val="single" w:color="auto" w:sz="6" w:space="0"/>
                    <w:bottom w:val="single" w:color="auto" w:sz="6" w:space="0"/>
                    <w:right w:val="single" w:color="auto" w:sz="6" w:space="0"/>
                  </w:tcBorders>
                  <w:vAlign w:val="center"/>
                </w:tcPr>
                <w:p w14:paraId="713E2A0B">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w:t>
                  </w:r>
                  <w:r>
                    <w:rPr>
                      <w:rFonts w:hint="eastAsia"/>
                      <w:color w:val="000000" w:themeColor="text1"/>
                      <w:szCs w:val="21"/>
                      <w:highlight w:val="none"/>
                      <w14:textFill>
                        <w14:solidFill>
                          <w14:schemeClr w14:val="tx1"/>
                        </w14:solidFill>
                      </w14:textFill>
                    </w:rPr>
                    <w:t>危废仓库</w:t>
                  </w:r>
                  <w:r>
                    <w:rPr>
                      <w:color w:val="000000" w:themeColor="text1"/>
                      <w:szCs w:val="21"/>
                      <w:highlight w:val="none"/>
                      <w14:textFill>
                        <w14:solidFill>
                          <w14:schemeClr w14:val="tx1"/>
                        </w14:solidFill>
                      </w14:textFill>
                    </w:rPr>
                    <w:t>建设位置不在江河、湖泊、运河、渠道、水库及其最高水位线以下的滩地和岸坡，不属于法律法规规定禁止贮存危险废物的其他地点</w:t>
                  </w:r>
                </w:p>
              </w:tc>
              <w:tc>
                <w:tcPr>
                  <w:tcW w:w="569" w:type="pct"/>
                  <w:tcBorders>
                    <w:top w:val="single" w:color="auto" w:sz="6" w:space="0"/>
                    <w:left w:val="single" w:color="auto" w:sz="6" w:space="0"/>
                    <w:bottom w:val="single" w:color="auto" w:sz="6" w:space="0"/>
                    <w:right w:val="nil"/>
                  </w:tcBorders>
                  <w:vAlign w:val="center"/>
                </w:tcPr>
                <w:p w14:paraId="28C171BE">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可行</w:t>
                  </w:r>
                </w:p>
              </w:tc>
            </w:tr>
            <w:tr w14:paraId="51B039C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417" w:type="pct"/>
                  <w:tcBorders>
                    <w:top w:val="single" w:color="auto" w:sz="6" w:space="0"/>
                    <w:left w:val="nil"/>
                    <w:bottom w:val="single" w:color="auto" w:sz="12" w:space="0"/>
                    <w:right w:val="single" w:color="auto" w:sz="6" w:space="0"/>
                  </w:tcBorders>
                  <w:vAlign w:val="center"/>
                </w:tcPr>
                <w:p w14:paraId="3C685ADC">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w:t>
                  </w:r>
                </w:p>
              </w:tc>
              <w:tc>
                <w:tcPr>
                  <w:tcW w:w="2203" w:type="pct"/>
                  <w:tcBorders>
                    <w:top w:val="single" w:color="auto" w:sz="6" w:space="0"/>
                    <w:left w:val="single" w:color="auto" w:sz="6" w:space="0"/>
                    <w:bottom w:val="single" w:color="auto" w:sz="12" w:space="0"/>
                    <w:right w:val="single" w:color="auto" w:sz="6" w:space="0"/>
                  </w:tcBorders>
                  <w:vAlign w:val="center"/>
                </w:tcPr>
                <w:p w14:paraId="4069647E">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贮存设施场址的位置以及其与周围环境敏感目标的距离应依据环境影响评价文件确定。</w:t>
                  </w:r>
                </w:p>
              </w:tc>
              <w:tc>
                <w:tcPr>
                  <w:tcW w:w="1809" w:type="pct"/>
                  <w:tcBorders>
                    <w:top w:val="single" w:color="auto" w:sz="6" w:space="0"/>
                    <w:left w:val="single" w:color="auto" w:sz="6" w:space="0"/>
                    <w:bottom w:val="single" w:color="auto" w:sz="12" w:space="0"/>
                    <w:right w:val="single" w:color="auto" w:sz="6" w:space="0"/>
                  </w:tcBorders>
                  <w:vAlign w:val="center"/>
                </w:tcPr>
                <w:p w14:paraId="7231B926">
                  <w:pPr>
                    <w:snapToGrid w:val="0"/>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本项目环评</w:t>
                  </w:r>
                  <w:r>
                    <w:rPr>
                      <w:color w:val="000000" w:themeColor="text1"/>
                      <w:szCs w:val="21"/>
                      <w:highlight w:val="none"/>
                      <w14:textFill>
                        <w14:solidFill>
                          <w14:schemeClr w14:val="tx1"/>
                        </w14:solidFill>
                      </w14:textFill>
                    </w:rPr>
                    <w:t>已对</w:t>
                  </w:r>
                  <w:r>
                    <w:rPr>
                      <w:rFonts w:hint="eastAsia"/>
                      <w:color w:val="000000" w:themeColor="text1"/>
                      <w:szCs w:val="21"/>
                      <w:highlight w:val="none"/>
                      <w14:textFill>
                        <w14:solidFill>
                          <w14:schemeClr w14:val="tx1"/>
                        </w14:solidFill>
                      </w14:textFill>
                    </w:rPr>
                    <w:t>危废仓库</w:t>
                  </w:r>
                  <w:r>
                    <w:rPr>
                      <w:color w:val="000000" w:themeColor="text1"/>
                      <w:szCs w:val="21"/>
                      <w:highlight w:val="none"/>
                      <w14:textFill>
                        <w14:solidFill>
                          <w14:schemeClr w14:val="tx1"/>
                        </w14:solidFill>
                      </w14:textFill>
                    </w:rPr>
                    <w:t>位置进行了规定</w:t>
                  </w:r>
                </w:p>
              </w:tc>
              <w:tc>
                <w:tcPr>
                  <w:tcW w:w="569" w:type="pct"/>
                  <w:tcBorders>
                    <w:top w:val="single" w:color="auto" w:sz="6" w:space="0"/>
                    <w:left w:val="single" w:color="auto" w:sz="6" w:space="0"/>
                    <w:bottom w:val="single" w:color="auto" w:sz="12" w:space="0"/>
                    <w:right w:val="nil"/>
                  </w:tcBorders>
                  <w:vAlign w:val="center"/>
                </w:tcPr>
                <w:p w14:paraId="7DEBCB8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可行</w:t>
                  </w:r>
                </w:p>
              </w:tc>
            </w:tr>
          </w:tbl>
          <w:p w14:paraId="5151F228">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2）运输过程的环境影响分析</w:t>
            </w:r>
          </w:p>
          <w:p w14:paraId="7858F903">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①厂区内生产工艺环节运输到贮存场所过程</w:t>
            </w:r>
          </w:p>
          <w:p w14:paraId="73EAC0C1">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厂区内运输必须先将危废密闭置于专用包装物、容器内，防止散落、泄漏；厂区地面均为水泥硬化，一旦因管理疏漏或包装物破损而发生散落、泄漏，要进行及时清理，以免产生二次污染。</w:t>
            </w:r>
          </w:p>
          <w:p w14:paraId="764BF390">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②危废外运过程</w:t>
            </w:r>
          </w:p>
          <w:p w14:paraId="5C947FF4">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根据《危险废物收集</w:t>
            </w: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lang w:val="zh-CN"/>
                <w14:textFill>
                  <w14:solidFill>
                    <w14:schemeClr w14:val="tx1"/>
                  </w14:solidFill>
                </w14:textFill>
              </w:rPr>
              <w:t>贮存</w:t>
            </w: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lang w:val="zh-CN"/>
                <w14:textFill>
                  <w14:solidFill>
                    <w14:schemeClr w14:val="tx1"/>
                  </w14:solidFill>
                </w14:textFill>
              </w:rPr>
              <w:t>运输技术规范》（HJ2025-2012）、《省生态环境厅〈关于印发江苏省固体废物全过程环境监管工作意见〉的通知》（苏环办〔2024〕16号）、《危险废物转移管理办法》（2022年1月1日）的有关规定，在危险废物外运至处置单位时必须严格遵守以下要求：</w:t>
            </w:r>
          </w:p>
          <w:p w14:paraId="10AEE0EC">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本次项目危险废物严格按照《危险废物收集贮存运输技术规范》（HJ2025-2012）中相关要求运输，在研发环节运输到</w:t>
            </w:r>
            <w:r>
              <w:rPr>
                <w:rFonts w:hint="eastAsia"/>
                <w:color w:val="000000" w:themeColor="text1"/>
                <w:sz w:val="24"/>
                <w:highlight w:val="none"/>
                <w:lang w:val="zh-CN"/>
                <w14:textFill>
                  <w14:solidFill>
                    <w14:schemeClr w14:val="tx1"/>
                  </w14:solidFill>
                </w14:textFill>
              </w:rPr>
              <w:t>危废仓库</w:t>
            </w:r>
            <w:r>
              <w:rPr>
                <w:color w:val="000000" w:themeColor="text1"/>
                <w:sz w:val="24"/>
                <w:highlight w:val="none"/>
                <w:lang w:val="zh-CN"/>
                <w14:textFill>
                  <w14:solidFill>
                    <w14:schemeClr w14:val="tx1"/>
                  </w14:solidFill>
                </w14:textFill>
              </w:rPr>
              <w:t>过程中，运输过程中严格采取措施防止散落、泄漏，同时运输过程中避开办公区，亦不会对人员及周边环境产生影响。</w:t>
            </w:r>
          </w:p>
          <w:p w14:paraId="78C35624">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危险废物从项目厂区运输至有资质的处置单位过程中，将严格按照《危险废物收集</w:t>
            </w: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lang w:val="zh-CN"/>
                <w14:textFill>
                  <w14:solidFill>
                    <w14:schemeClr w14:val="tx1"/>
                  </w14:solidFill>
                </w14:textFill>
              </w:rPr>
              <w:t>贮存</w:t>
            </w: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lang w:val="zh-CN"/>
                <w14:textFill>
                  <w14:solidFill>
                    <w14:schemeClr w14:val="tx1"/>
                  </w14:solidFill>
                </w14:textFill>
              </w:rPr>
              <w:t>运输技术规范》（HJ2025-2012）要求，确保运输过程中不会对运输沿线的敏感点产生影响。</w:t>
            </w:r>
          </w:p>
          <w:p w14:paraId="53264A89">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建设项目产生的各类危险废物委托有资质单位安全处置前暂存于危险废物暂存场所，建设的危险废物暂存场所需按照《危险废物贮存污染控制标准》（GB18597-2023）的相关要求，进行规范化设置和管理，重点做好以下污染防治措施：</w:t>
            </w:r>
          </w:p>
          <w:p w14:paraId="2AEEDD4A">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按照《省生态环境厅〈关于印发江苏省固体废物全过程环境监管工作意见〉的通知》（苏环办〔2024〕16号）、《江苏省危险废物集中收集体系建设工作方案（试行）》的通知（苏环办〔2021〕290号）、《危险废物识别标志设置技术规范》（HJ1276-2022）等文件要求对危险废物识别标识规范设置，同时配备通讯设备、照明设施和消防设施；在出入口、设施内部、危险废物运输车辆通道等关键位置按照危险废物贮存设施视频监控布设要求设置视频监控，并与中控室联网。鼓励采用云存储方式保存视频监控数据。</w:t>
            </w:r>
          </w:p>
          <w:p w14:paraId="6E0734D4">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企业应根据危险废物的种类和特性进行分区、分类贮存，设置防雨、防火、防雷、防扬散、防渗漏装置及泄漏液体收集装置，对易爆、易燃及排出有毒气体的危险废物进行预处理，稳定后贮存，否则按易爆、易燃危险品贮存。应设置气体收集装置和气体净化设施及导出口。</w:t>
            </w:r>
          </w:p>
          <w:p w14:paraId="310F7334">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危险废物暂存场所基础防渗层为至少1m厚黏土层（渗透系数≤10</w:t>
            </w:r>
            <w:r>
              <w:rPr>
                <w:color w:val="000000" w:themeColor="text1"/>
                <w:sz w:val="24"/>
                <w:highlight w:val="none"/>
                <w:vertAlign w:val="superscript"/>
                <w:lang w:val="zh-CN"/>
                <w14:textFill>
                  <w14:solidFill>
                    <w14:schemeClr w14:val="tx1"/>
                  </w14:solidFill>
                </w14:textFill>
              </w:rPr>
              <w:t>-7</w:t>
            </w:r>
            <w:r>
              <w:rPr>
                <w:color w:val="000000" w:themeColor="text1"/>
                <w:sz w:val="24"/>
                <w:highlight w:val="none"/>
                <w:lang w:val="zh-CN"/>
                <w14:textFill>
                  <w14:solidFill>
                    <w14:schemeClr w14:val="tx1"/>
                  </w14:solidFill>
                </w14:textFill>
              </w:rPr>
              <w:t>cm/s），或2mm厚高密度聚乙烯，或至少2mm厚的其他人工材料，渗透系数≤10</w:t>
            </w:r>
            <w:r>
              <w:rPr>
                <w:color w:val="000000" w:themeColor="text1"/>
                <w:sz w:val="24"/>
                <w:highlight w:val="none"/>
                <w:vertAlign w:val="superscript"/>
                <w:lang w:val="zh-CN"/>
                <w14:textFill>
                  <w14:solidFill>
                    <w14:schemeClr w14:val="tx1"/>
                  </w14:solidFill>
                </w14:textFill>
              </w:rPr>
              <w:t>-7</w:t>
            </w:r>
            <w:r>
              <w:rPr>
                <w:color w:val="000000" w:themeColor="text1"/>
                <w:sz w:val="24"/>
                <w:highlight w:val="none"/>
                <w:lang w:val="zh-CN"/>
                <w14:textFill>
                  <w14:solidFill>
                    <w14:schemeClr w14:val="tx1"/>
                  </w14:solidFill>
                </w14:textFill>
              </w:rPr>
              <w:t>cm/s；应建有堵截泄漏的裙角，地面与裙角要用坚固防渗的材料建造，建筑材料必须与危险废物相容，危险废物包装材料与危险废物相容。</w:t>
            </w:r>
          </w:p>
          <w:p w14:paraId="1F47A2A7">
            <w:pPr>
              <w:pStyle w:val="125"/>
              <w:numPr>
                <w:ilvl w:val="0"/>
                <w:numId w:val="0"/>
              </w:numPr>
              <w:spacing w:line="440" w:lineRule="exact"/>
              <w:rPr>
                <w:rFonts w:hint="default"/>
                <w:color w:val="000000" w:themeColor="text1"/>
                <w:sz w:val="24"/>
                <w:highlight w:val="none"/>
                <w:lang w:val="zh-CN"/>
                <w14:textFill>
                  <w14:solidFill>
                    <w14:schemeClr w14:val="tx1"/>
                  </w14:solidFill>
                </w14:textFill>
              </w:rPr>
            </w:pPr>
          </w:p>
          <w:p w14:paraId="159B4118">
            <w:pPr>
              <w:pStyle w:val="125"/>
              <w:numPr>
                <w:ilvl w:val="0"/>
                <w:numId w:val="0"/>
              </w:numPr>
              <w:spacing w:line="440" w:lineRule="exact"/>
              <w:rPr>
                <w:rFonts w:hint="default"/>
                <w:color w:val="000000" w:themeColor="text1"/>
                <w:sz w:val="24"/>
                <w:highlight w:val="none"/>
                <w:lang w:val="zh-CN"/>
                <w14:textFill>
                  <w14:solidFill>
                    <w14:schemeClr w14:val="tx1"/>
                  </w14:solidFill>
                </w14:textFill>
              </w:rPr>
            </w:pPr>
          </w:p>
          <w:p w14:paraId="7F34F53B">
            <w:pPr>
              <w:pStyle w:val="125"/>
              <w:numPr>
                <w:ilvl w:val="0"/>
                <w:numId w:val="0"/>
              </w:numPr>
              <w:spacing w:line="440" w:lineRule="exact"/>
              <w:rPr>
                <w:rFonts w:hint="default"/>
                <w:color w:val="000000" w:themeColor="text1"/>
                <w:sz w:val="24"/>
                <w:highlight w:val="none"/>
                <w:lang w:val="zh-CN"/>
                <w14:textFill>
                  <w14:solidFill>
                    <w14:schemeClr w14:val="tx1"/>
                  </w14:solidFill>
                </w14:textFill>
              </w:rPr>
            </w:pPr>
          </w:p>
          <w:p w14:paraId="52AB1B43">
            <w:pPr>
              <w:pStyle w:val="125"/>
              <w:numPr>
                <w:ilvl w:val="0"/>
                <w:numId w:val="0"/>
              </w:numPr>
              <w:spacing w:line="440" w:lineRule="exact"/>
              <w:rPr>
                <w:rFonts w:hint="default"/>
                <w:color w:val="000000" w:themeColor="text1"/>
                <w:sz w:val="24"/>
                <w:highlight w:val="none"/>
                <w:lang w:val="zh-CN"/>
                <w14:textFill>
                  <w14:solidFill>
                    <w14:schemeClr w14:val="tx1"/>
                  </w14:solidFill>
                </w14:textFill>
              </w:rPr>
            </w:pPr>
          </w:p>
          <w:p w14:paraId="1878514C">
            <w:pPr>
              <w:pStyle w:val="125"/>
              <w:numPr>
                <w:ilvl w:val="0"/>
                <w:numId w:val="0"/>
              </w:numPr>
              <w:spacing w:line="440" w:lineRule="exact"/>
              <w:rPr>
                <w:rFonts w:hint="default"/>
                <w:color w:val="000000" w:themeColor="text1"/>
                <w:sz w:val="24"/>
                <w:highlight w:val="none"/>
                <w:lang w:val="zh-CN"/>
                <w14:textFill>
                  <w14:solidFill>
                    <w14:schemeClr w14:val="tx1"/>
                  </w14:solidFill>
                </w14:textFill>
              </w:rPr>
            </w:pPr>
            <w:r>
              <w:rPr>
                <w:rFonts w:hint="default"/>
                <w:color w:val="000000" w:themeColor="text1"/>
                <w:sz w:val="24"/>
                <w:highlight w:val="none"/>
                <w:lang w:val="zh-CN"/>
                <w14:textFill>
                  <w14:solidFill>
                    <w14:schemeClr w14:val="tx1"/>
                  </w14:solidFill>
                </w14:textFill>
              </w:rPr>
              <w:t>表4-</w:t>
            </w:r>
            <w:r>
              <w:rPr>
                <w:rFonts w:hint="eastAsia"/>
                <w:color w:val="000000" w:themeColor="text1"/>
                <w:sz w:val="24"/>
                <w:highlight w:val="none"/>
                <w:lang w:val="en-US" w:eastAsia="zh-CN"/>
                <w14:textFill>
                  <w14:solidFill>
                    <w14:schemeClr w14:val="tx1"/>
                  </w14:solidFill>
                </w14:textFill>
              </w:rPr>
              <w:t xml:space="preserve">31  </w:t>
            </w:r>
            <w:r>
              <w:rPr>
                <w:rFonts w:hint="default"/>
                <w:color w:val="000000" w:themeColor="text1"/>
                <w:sz w:val="24"/>
                <w:highlight w:val="none"/>
                <w:lang w:val="zh-CN"/>
                <w14:textFill>
                  <w14:solidFill>
                    <w14:schemeClr w14:val="tx1"/>
                  </w14:solidFill>
                </w14:textFill>
              </w:rPr>
              <w:t>本项目危废废物分级表</w:t>
            </w:r>
          </w:p>
          <w:tbl>
            <w:tblPr>
              <w:tblStyle w:val="38"/>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048"/>
              <w:gridCol w:w="3471"/>
            </w:tblGrid>
            <w:tr w14:paraId="4111F6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94" w:hRule="atLeast"/>
                <w:tblHeader/>
                <w:jc w:val="center"/>
              </w:trPr>
              <w:tc>
                <w:tcPr>
                  <w:tcW w:w="2962" w:type="pct"/>
                  <w:vAlign w:val="center"/>
                </w:tcPr>
                <w:p w14:paraId="29A9C2AF">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文件要求</w:t>
                  </w:r>
                </w:p>
              </w:tc>
              <w:tc>
                <w:tcPr>
                  <w:tcW w:w="2037" w:type="pct"/>
                  <w:vAlign w:val="center"/>
                </w:tcPr>
                <w:p w14:paraId="5562D1A0">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本项目</w:t>
                  </w:r>
                </w:p>
              </w:tc>
            </w:tr>
            <w:tr w14:paraId="4BB7C9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2962" w:type="pct"/>
                  <w:vAlign w:val="center"/>
                </w:tcPr>
                <w:p w14:paraId="7CE81780">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根据危险废物的危险特性（感染性除外），按环境风险从高到低分为I级、II级和III级三个等级。Ⅰ级危险废物指可环境无害化利用或处置且被所有者申报废弃的危险化学品以及具有反应性（R）的其他危险废物；Ⅱ级危险废物指具有易燃性（I）的危险废物；Ⅲ级危险废物指具有腐蚀性（C）或毒性（T）的危险废物。</w:t>
                  </w:r>
                </w:p>
              </w:tc>
              <w:tc>
                <w:tcPr>
                  <w:tcW w:w="2037" w:type="pct"/>
                  <w:vAlign w:val="center"/>
                </w:tcPr>
                <w:p w14:paraId="2B3DE048">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w:t>
                  </w:r>
                  <w:r>
                    <w:rPr>
                      <w:rFonts w:ascii="Times New Roman" w:hAnsi="Times New Roman" w:eastAsia="宋体" w:cs="Times New Roman"/>
                      <w:color w:val="000000" w:themeColor="text1"/>
                      <w:szCs w:val="21"/>
                      <w:highlight w:val="none"/>
                      <w14:textFill>
                        <w14:solidFill>
                          <w14:schemeClr w14:val="tx1"/>
                        </w14:solidFill>
                      </w14:textFill>
                    </w:rPr>
                    <w:t>项目危废主要为</w:t>
                  </w:r>
                  <w:r>
                    <w:rPr>
                      <w:rFonts w:hint="eastAsia" w:cs="Times New Roman"/>
                      <w:color w:val="000000" w:themeColor="text1"/>
                      <w:szCs w:val="21"/>
                      <w:highlight w:val="none"/>
                      <w:lang w:val="en-US" w:eastAsia="zh-CN"/>
                      <w14:textFill>
                        <w14:solidFill>
                          <w14:schemeClr w14:val="tx1"/>
                        </w14:solidFill>
                      </w14:textFill>
                    </w:rPr>
                    <w:t>废过滤棉</w:t>
                  </w:r>
                  <w:r>
                    <w:rPr>
                      <w:rFonts w:hint="eastAsia" w:ascii="Times New Roman" w:hAnsi="Times New Roman" w:eastAsia="宋体" w:cs="Times New Roman"/>
                      <w:color w:val="000000" w:themeColor="text1"/>
                      <w:szCs w:val="21"/>
                      <w:highlight w:val="none"/>
                      <w:lang w:eastAsia="zh-CN"/>
                      <w14:textFill>
                        <w14:solidFill>
                          <w14:schemeClr w14:val="tx1"/>
                        </w14:solidFill>
                      </w14:textFill>
                    </w:rPr>
                    <w:t>、废活性炭</w:t>
                  </w:r>
                  <w:r>
                    <w:rPr>
                      <w:rFonts w:hint="eastAsia" w:cs="Times New Roman"/>
                      <w:color w:val="000000" w:themeColor="text1"/>
                      <w:szCs w:val="21"/>
                      <w:highlight w:val="none"/>
                      <w:lang w:eastAsia="zh-CN"/>
                      <w14:textFill>
                        <w14:solidFill>
                          <w14:schemeClr w14:val="tx1"/>
                        </w14:solidFill>
                      </w14:textFill>
                    </w:rPr>
                    <w:t>、</w:t>
                  </w:r>
                  <w:r>
                    <w:rPr>
                      <w:rFonts w:hint="eastAsia" w:cs="Times New Roman"/>
                      <w:color w:val="000000" w:themeColor="text1"/>
                      <w:szCs w:val="21"/>
                      <w:highlight w:val="none"/>
                      <w:lang w:val="en-US" w:eastAsia="zh-CN"/>
                      <w14:textFill>
                        <w14:solidFill>
                          <w14:schemeClr w14:val="tx1"/>
                        </w14:solidFill>
                      </w14:textFill>
                    </w:rPr>
                    <w:t>废包装物</w:t>
                  </w:r>
                  <w:r>
                    <w:rPr>
                      <w:rFonts w:hint="eastAsia" w:ascii="Times New Roman" w:hAnsi="Times New Roman" w:eastAsia="宋体" w:cs="Times New Roman"/>
                      <w:color w:val="000000" w:themeColor="text1"/>
                      <w:szCs w:val="21"/>
                      <w:highlight w:val="none"/>
                      <w14:textFill>
                        <w14:solidFill>
                          <w14:schemeClr w14:val="tx1"/>
                        </w14:solidFill>
                      </w14:textFill>
                    </w:rPr>
                    <w:t>等</w:t>
                  </w:r>
                  <w:r>
                    <w:rPr>
                      <w:rFonts w:ascii="Times New Roman" w:hAnsi="Times New Roman" w:eastAsia="宋体" w:cs="Times New Roman"/>
                      <w:color w:val="000000" w:themeColor="text1"/>
                      <w:szCs w:val="21"/>
                      <w:highlight w:val="none"/>
                      <w14:textFill>
                        <w14:solidFill>
                          <w14:schemeClr w14:val="tx1"/>
                        </w14:solidFill>
                      </w14:textFill>
                    </w:rPr>
                    <w:t>，具有</w:t>
                  </w:r>
                  <w:r>
                    <w:rPr>
                      <w:color w:val="000000" w:themeColor="text1"/>
                      <w:szCs w:val="21"/>
                      <w:highlight w:val="none"/>
                      <w14:textFill>
                        <w14:solidFill>
                          <w14:schemeClr w14:val="tx1"/>
                        </w14:solidFill>
                      </w14:textFill>
                    </w:rPr>
                    <w:t>反应性（R）</w:t>
                  </w:r>
                  <w:r>
                    <w:rPr>
                      <w:rFonts w:ascii="Times New Roman" w:hAnsi="Times New Roman" w:eastAsia="宋体" w:cs="Times New Roman"/>
                      <w:color w:val="000000" w:themeColor="text1"/>
                      <w:szCs w:val="21"/>
                      <w:highlight w:val="none"/>
                      <w14:textFill>
                        <w14:solidFill>
                          <w14:schemeClr w14:val="tx1"/>
                        </w14:solidFill>
                      </w14:textFill>
                    </w:rPr>
                    <w:t>，因此环境风险为</w:t>
                  </w:r>
                  <w:r>
                    <w:rPr>
                      <w:color w:val="000000" w:themeColor="text1"/>
                      <w:szCs w:val="21"/>
                      <w:highlight w:val="none"/>
                      <w14:textFill>
                        <w14:solidFill>
                          <w14:schemeClr w14:val="tx1"/>
                        </w14:solidFill>
                      </w14:textFill>
                    </w:rPr>
                    <w:t>Ⅰ级</w:t>
                  </w:r>
                  <w:r>
                    <w:rPr>
                      <w:rFonts w:ascii="Times New Roman" w:hAnsi="Times New Roman" w:eastAsia="宋体" w:cs="Times New Roman"/>
                      <w:color w:val="000000" w:themeColor="text1"/>
                      <w:szCs w:val="21"/>
                      <w:highlight w:val="none"/>
                      <w14:textFill>
                        <w14:solidFill>
                          <w14:schemeClr w14:val="tx1"/>
                        </w14:solidFill>
                      </w14:textFill>
                    </w:rPr>
                    <w:t>。</w:t>
                  </w:r>
                </w:p>
              </w:tc>
            </w:tr>
          </w:tbl>
          <w:p w14:paraId="733D49AC">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《危险废物转移管理办法》（2022年1月1日）</w:t>
            </w:r>
          </w:p>
          <w:p w14:paraId="59BEB6D6">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a.企业危险废物转移须严格按照《危险废物转移管理办法》（2022年1月1日）中相关要求管理。</w:t>
            </w:r>
          </w:p>
          <w:p w14:paraId="7330D268">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b.对承运人或者接受人的主体资格和技术能力进行核实，依法签订书面合同，并在合同中约定运输、贮存、利用、处置危险废物的污染防治要求及相关责任；</w:t>
            </w:r>
          </w:p>
          <w:p w14:paraId="40BECD86">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c.制定危险废物管理计划，明确拟转移危险废物的种类、重量（数量）和流向等信息；</w:t>
            </w:r>
          </w:p>
          <w:p w14:paraId="277B8E29">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d.建立危险废物管理台账，对转移的危险废物进行计量称重，如实记录、妥善保管转移危险废物的种类、重量（数量）和接收人等相关信息；</w:t>
            </w:r>
          </w:p>
          <w:p w14:paraId="7F73627C">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e.填写、运行危险废物转移联单，在危险废物转移联单中如实填写移出人、承运人、接受人信息，转移危险废物的种类、重量（数量）、危险特性等信息，以及突发环境事件的防范措施等；</w:t>
            </w:r>
          </w:p>
          <w:p w14:paraId="2D93F81B">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f.及时核实接收人贮存、利用或者处置相关危险废物情况。</w:t>
            </w:r>
          </w:p>
          <w:p w14:paraId="1121D0ED">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3）委托利用或处置可行性分析</w:t>
            </w:r>
          </w:p>
          <w:p w14:paraId="38A945C1">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本项目所产生的危险废物代码类</w:t>
            </w:r>
            <w:r>
              <w:rPr>
                <w:rFonts w:ascii="Times New Roman" w:hAnsi="Times New Roman" w:eastAsia="宋体" w:cs="Times New Roman"/>
                <w:color w:val="000000" w:themeColor="text1"/>
                <w:sz w:val="24"/>
                <w:highlight w:val="none"/>
                <w:lang w:val="zh-CN"/>
                <w14:textFill>
                  <w14:solidFill>
                    <w14:schemeClr w14:val="tx1"/>
                  </w14:solidFill>
                </w14:textFill>
              </w:rPr>
              <w:t>别主要为900-0</w:t>
            </w:r>
            <w:r>
              <w:rPr>
                <w:rFonts w:hint="eastAsia" w:ascii="Times New Roman" w:hAnsi="Times New Roman" w:eastAsia="宋体" w:cs="Times New Roman"/>
                <w:color w:val="000000" w:themeColor="text1"/>
                <w:sz w:val="24"/>
                <w:highlight w:val="none"/>
                <w:lang w:val="zh-CN"/>
                <w14:textFill>
                  <w14:solidFill>
                    <w14:schemeClr w14:val="tx1"/>
                  </w14:solidFill>
                </w14:textFill>
              </w:rPr>
              <w:t>39</w:t>
            </w:r>
            <w:r>
              <w:rPr>
                <w:rFonts w:ascii="Times New Roman" w:hAnsi="Times New Roman" w:eastAsia="宋体" w:cs="Times New Roman"/>
                <w:color w:val="000000" w:themeColor="text1"/>
                <w:sz w:val="24"/>
                <w:highlight w:val="none"/>
                <w:lang w:val="zh-CN"/>
                <w14:textFill>
                  <w14:solidFill>
                    <w14:schemeClr w14:val="tx1"/>
                  </w14:solidFill>
                </w14:textFill>
              </w:rPr>
              <w:t>-49</w:t>
            </w:r>
            <w:r>
              <w:rPr>
                <w:rFonts w:hint="eastAsia"/>
                <w:color w:val="000000" w:themeColor="text1"/>
                <w:sz w:val="24"/>
                <w:highlight w:val="none"/>
                <w:lang w:val="zh-CN"/>
                <w14:textFill>
                  <w14:solidFill>
                    <w14:schemeClr w14:val="tx1"/>
                  </w14:solidFill>
                </w14:textFill>
              </w:rPr>
              <w:t>、</w:t>
            </w:r>
            <w:r>
              <w:rPr>
                <w:color w:val="000000" w:themeColor="text1"/>
                <w:sz w:val="24"/>
                <w:highlight w:val="none"/>
                <w:lang w:val="zh-CN"/>
                <w14:textFill>
                  <w14:solidFill>
                    <w14:schemeClr w14:val="tx1"/>
                  </w14:solidFill>
                </w14:textFill>
              </w:rPr>
              <w:t>900-041-49，可合作的危险废物处置单位有</w:t>
            </w:r>
            <w:r>
              <w:rPr>
                <w:rFonts w:hint="eastAsia"/>
                <w:color w:val="000000" w:themeColor="text1"/>
                <w:sz w:val="24"/>
                <w:highlight w:val="none"/>
                <w:lang w:val="zh-CN"/>
                <w14:textFill>
                  <w14:solidFill>
                    <w14:schemeClr w14:val="tx1"/>
                  </w14:solidFill>
                </w14:textFill>
              </w:rPr>
              <w:t>南京乾鼎长环保集团有限公司</w:t>
            </w:r>
            <w:r>
              <w:rPr>
                <w:color w:val="000000" w:themeColor="text1"/>
                <w:sz w:val="24"/>
                <w:highlight w:val="none"/>
                <w:lang w:val="zh-CN"/>
                <w14:textFill>
                  <w14:solidFill>
                    <w14:schemeClr w14:val="tx1"/>
                  </w14:solidFill>
                </w14:textFill>
              </w:rPr>
              <w:t>、</w:t>
            </w:r>
            <w:r>
              <w:rPr>
                <w:rFonts w:hint="eastAsia"/>
                <w:color w:val="000000" w:themeColor="text1"/>
                <w:sz w:val="24"/>
                <w:highlight w:val="none"/>
                <w:lang w:val="zh-CN"/>
                <w14:textFill>
                  <w14:solidFill>
                    <w14:schemeClr w14:val="tx1"/>
                  </w14:solidFill>
                </w14:textFill>
              </w:rPr>
              <w:t>江苏乾江环境科技有限公司</w:t>
            </w:r>
            <w:r>
              <w:rPr>
                <w:color w:val="000000" w:themeColor="text1"/>
                <w:sz w:val="24"/>
                <w:highlight w:val="none"/>
                <w:lang w:val="zh-CN"/>
                <w14:textFill>
                  <w14:solidFill>
                    <w14:schemeClr w14:val="tx1"/>
                  </w14:solidFill>
                </w14:textFill>
              </w:rPr>
              <w:t>，本项目产生的危险废物种类在上述危险废物处置单位的核准经营范围之内，且以上公司有足够的余量接纳。</w:t>
            </w:r>
          </w:p>
          <w:p w14:paraId="7FB9C9B8">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可委托的危险废物处置单位见下表。</w:t>
            </w:r>
          </w:p>
          <w:p w14:paraId="14B23371">
            <w:pPr>
              <w:pStyle w:val="125"/>
              <w:numPr>
                <w:ilvl w:val="0"/>
                <w:numId w:val="0"/>
              </w:numPr>
              <w:spacing w:line="460" w:lineRule="exact"/>
              <w:rPr>
                <w:rFonts w:hint="default"/>
                <w:color w:val="000000" w:themeColor="text1"/>
                <w:sz w:val="24"/>
                <w:highlight w:val="none"/>
                <w:lang w:val="zh-CN"/>
                <w14:textFill>
                  <w14:solidFill>
                    <w14:schemeClr w14:val="tx1"/>
                  </w14:solidFill>
                </w14:textFill>
              </w:rPr>
            </w:pPr>
            <w:r>
              <w:rPr>
                <w:rFonts w:hint="default"/>
                <w:color w:val="000000" w:themeColor="text1"/>
                <w:sz w:val="24"/>
                <w:highlight w:val="none"/>
                <w:lang w:val="zh-CN"/>
                <w14:textFill>
                  <w14:solidFill>
                    <w14:schemeClr w14:val="tx1"/>
                  </w14:solidFill>
                </w14:textFill>
              </w:rPr>
              <w:t>表4-</w:t>
            </w:r>
            <w:r>
              <w:rPr>
                <w:rFonts w:hint="eastAsia"/>
                <w:color w:val="000000" w:themeColor="text1"/>
                <w:sz w:val="24"/>
                <w:highlight w:val="none"/>
                <w:lang w:val="en-US" w:eastAsia="zh-CN"/>
                <w14:textFill>
                  <w14:solidFill>
                    <w14:schemeClr w14:val="tx1"/>
                  </w14:solidFill>
                </w14:textFill>
              </w:rPr>
              <w:t xml:space="preserve">32  </w:t>
            </w:r>
            <w:r>
              <w:rPr>
                <w:rFonts w:hint="default"/>
                <w:color w:val="000000" w:themeColor="text1"/>
                <w:sz w:val="24"/>
                <w:highlight w:val="none"/>
                <w:lang w:val="zh-CN"/>
                <w14:textFill>
                  <w14:solidFill>
                    <w14:schemeClr w14:val="tx1"/>
                  </w14:solidFill>
                </w14:textFill>
              </w:rPr>
              <w:t>企业</w:t>
            </w:r>
            <w:r>
              <w:rPr>
                <w:rFonts w:hint="default"/>
                <w:color w:val="000000" w:themeColor="text1"/>
                <w:sz w:val="24"/>
                <w:highlight w:val="none"/>
                <w14:textFill>
                  <w14:solidFill>
                    <w14:schemeClr w14:val="tx1"/>
                  </w14:solidFill>
                </w14:textFill>
              </w:rPr>
              <w:t>可</w:t>
            </w:r>
            <w:r>
              <w:rPr>
                <w:rFonts w:hint="default"/>
                <w:color w:val="000000" w:themeColor="text1"/>
                <w:sz w:val="24"/>
                <w:highlight w:val="none"/>
                <w:lang w:val="zh-CN"/>
                <w14:textFill>
                  <w14:solidFill>
                    <w14:schemeClr w14:val="tx1"/>
                  </w14:solidFill>
                </w14:textFill>
              </w:rPr>
              <w:t>委托危险废物处置经营单位表</w:t>
            </w:r>
          </w:p>
          <w:tbl>
            <w:tblPr>
              <w:tblStyle w:val="39"/>
              <w:tblW w:w="4998" w:type="pct"/>
              <w:tblInd w:w="0" w:type="dxa"/>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fixed"/>
              <w:tblCellMar>
                <w:top w:w="0" w:type="dxa"/>
                <w:left w:w="108" w:type="dxa"/>
                <w:bottom w:w="0" w:type="dxa"/>
                <w:right w:w="108" w:type="dxa"/>
              </w:tblCellMar>
            </w:tblPr>
            <w:tblGrid>
              <w:gridCol w:w="712"/>
              <w:gridCol w:w="1103"/>
              <w:gridCol w:w="1004"/>
              <w:gridCol w:w="5700"/>
            </w:tblGrid>
            <w:tr w14:paraId="03AE5FA8">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418" w:type="pct"/>
                  <w:tcBorders>
                    <w:tl2br w:val="nil"/>
                    <w:tr2bl w:val="nil"/>
                  </w:tcBorders>
                  <w:vAlign w:val="center"/>
                </w:tcPr>
                <w:p w14:paraId="44CA1875">
                  <w:pPr>
                    <w:pStyle w:val="124"/>
                    <w:keepNext w:val="0"/>
                    <w:keepLines w:val="0"/>
                    <w:pageBreakBefore w:val="0"/>
                    <w:widowControl/>
                    <w:kinsoku/>
                    <w:wordWrap/>
                    <w:overflowPunct/>
                    <w:topLinePunct w:val="0"/>
                    <w:autoSpaceDE/>
                    <w:autoSpaceDN/>
                    <w:bidi w:val="0"/>
                    <w:adjustRightInd w:val="0"/>
                    <w:snapToGrid w:val="0"/>
                    <w:spacing w:before="0" w:after="0" w:line="240" w:lineRule="exact"/>
                    <w:ind w:right="0"/>
                    <w:textAlignment w:val="auto"/>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序号</w:t>
                  </w:r>
                </w:p>
              </w:tc>
              <w:tc>
                <w:tcPr>
                  <w:tcW w:w="647" w:type="pct"/>
                  <w:tcBorders>
                    <w:tl2br w:val="nil"/>
                    <w:tr2bl w:val="nil"/>
                  </w:tcBorders>
                  <w:vAlign w:val="center"/>
                </w:tcPr>
                <w:p w14:paraId="3E3B023B">
                  <w:pPr>
                    <w:pStyle w:val="124"/>
                    <w:keepNext w:val="0"/>
                    <w:keepLines w:val="0"/>
                    <w:pageBreakBefore w:val="0"/>
                    <w:widowControl/>
                    <w:kinsoku/>
                    <w:wordWrap/>
                    <w:overflowPunct/>
                    <w:topLinePunct w:val="0"/>
                    <w:autoSpaceDE/>
                    <w:autoSpaceDN/>
                    <w:bidi w:val="0"/>
                    <w:adjustRightInd w:val="0"/>
                    <w:snapToGrid w:val="0"/>
                    <w:spacing w:before="0" w:after="0" w:line="240" w:lineRule="exact"/>
                    <w:ind w:right="0"/>
                    <w:textAlignment w:val="auto"/>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企业名称</w:t>
                  </w:r>
                </w:p>
              </w:tc>
              <w:tc>
                <w:tcPr>
                  <w:tcW w:w="589" w:type="pct"/>
                  <w:tcBorders>
                    <w:tl2br w:val="nil"/>
                    <w:tr2bl w:val="nil"/>
                  </w:tcBorders>
                  <w:vAlign w:val="center"/>
                </w:tcPr>
                <w:p w14:paraId="18A2FAFA">
                  <w:pPr>
                    <w:pStyle w:val="124"/>
                    <w:keepNext w:val="0"/>
                    <w:keepLines w:val="0"/>
                    <w:pageBreakBefore w:val="0"/>
                    <w:widowControl/>
                    <w:kinsoku/>
                    <w:wordWrap/>
                    <w:overflowPunct/>
                    <w:topLinePunct w:val="0"/>
                    <w:autoSpaceDE/>
                    <w:autoSpaceDN/>
                    <w:bidi w:val="0"/>
                    <w:adjustRightInd w:val="0"/>
                    <w:snapToGrid w:val="0"/>
                    <w:spacing w:before="0" w:after="0" w:line="240" w:lineRule="exact"/>
                    <w:ind w:right="0"/>
                    <w:textAlignment w:val="auto"/>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位置</w:t>
                  </w:r>
                </w:p>
              </w:tc>
              <w:tc>
                <w:tcPr>
                  <w:tcW w:w="3344" w:type="pct"/>
                  <w:tcBorders>
                    <w:tl2br w:val="nil"/>
                    <w:tr2bl w:val="nil"/>
                  </w:tcBorders>
                  <w:vAlign w:val="center"/>
                </w:tcPr>
                <w:p w14:paraId="32D322F8">
                  <w:pPr>
                    <w:pStyle w:val="124"/>
                    <w:keepNext w:val="0"/>
                    <w:keepLines w:val="0"/>
                    <w:pageBreakBefore w:val="0"/>
                    <w:widowControl/>
                    <w:kinsoku/>
                    <w:wordWrap/>
                    <w:overflowPunct/>
                    <w:topLinePunct w:val="0"/>
                    <w:autoSpaceDE/>
                    <w:autoSpaceDN/>
                    <w:bidi w:val="0"/>
                    <w:adjustRightInd w:val="0"/>
                    <w:snapToGrid w:val="0"/>
                    <w:spacing w:before="0" w:after="0" w:line="240" w:lineRule="exact"/>
                    <w:ind w:right="0"/>
                    <w:textAlignment w:val="auto"/>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经营范围</w:t>
                  </w:r>
                </w:p>
              </w:tc>
            </w:tr>
            <w:tr w14:paraId="7BF9897A">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418" w:type="pct"/>
                  <w:tcBorders>
                    <w:tl2br w:val="nil"/>
                    <w:tr2bl w:val="nil"/>
                  </w:tcBorders>
                  <w:vAlign w:val="center"/>
                </w:tcPr>
                <w:p w14:paraId="70AAFA34">
                  <w:pPr>
                    <w:pStyle w:val="124"/>
                    <w:keepNext w:val="0"/>
                    <w:keepLines w:val="0"/>
                    <w:pageBreakBefore w:val="0"/>
                    <w:widowControl/>
                    <w:kinsoku/>
                    <w:wordWrap/>
                    <w:overflowPunct/>
                    <w:topLinePunct w:val="0"/>
                    <w:autoSpaceDE/>
                    <w:autoSpaceDN/>
                    <w:bidi w:val="0"/>
                    <w:adjustRightInd w:val="0"/>
                    <w:snapToGrid w:val="0"/>
                    <w:spacing w:before="0" w:after="0" w:line="240" w:lineRule="exact"/>
                    <w:ind w:right="0"/>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c>
                <w:tcPr>
                  <w:tcW w:w="647" w:type="pct"/>
                  <w:tcBorders>
                    <w:tl2br w:val="nil"/>
                    <w:tr2bl w:val="nil"/>
                  </w:tcBorders>
                  <w:vAlign w:val="center"/>
                </w:tcPr>
                <w:p w14:paraId="082BA4EE">
                  <w:pPr>
                    <w:pStyle w:val="124"/>
                    <w:keepNext w:val="0"/>
                    <w:keepLines w:val="0"/>
                    <w:pageBreakBefore w:val="0"/>
                    <w:widowControl/>
                    <w:kinsoku/>
                    <w:wordWrap/>
                    <w:overflowPunct/>
                    <w:topLinePunct w:val="0"/>
                    <w:autoSpaceDE/>
                    <w:autoSpaceDN/>
                    <w:bidi w:val="0"/>
                    <w:adjustRightInd w:val="0"/>
                    <w:snapToGrid w:val="0"/>
                    <w:spacing w:before="0" w:after="0" w:line="240" w:lineRule="exact"/>
                    <w:ind w:right="0"/>
                    <w:textAlignment w:val="auto"/>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江苏乾江环境科技有限公司</w:t>
                  </w:r>
                </w:p>
              </w:tc>
              <w:tc>
                <w:tcPr>
                  <w:tcW w:w="589" w:type="pct"/>
                  <w:tcBorders>
                    <w:tl2br w:val="nil"/>
                    <w:tr2bl w:val="nil"/>
                  </w:tcBorders>
                  <w:vAlign w:val="center"/>
                </w:tcPr>
                <w:p w14:paraId="21E53B99">
                  <w:pPr>
                    <w:pStyle w:val="124"/>
                    <w:keepNext w:val="0"/>
                    <w:keepLines w:val="0"/>
                    <w:pageBreakBefore w:val="0"/>
                    <w:widowControl/>
                    <w:kinsoku/>
                    <w:wordWrap/>
                    <w:overflowPunct/>
                    <w:topLinePunct w:val="0"/>
                    <w:autoSpaceDE/>
                    <w:autoSpaceDN/>
                    <w:bidi w:val="0"/>
                    <w:adjustRightInd w:val="0"/>
                    <w:snapToGrid w:val="0"/>
                    <w:spacing w:before="0" w:after="0" w:line="240" w:lineRule="exact"/>
                    <w:ind w:right="0"/>
                    <w:textAlignment w:val="auto"/>
                    <w:rPr>
                      <w:rFonts w:hint="eastAsia"/>
                      <w:color w:val="000000" w:themeColor="text1"/>
                      <w:sz w:val="21"/>
                      <w:szCs w:val="21"/>
                      <w:highlight w:val="none"/>
                      <w:lang w:val="zh-CN" w:eastAsia="zh-CN"/>
                      <w14:textFill>
                        <w14:solidFill>
                          <w14:schemeClr w14:val="tx1"/>
                        </w14:solidFill>
                      </w14:textFill>
                    </w:rPr>
                  </w:pPr>
                  <w:r>
                    <w:rPr>
                      <w:rFonts w:hint="eastAsia"/>
                      <w:color w:val="000000" w:themeColor="text1"/>
                      <w:sz w:val="21"/>
                      <w:szCs w:val="21"/>
                      <w:highlight w:val="none"/>
                      <w:lang w:val="zh-CN" w:eastAsia="zh-CN"/>
                      <w14:textFill>
                        <w14:solidFill>
                          <w14:schemeClr w14:val="tx1"/>
                        </w14:solidFill>
                      </w14:textFill>
                    </w:rPr>
                    <w:t>南京市浦口区董庄路10号</w:t>
                  </w:r>
                </w:p>
              </w:tc>
              <w:tc>
                <w:tcPr>
                  <w:tcW w:w="3344" w:type="pct"/>
                  <w:tcBorders>
                    <w:tl2br w:val="nil"/>
                    <w:tr2bl w:val="nil"/>
                  </w:tcBorders>
                  <w:vAlign w:val="center"/>
                </w:tcPr>
                <w:p w14:paraId="585CE4A8">
                  <w:pPr>
                    <w:pStyle w:val="124"/>
                    <w:keepNext w:val="0"/>
                    <w:keepLines w:val="0"/>
                    <w:pageBreakBefore w:val="0"/>
                    <w:widowControl/>
                    <w:kinsoku/>
                    <w:wordWrap/>
                    <w:overflowPunct/>
                    <w:topLinePunct w:val="0"/>
                    <w:autoSpaceDE/>
                    <w:autoSpaceDN/>
                    <w:bidi w:val="0"/>
                    <w:adjustRightInd w:val="0"/>
                    <w:snapToGrid w:val="0"/>
                    <w:spacing w:before="0" w:after="0" w:line="240" w:lineRule="exact"/>
                    <w:ind w:right="0"/>
                    <w:jc w:val="left"/>
                    <w:textAlignment w:val="auto"/>
                    <w:rPr>
                      <w:color w:val="000000" w:themeColor="text1"/>
                      <w:sz w:val="21"/>
                      <w:szCs w:val="21"/>
                      <w:highlight w:val="none"/>
                      <w:lang w:val="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填埋处置热处理含氰废物（HW07），表面处理废物（HW17），焚烧处置残渣（HW18），含金属羰基化合物废物（HW19），含铍废物（HW20），含铬废物（HW21），含铜废物（HW22，仅限304-001-22、398-051-22），含锌废物（HW23，仅限312-001-23、336-103-23、900-021-23），含砷废物（HW24），含硒废物（HW25），含镉废物（HW26），含锑废物（HW27），含碲废物（HW28），含铊废物（HW30），含铅废物（HW31，仅限304-002-31、384-004-31、900-025-31、900-052-31（不含废铅蓄电池）），无机氰化物废物（HW33，仅限092-003-33、900-027-33、900-028-33、900-029-33），废酸渣（HW34，仅限251-014-34、264-013-34、261-057-34、900-349-34），废碱渣（HW35，仅限251-015-35、261-059-35、221-002-35、900-399-35），石棉废物（HW36），含镍废物（HW46），含钡废物（HW47），其他废物（HW49，仅限900-039-49、772-006-49、900-041-49、900-042-49、900-046-49、900-999-49），合计30000吨/年</w:t>
                  </w:r>
                </w:p>
              </w:tc>
            </w:tr>
            <w:tr w14:paraId="7BB00232">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418" w:type="pct"/>
                  <w:tcBorders>
                    <w:tl2br w:val="nil"/>
                    <w:tr2bl w:val="nil"/>
                  </w:tcBorders>
                  <w:vAlign w:val="center"/>
                </w:tcPr>
                <w:p w14:paraId="625C0190">
                  <w:pPr>
                    <w:pStyle w:val="124"/>
                    <w:keepNext w:val="0"/>
                    <w:keepLines w:val="0"/>
                    <w:pageBreakBefore w:val="0"/>
                    <w:widowControl/>
                    <w:kinsoku/>
                    <w:wordWrap/>
                    <w:overflowPunct/>
                    <w:topLinePunct w:val="0"/>
                    <w:autoSpaceDE/>
                    <w:autoSpaceDN/>
                    <w:bidi w:val="0"/>
                    <w:adjustRightInd w:val="0"/>
                    <w:snapToGrid w:val="0"/>
                    <w:spacing w:before="0" w:after="0" w:line="240" w:lineRule="exact"/>
                    <w:ind w:right="0"/>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647" w:type="pct"/>
                  <w:tcBorders>
                    <w:tl2br w:val="nil"/>
                    <w:tr2bl w:val="nil"/>
                  </w:tcBorders>
                  <w:vAlign w:val="center"/>
                </w:tcPr>
                <w:p w14:paraId="69E836E5">
                  <w:pPr>
                    <w:pStyle w:val="124"/>
                    <w:keepNext w:val="0"/>
                    <w:keepLines w:val="0"/>
                    <w:pageBreakBefore w:val="0"/>
                    <w:widowControl/>
                    <w:kinsoku/>
                    <w:wordWrap/>
                    <w:overflowPunct/>
                    <w:topLinePunct w:val="0"/>
                    <w:autoSpaceDE/>
                    <w:autoSpaceDN/>
                    <w:bidi w:val="0"/>
                    <w:adjustRightInd w:val="0"/>
                    <w:snapToGrid w:val="0"/>
                    <w:spacing w:before="0" w:after="0" w:line="240" w:lineRule="exact"/>
                    <w:ind w:right="0"/>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zh-CN"/>
                      <w14:textFill>
                        <w14:solidFill>
                          <w14:schemeClr w14:val="tx1"/>
                        </w14:solidFill>
                      </w14:textFill>
                    </w:rPr>
                    <w:t>南京乾鼎长环保集团有限公司</w:t>
                  </w:r>
                </w:p>
              </w:tc>
              <w:tc>
                <w:tcPr>
                  <w:tcW w:w="589" w:type="pct"/>
                  <w:tcBorders>
                    <w:tl2br w:val="nil"/>
                    <w:tr2bl w:val="nil"/>
                  </w:tcBorders>
                  <w:vAlign w:val="center"/>
                </w:tcPr>
                <w:p w14:paraId="301AC537">
                  <w:pPr>
                    <w:pStyle w:val="124"/>
                    <w:keepNext w:val="0"/>
                    <w:keepLines w:val="0"/>
                    <w:pageBreakBefore w:val="0"/>
                    <w:widowControl/>
                    <w:kinsoku/>
                    <w:wordWrap/>
                    <w:overflowPunct/>
                    <w:topLinePunct w:val="0"/>
                    <w:autoSpaceDE/>
                    <w:autoSpaceDN/>
                    <w:bidi w:val="0"/>
                    <w:adjustRightInd w:val="0"/>
                    <w:snapToGrid w:val="0"/>
                    <w:spacing w:before="0" w:after="0" w:line="240" w:lineRule="exact"/>
                    <w:ind w:right="0"/>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lang w:val="zh-CN"/>
                      <w14:textFill>
                        <w14:solidFill>
                          <w14:schemeClr w14:val="tx1"/>
                        </w14:solidFill>
                      </w14:textFill>
                    </w:rPr>
                    <w:t>南京市江宁区汤铜路22号</w:t>
                  </w:r>
                </w:p>
              </w:tc>
              <w:tc>
                <w:tcPr>
                  <w:tcW w:w="3344" w:type="pct"/>
                  <w:tcBorders>
                    <w:tl2br w:val="nil"/>
                    <w:tr2bl w:val="nil"/>
                  </w:tcBorders>
                  <w:vAlign w:val="center"/>
                </w:tcPr>
                <w:p w14:paraId="25B869EE">
                  <w:pPr>
                    <w:pStyle w:val="124"/>
                    <w:keepNext w:val="0"/>
                    <w:keepLines w:val="0"/>
                    <w:pageBreakBefore w:val="0"/>
                    <w:widowControl/>
                    <w:kinsoku/>
                    <w:wordWrap/>
                    <w:overflowPunct/>
                    <w:topLinePunct w:val="0"/>
                    <w:autoSpaceDE/>
                    <w:autoSpaceDN/>
                    <w:bidi w:val="0"/>
                    <w:adjustRightInd w:val="0"/>
                    <w:snapToGrid w:val="0"/>
                    <w:spacing w:before="0" w:after="0" w:line="240" w:lineRule="exact"/>
                    <w:ind w:right="0"/>
                    <w:jc w:val="left"/>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lang w:val="zh-CN"/>
                      <w14:textFill>
                        <w14:solidFill>
                          <w14:schemeClr w14:val="tx1"/>
                        </w14:solidFill>
                      </w14:textFill>
                    </w:rPr>
                    <w:t>收集、处置和利用废旧塑料机油壶（HW08，900</w:t>
                  </w:r>
                  <w:r>
                    <w:rPr>
                      <w:rFonts w:hint="eastAsia"/>
                      <w:color w:val="000000" w:themeColor="text1"/>
                      <w:sz w:val="21"/>
                      <w:szCs w:val="21"/>
                      <w:highlight w:val="none"/>
                      <w:lang w:val="zh-CN"/>
                      <w14:textFill>
                        <w14:solidFill>
                          <w14:schemeClr w14:val="tx1"/>
                        </w14:solidFill>
                      </w14:textFill>
                    </w:rPr>
                    <w:t>-</w:t>
                  </w:r>
                  <w:r>
                    <w:rPr>
                      <w:color w:val="000000" w:themeColor="text1"/>
                      <w:sz w:val="21"/>
                      <w:szCs w:val="21"/>
                      <w:highlight w:val="none"/>
                      <w:lang w:val="zh-CN"/>
                      <w14:textFill>
                        <w14:solidFill>
                          <w14:schemeClr w14:val="tx1"/>
                        </w14:solidFill>
                      </w14:textFill>
                    </w:rPr>
                    <w:t>249</w:t>
                  </w:r>
                  <w:r>
                    <w:rPr>
                      <w:rFonts w:hint="eastAsia"/>
                      <w:color w:val="000000" w:themeColor="text1"/>
                      <w:sz w:val="21"/>
                      <w:szCs w:val="21"/>
                      <w:highlight w:val="none"/>
                      <w:lang w:val="zh-CN"/>
                      <w14:textFill>
                        <w14:solidFill>
                          <w14:schemeClr w14:val="tx1"/>
                        </w14:solidFill>
                      </w14:textFill>
                    </w:rPr>
                    <w:t>-</w:t>
                  </w:r>
                  <w:r>
                    <w:rPr>
                      <w:color w:val="000000" w:themeColor="text1"/>
                      <w:sz w:val="21"/>
                      <w:szCs w:val="21"/>
                      <w:highlight w:val="none"/>
                      <w:lang w:val="zh-CN"/>
                      <w14:textFill>
                        <w14:solidFill>
                          <w14:schemeClr w14:val="tx1"/>
                        </w14:solidFill>
                      </w14:textFill>
                    </w:rPr>
                    <w:t>08）1000吨/年，废机油滤芯（HW49，900</w:t>
                  </w:r>
                  <w:r>
                    <w:rPr>
                      <w:rFonts w:hint="eastAsia"/>
                      <w:color w:val="000000" w:themeColor="text1"/>
                      <w:sz w:val="21"/>
                      <w:szCs w:val="21"/>
                      <w:highlight w:val="none"/>
                      <w:lang w:val="zh-CN"/>
                      <w14:textFill>
                        <w14:solidFill>
                          <w14:schemeClr w14:val="tx1"/>
                        </w14:solidFill>
                      </w14:textFill>
                    </w:rPr>
                    <w:t>-</w:t>
                  </w:r>
                  <w:r>
                    <w:rPr>
                      <w:color w:val="000000" w:themeColor="text1"/>
                      <w:sz w:val="21"/>
                      <w:szCs w:val="21"/>
                      <w:highlight w:val="none"/>
                      <w:lang w:val="zh-CN"/>
                      <w14:textFill>
                        <w14:solidFill>
                          <w14:schemeClr w14:val="tx1"/>
                        </w14:solidFill>
                      </w14:textFill>
                    </w:rPr>
                    <w:t>041</w:t>
                  </w:r>
                  <w:r>
                    <w:rPr>
                      <w:rFonts w:hint="eastAsia"/>
                      <w:color w:val="000000" w:themeColor="text1"/>
                      <w:sz w:val="21"/>
                      <w:szCs w:val="21"/>
                      <w:highlight w:val="none"/>
                      <w:lang w:val="zh-CN"/>
                      <w14:textFill>
                        <w14:solidFill>
                          <w14:schemeClr w14:val="tx1"/>
                        </w14:solidFill>
                      </w14:textFill>
                    </w:rPr>
                    <w:t>-</w:t>
                  </w:r>
                  <w:r>
                    <w:rPr>
                      <w:color w:val="000000" w:themeColor="text1"/>
                      <w:sz w:val="21"/>
                      <w:szCs w:val="21"/>
                      <w:highlight w:val="none"/>
                      <w:lang w:val="zh-CN"/>
                      <w14:textFill>
                        <w14:solidFill>
                          <w14:schemeClr w14:val="tx1"/>
                        </w14:solidFill>
                      </w14:textFill>
                    </w:rPr>
                    <w:t>49）6000吨/年，废金属机油桶（HW08，900</w:t>
                  </w:r>
                  <w:r>
                    <w:rPr>
                      <w:rFonts w:hint="eastAsia"/>
                      <w:color w:val="000000" w:themeColor="text1"/>
                      <w:sz w:val="21"/>
                      <w:szCs w:val="21"/>
                      <w:highlight w:val="none"/>
                      <w:lang w:val="zh-CN"/>
                      <w14:textFill>
                        <w14:solidFill>
                          <w14:schemeClr w14:val="tx1"/>
                        </w14:solidFill>
                      </w14:textFill>
                    </w:rPr>
                    <w:t>-</w:t>
                  </w:r>
                  <w:r>
                    <w:rPr>
                      <w:color w:val="000000" w:themeColor="text1"/>
                      <w:sz w:val="21"/>
                      <w:szCs w:val="21"/>
                      <w:highlight w:val="none"/>
                      <w:lang w:val="zh-CN"/>
                      <w14:textFill>
                        <w14:solidFill>
                          <w14:schemeClr w14:val="tx1"/>
                        </w14:solidFill>
                      </w14:textFill>
                    </w:rPr>
                    <w:t>249</w:t>
                  </w:r>
                  <w:r>
                    <w:rPr>
                      <w:rFonts w:hint="eastAsia"/>
                      <w:color w:val="000000" w:themeColor="text1"/>
                      <w:sz w:val="21"/>
                      <w:szCs w:val="21"/>
                      <w:highlight w:val="none"/>
                      <w:lang w:val="zh-CN"/>
                      <w14:textFill>
                        <w14:solidFill>
                          <w14:schemeClr w14:val="tx1"/>
                        </w14:solidFill>
                      </w14:textFill>
                    </w:rPr>
                    <w:t>-</w:t>
                  </w:r>
                  <w:r>
                    <w:rPr>
                      <w:color w:val="000000" w:themeColor="text1"/>
                      <w:sz w:val="21"/>
                      <w:szCs w:val="21"/>
                      <w:highlight w:val="none"/>
                      <w:lang w:val="zh-CN"/>
                      <w14:textFill>
                        <w14:solidFill>
                          <w14:schemeClr w14:val="tx1"/>
                        </w14:solidFill>
                      </w14:textFill>
                    </w:rPr>
                    <w:t>08）2000吨/年，废油漆桶、废腻子桶、废胶桶、废树脂桶、废油墨桶等危险废物（HW49，900</w:t>
                  </w:r>
                  <w:r>
                    <w:rPr>
                      <w:rFonts w:hint="eastAsia"/>
                      <w:color w:val="000000" w:themeColor="text1"/>
                      <w:sz w:val="21"/>
                      <w:szCs w:val="21"/>
                      <w:highlight w:val="none"/>
                      <w:lang w:val="zh-CN"/>
                      <w14:textFill>
                        <w14:solidFill>
                          <w14:schemeClr w14:val="tx1"/>
                        </w14:solidFill>
                      </w14:textFill>
                    </w:rPr>
                    <w:t>-</w:t>
                  </w:r>
                  <w:r>
                    <w:rPr>
                      <w:color w:val="000000" w:themeColor="text1"/>
                      <w:sz w:val="21"/>
                      <w:szCs w:val="21"/>
                      <w:highlight w:val="none"/>
                      <w:lang w:val="zh-CN"/>
                      <w14:textFill>
                        <w14:solidFill>
                          <w14:schemeClr w14:val="tx1"/>
                        </w14:solidFill>
                      </w14:textFill>
                    </w:rPr>
                    <w:t>041</w:t>
                  </w:r>
                  <w:r>
                    <w:rPr>
                      <w:rFonts w:hint="eastAsia"/>
                      <w:color w:val="000000" w:themeColor="text1"/>
                      <w:sz w:val="21"/>
                      <w:szCs w:val="21"/>
                      <w:highlight w:val="none"/>
                      <w:lang w:val="zh-CN"/>
                      <w14:textFill>
                        <w14:solidFill>
                          <w14:schemeClr w14:val="tx1"/>
                        </w14:solidFill>
                      </w14:textFill>
                    </w:rPr>
                    <w:t>-</w:t>
                  </w:r>
                  <w:r>
                    <w:rPr>
                      <w:color w:val="000000" w:themeColor="text1"/>
                      <w:sz w:val="21"/>
                      <w:szCs w:val="21"/>
                      <w:highlight w:val="none"/>
                      <w:lang w:val="zh-CN"/>
                      <w14:textFill>
                        <w14:solidFill>
                          <w14:schemeClr w14:val="tx1"/>
                        </w14:solidFill>
                      </w14:textFill>
                    </w:rPr>
                    <w:t>49）3000吨/年，含废润滑油棉纱、手套、含油木屑、吸油棉、吸油毡、吸油纸（HW49，900</w:t>
                  </w:r>
                  <w:r>
                    <w:rPr>
                      <w:rFonts w:hint="eastAsia"/>
                      <w:color w:val="000000" w:themeColor="text1"/>
                      <w:sz w:val="21"/>
                      <w:szCs w:val="21"/>
                      <w:highlight w:val="none"/>
                      <w:lang w:val="zh-CN"/>
                      <w14:textFill>
                        <w14:solidFill>
                          <w14:schemeClr w14:val="tx1"/>
                        </w14:solidFill>
                      </w14:textFill>
                    </w:rPr>
                    <w:t>-</w:t>
                  </w:r>
                  <w:r>
                    <w:rPr>
                      <w:color w:val="000000" w:themeColor="text1"/>
                      <w:sz w:val="21"/>
                      <w:szCs w:val="21"/>
                      <w:highlight w:val="none"/>
                      <w:lang w:val="zh-CN"/>
                      <w14:textFill>
                        <w14:solidFill>
                          <w14:schemeClr w14:val="tx1"/>
                        </w14:solidFill>
                      </w14:textFill>
                    </w:rPr>
                    <w:t>041</w:t>
                  </w:r>
                  <w:r>
                    <w:rPr>
                      <w:rFonts w:hint="eastAsia"/>
                      <w:color w:val="000000" w:themeColor="text1"/>
                      <w:sz w:val="21"/>
                      <w:szCs w:val="21"/>
                      <w:highlight w:val="none"/>
                      <w:lang w:val="zh-CN"/>
                      <w14:textFill>
                        <w14:solidFill>
                          <w14:schemeClr w14:val="tx1"/>
                        </w14:solidFill>
                      </w14:textFill>
                    </w:rPr>
                    <w:t>-</w:t>
                  </w:r>
                  <w:r>
                    <w:rPr>
                      <w:color w:val="000000" w:themeColor="text1"/>
                      <w:sz w:val="21"/>
                      <w:szCs w:val="21"/>
                      <w:highlight w:val="none"/>
                      <w:lang w:val="zh-CN"/>
                      <w14:textFill>
                        <w14:solidFill>
                          <w14:schemeClr w14:val="tx1"/>
                        </w14:solidFill>
                      </w14:textFill>
                    </w:rPr>
                    <w:t>49）1000吨/年、含油包装物（HW08，900</w:t>
                  </w:r>
                  <w:r>
                    <w:rPr>
                      <w:rFonts w:hint="eastAsia"/>
                      <w:color w:val="000000" w:themeColor="text1"/>
                      <w:sz w:val="21"/>
                      <w:szCs w:val="21"/>
                      <w:highlight w:val="none"/>
                      <w:lang w:val="zh-CN"/>
                      <w14:textFill>
                        <w14:solidFill>
                          <w14:schemeClr w14:val="tx1"/>
                        </w14:solidFill>
                      </w14:textFill>
                    </w:rPr>
                    <w:t>-</w:t>
                  </w:r>
                  <w:r>
                    <w:rPr>
                      <w:color w:val="000000" w:themeColor="text1"/>
                      <w:sz w:val="21"/>
                      <w:szCs w:val="21"/>
                      <w:highlight w:val="none"/>
                      <w:lang w:val="zh-CN"/>
                      <w14:textFill>
                        <w14:solidFill>
                          <w14:schemeClr w14:val="tx1"/>
                        </w14:solidFill>
                      </w14:textFill>
                    </w:rPr>
                    <w:t>219</w:t>
                  </w:r>
                  <w:r>
                    <w:rPr>
                      <w:rFonts w:hint="eastAsia"/>
                      <w:color w:val="000000" w:themeColor="text1"/>
                      <w:sz w:val="21"/>
                      <w:szCs w:val="21"/>
                      <w:highlight w:val="none"/>
                      <w:lang w:val="zh-CN"/>
                      <w14:textFill>
                        <w14:solidFill>
                          <w14:schemeClr w14:val="tx1"/>
                        </w14:solidFill>
                      </w14:textFill>
                    </w:rPr>
                    <w:t>-</w:t>
                  </w:r>
                  <w:r>
                    <w:rPr>
                      <w:color w:val="000000" w:themeColor="text1"/>
                      <w:sz w:val="21"/>
                      <w:szCs w:val="21"/>
                      <w:highlight w:val="none"/>
                      <w:lang w:val="zh-CN"/>
                      <w14:textFill>
                        <w14:solidFill>
                          <w14:schemeClr w14:val="tx1"/>
                        </w14:solidFill>
                      </w14:textFill>
                    </w:rPr>
                    <w:t>08）1000吨/年，含废润滑油机械零</w:t>
                  </w:r>
                  <w:r>
                    <w:rPr>
                      <w:rFonts w:hint="eastAsia"/>
                      <w:color w:val="000000" w:themeColor="text1"/>
                      <w:sz w:val="21"/>
                      <w:szCs w:val="21"/>
                      <w:highlight w:val="none"/>
                      <w:lang w:val="zh-CN"/>
                      <w14:textFill>
                        <w14:solidFill>
                          <w14:schemeClr w14:val="tx1"/>
                        </w14:solidFill>
                      </w14:textFill>
                    </w:rPr>
                    <w:t>件</w:t>
                  </w:r>
                  <w:r>
                    <w:rPr>
                      <w:color w:val="000000" w:themeColor="text1"/>
                      <w:sz w:val="21"/>
                      <w:szCs w:val="21"/>
                      <w:highlight w:val="none"/>
                      <w:lang w:val="zh-CN"/>
                      <w14:textFill>
                        <w14:solidFill>
                          <w14:schemeClr w14:val="tx1"/>
                        </w14:solidFill>
                      </w14:textFill>
                    </w:rPr>
                    <w:t>经营许可证件（HW08，900</w:t>
                  </w:r>
                  <w:r>
                    <w:rPr>
                      <w:rFonts w:hint="eastAsia"/>
                      <w:color w:val="000000" w:themeColor="text1"/>
                      <w:sz w:val="21"/>
                      <w:szCs w:val="21"/>
                      <w:highlight w:val="none"/>
                      <w:lang w:val="zh-CN"/>
                      <w14:textFill>
                        <w14:solidFill>
                          <w14:schemeClr w14:val="tx1"/>
                        </w14:solidFill>
                      </w14:textFill>
                    </w:rPr>
                    <w:t>-</w:t>
                  </w:r>
                  <w:r>
                    <w:rPr>
                      <w:color w:val="000000" w:themeColor="text1"/>
                      <w:sz w:val="21"/>
                      <w:szCs w:val="21"/>
                      <w:highlight w:val="none"/>
                      <w:lang w:val="zh-CN"/>
                      <w14:textFill>
                        <w14:solidFill>
                          <w14:schemeClr w14:val="tx1"/>
                        </w14:solidFill>
                      </w14:textFill>
                    </w:rPr>
                    <w:t>200</w:t>
                  </w:r>
                  <w:r>
                    <w:rPr>
                      <w:rFonts w:hint="eastAsia"/>
                      <w:color w:val="000000" w:themeColor="text1"/>
                      <w:sz w:val="21"/>
                      <w:szCs w:val="21"/>
                      <w:highlight w:val="none"/>
                      <w:lang w:val="zh-CN"/>
                      <w14:textFill>
                        <w14:solidFill>
                          <w14:schemeClr w14:val="tx1"/>
                        </w14:solidFill>
                      </w14:textFill>
                    </w:rPr>
                    <w:t>-</w:t>
                  </w:r>
                  <w:r>
                    <w:rPr>
                      <w:color w:val="000000" w:themeColor="text1"/>
                      <w:sz w:val="21"/>
                      <w:szCs w:val="21"/>
                      <w:highlight w:val="none"/>
                      <w:lang w:val="zh-CN"/>
                      <w14:textFill>
                        <w14:solidFill>
                          <w14:schemeClr w14:val="tx1"/>
                        </w14:solidFill>
                      </w14:textFill>
                    </w:rPr>
                    <w:t>08）500吨/年、含废</w:t>
                  </w:r>
                  <w:r>
                    <w:rPr>
                      <w:rFonts w:hint="eastAsia"/>
                      <w:color w:val="000000" w:themeColor="text1"/>
                      <w:sz w:val="21"/>
                      <w:szCs w:val="21"/>
                      <w:highlight w:val="none"/>
                      <w:lang w:val="zh-CN"/>
                      <w14:textFill>
                        <w14:solidFill>
                          <w14:schemeClr w14:val="tx1"/>
                        </w14:solidFill>
                      </w14:textFill>
                    </w:rPr>
                    <w:t>切削液</w:t>
                  </w:r>
                  <w:r>
                    <w:rPr>
                      <w:color w:val="000000" w:themeColor="text1"/>
                      <w:sz w:val="21"/>
                      <w:szCs w:val="21"/>
                      <w:highlight w:val="none"/>
                      <w:lang w:val="zh-CN"/>
                      <w14:textFill>
                        <w14:solidFill>
                          <w14:schemeClr w14:val="tx1"/>
                        </w14:solidFill>
                      </w14:textFill>
                    </w:rPr>
                    <w:t>金属屑（HW09，900</w:t>
                  </w:r>
                  <w:r>
                    <w:rPr>
                      <w:rFonts w:hint="eastAsia"/>
                      <w:color w:val="000000" w:themeColor="text1"/>
                      <w:sz w:val="21"/>
                      <w:szCs w:val="21"/>
                      <w:highlight w:val="none"/>
                      <w:lang w:val="zh-CN"/>
                      <w14:textFill>
                        <w14:solidFill>
                          <w14:schemeClr w14:val="tx1"/>
                        </w14:solidFill>
                      </w14:textFill>
                    </w:rPr>
                    <w:t>-</w:t>
                  </w:r>
                  <w:r>
                    <w:rPr>
                      <w:color w:val="000000" w:themeColor="text1"/>
                      <w:sz w:val="21"/>
                      <w:szCs w:val="21"/>
                      <w:highlight w:val="none"/>
                      <w:lang w:val="zh-CN"/>
                      <w14:textFill>
                        <w14:solidFill>
                          <w14:schemeClr w14:val="tx1"/>
                        </w14:solidFill>
                      </w14:textFill>
                    </w:rPr>
                    <w:t>006</w:t>
                  </w:r>
                  <w:r>
                    <w:rPr>
                      <w:rFonts w:hint="eastAsia"/>
                      <w:color w:val="000000" w:themeColor="text1"/>
                      <w:sz w:val="21"/>
                      <w:szCs w:val="21"/>
                      <w:highlight w:val="none"/>
                      <w:lang w:val="zh-CN"/>
                      <w14:textFill>
                        <w14:solidFill>
                          <w14:schemeClr w14:val="tx1"/>
                        </w14:solidFill>
                      </w14:textFill>
                    </w:rPr>
                    <w:t>-</w:t>
                  </w:r>
                  <w:r>
                    <w:rPr>
                      <w:color w:val="000000" w:themeColor="text1"/>
                      <w:sz w:val="21"/>
                      <w:szCs w:val="21"/>
                      <w:highlight w:val="none"/>
                      <w:lang w:val="zh-CN"/>
                      <w14:textFill>
                        <w14:solidFill>
                          <w14:schemeClr w14:val="tx1"/>
                        </w14:solidFill>
                      </w14:textFill>
                    </w:rPr>
                    <w:t>09）5000吨/年，废润滑油（HW08）5000吨/年</w:t>
                  </w:r>
                </w:p>
              </w:tc>
            </w:tr>
          </w:tbl>
          <w:p w14:paraId="36D540B9">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本项目产生的危险废物种类在上述危险废物处置单位的核准经营范围之内，且以上公司有足够的余量接纳综上分析，项目危险废物委托其处置是可行的。</w:t>
            </w:r>
          </w:p>
          <w:p w14:paraId="48D6BD13">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建设项目采取上述措施后，从危废产生、收集、贮存、运输和处置等全过程进行管理，对周围环境影响较小。</w:t>
            </w:r>
          </w:p>
          <w:p w14:paraId="7B91A35D">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（6）污染防治措施及其经济、技术分析</w:t>
            </w:r>
          </w:p>
          <w:p w14:paraId="754C0865">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1）贮存场所（设施）污染防治措施</w:t>
            </w:r>
          </w:p>
          <w:p w14:paraId="189E13BA">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①一般固废</w:t>
            </w:r>
          </w:p>
          <w:p w14:paraId="6BB788C6">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本项目一般工业固废应按照相关要求分类收集贮存，暂存场所满足《环境保护图形标志</w:t>
            </w: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lang w:val="zh-CN"/>
                <w14:textFill>
                  <w14:solidFill>
                    <w14:schemeClr w14:val="tx1"/>
                  </w14:solidFill>
                </w14:textFill>
              </w:rPr>
              <w:t>固体废物贮存（处置）场》（GB15562.2-1995）等规定要求。</w:t>
            </w:r>
          </w:p>
          <w:p w14:paraId="0FF18143">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Ⅰ、贮存、处置场的建设类型，必须与将要堆放的一般工业固体废物的类别相一致。</w:t>
            </w:r>
          </w:p>
          <w:p w14:paraId="4BE89905">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Ⅱ、为保障设施、设备正常运行，必要时应采取措施防止地基下沉，尤其是防止不均匀或局部下沉。</w:t>
            </w:r>
          </w:p>
          <w:p w14:paraId="5A327688">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Ⅲ、贮存、处置场的使用单位，应建立档案制度。应将入场的一般工业固体废物的种类和数量以及下列资料，详细记录在案，长期保存，供随时查阅。</w:t>
            </w:r>
          </w:p>
          <w:p w14:paraId="0972EC39">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②危险固废</w:t>
            </w:r>
          </w:p>
          <w:p w14:paraId="250B1D86">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企业</w:t>
            </w:r>
            <w:r>
              <w:rPr>
                <w:color w:val="000000" w:themeColor="text1"/>
                <w:sz w:val="24"/>
                <w:highlight w:val="none"/>
                <w:lang w:val="zh-CN"/>
                <w14:textFill>
                  <w14:solidFill>
                    <w14:schemeClr w14:val="tx1"/>
                  </w14:solidFill>
                </w14:textFill>
              </w:rPr>
              <w:t>在</w:t>
            </w:r>
            <w:r>
              <w:rPr>
                <w:rFonts w:hint="eastAsia"/>
                <w:color w:val="000000" w:themeColor="text1"/>
                <w:sz w:val="24"/>
                <w:highlight w:val="none"/>
                <w14:textFill>
                  <w14:solidFill>
                    <w14:schemeClr w14:val="tx1"/>
                  </w14:solidFill>
                </w14:textFill>
              </w:rPr>
              <w:t>厂区</w:t>
            </w:r>
            <w:r>
              <w:rPr>
                <w:rFonts w:hint="eastAsia"/>
                <w:color w:val="000000" w:themeColor="text1"/>
                <w:sz w:val="24"/>
                <w:highlight w:val="none"/>
                <w:lang w:val="en-US" w:eastAsia="zh-CN"/>
                <w14:textFill>
                  <w14:solidFill>
                    <w14:schemeClr w14:val="tx1"/>
                  </w14:solidFill>
                </w14:textFill>
              </w:rPr>
              <w:t>北</w:t>
            </w:r>
            <w:r>
              <w:rPr>
                <w:color w:val="000000" w:themeColor="text1"/>
                <w:sz w:val="24"/>
                <w:highlight w:val="none"/>
                <w14:textFill>
                  <w14:solidFill>
                    <w14:schemeClr w14:val="tx1"/>
                  </w14:solidFill>
                </w14:textFill>
              </w:rPr>
              <w:t>侧</w:t>
            </w:r>
            <w:r>
              <w:rPr>
                <w:color w:val="000000" w:themeColor="text1"/>
                <w:sz w:val="24"/>
                <w:highlight w:val="none"/>
                <w:lang w:val="zh-CN"/>
                <w14:textFill>
                  <w14:solidFill>
                    <w14:schemeClr w14:val="tx1"/>
                  </w14:solidFill>
                </w14:textFill>
              </w:rPr>
              <w:t>设</w:t>
            </w:r>
            <w:r>
              <w:rPr>
                <w:rFonts w:hint="eastAsia"/>
                <w:color w:val="000000" w:themeColor="text1"/>
                <w:sz w:val="24"/>
                <w:highlight w:val="none"/>
                <w:lang w:val="en-US" w:eastAsia="zh-CN"/>
                <w14:textFill>
                  <w14:solidFill>
                    <w14:schemeClr w14:val="tx1"/>
                  </w14:solidFill>
                </w14:textFill>
              </w:rPr>
              <w:t>1</w:t>
            </w:r>
            <w:r>
              <w:rPr>
                <w:color w:val="000000" w:themeColor="text1"/>
                <w:sz w:val="24"/>
                <w:highlight w:val="none"/>
                <w:lang w:val="zh-CN"/>
                <w14:textFill>
                  <w14:solidFill>
                    <w14:schemeClr w14:val="tx1"/>
                  </w14:solidFill>
                </w14:textFill>
              </w:rPr>
              <w:t>个</w:t>
            </w:r>
            <w:r>
              <w:rPr>
                <w:rFonts w:hint="eastAsia"/>
                <w:color w:val="000000" w:themeColor="text1"/>
                <w:sz w:val="24"/>
                <w:highlight w:val="none"/>
                <w14:textFill>
                  <w14:solidFill>
                    <w14:schemeClr w14:val="tx1"/>
                  </w14:solidFill>
                </w14:textFill>
              </w:rPr>
              <w:t>危废仓库</w:t>
            </w:r>
            <w:r>
              <w:rPr>
                <w:color w:val="000000" w:themeColor="text1"/>
                <w:sz w:val="24"/>
                <w:highlight w:val="none"/>
                <w:lang w:val="zh-CN"/>
                <w14:textFill>
                  <w14:solidFill>
                    <w14:schemeClr w14:val="tx1"/>
                  </w14:solidFill>
                </w14:textFill>
              </w:rPr>
              <w:t>，贮存能力满足要求，</w:t>
            </w:r>
            <w:r>
              <w:rPr>
                <w:rFonts w:hint="eastAsia"/>
                <w:color w:val="000000" w:themeColor="text1"/>
                <w:sz w:val="24"/>
                <w:highlight w:val="none"/>
                <w:lang w:val="zh-CN"/>
                <w14:textFill>
                  <w14:solidFill>
                    <w14:schemeClr w14:val="tx1"/>
                  </w14:solidFill>
                </w14:textFill>
              </w:rPr>
              <w:t>危废仓库</w:t>
            </w:r>
            <w:r>
              <w:rPr>
                <w:color w:val="000000" w:themeColor="text1"/>
                <w:sz w:val="24"/>
                <w:highlight w:val="none"/>
                <w:lang w:val="zh-CN"/>
                <w14:textFill>
                  <w14:solidFill>
                    <w14:schemeClr w14:val="tx1"/>
                  </w14:solidFill>
                </w14:textFill>
              </w:rPr>
              <w:t>基本情况见</w:t>
            </w:r>
            <w:r>
              <w:rPr>
                <w:color w:val="000000" w:themeColor="text1"/>
                <w:sz w:val="24"/>
                <w:highlight w:val="none"/>
                <w14:textFill>
                  <w14:solidFill>
                    <w14:schemeClr w14:val="tx1"/>
                  </w14:solidFill>
                </w14:textFill>
              </w:rPr>
              <w:t>下表</w:t>
            </w:r>
            <w:r>
              <w:rPr>
                <w:color w:val="000000" w:themeColor="text1"/>
                <w:sz w:val="24"/>
                <w:highlight w:val="none"/>
                <w:lang w:val="zh-CN"/>
                <w14:textFill>
                  <w14:solidFill>
                    <w14:schemeClr w14:val="tx1"/>
                  </w14:solidFill>
                </w14:textFill>
              </w:rPr>
              <w:t>。</w:t>
            </w:r>
          </w:p>
          <w:p w14:paraId="20B027C7">
            <w:pPr>
              <w:pStyle w:val="125"/>
              <w:numPr>
                <w:ilvl w:val="0"/>
                <w:numId w:val="0"/>
              </w:numPr>
              <w:spacing w:line="440" w:lineRule="exact"/>
              <w:rPr>
                <w:rFonts w:hint="default"/>
                <w:color w:val="000000" w:themeColor="text1"/>
                <w:sz w:val="24"/>
                <w:highlight w:val="none"/>
                <w:lang w:val="zh-CN"/>
                <w14:textFill>
                  <w14:solidFill>
                    <w14:schemeClr w14:val="tx1"/>
                  </w14:solidFill>
                </w14:textFill>
              </w:rPr>
            </w:pPr>
            <w:r>
              <w:rPr>
                <w:rFonts w:hint="default"/>
                <w:color w:val="000000" w:themeColor="text1"/>
                <w:sz w:val="24"/>
                <w:highlight w:val="none"/>
                <w:lang w:val="zh-CN"/>
                <w14:textFill>
                  <w14:solidFill>
                    <w14:schemeClr w14:val="tx1"/>
                  </w14:solidFill>
                </w14:textFill>
              </w:rPr>
              <w:t>表4</w:t>
            </w:r>
            <w:r>
              <w:rPr>
                <w:rFonts w:hint="default"/>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33  本项目</w:t>
            </w:r>
            <w:r>
              <w:rPr>
                <w:color w:val="000000" w:themeColor="text1"/>
                <w:sz w:val="24"/>
                <w:highlight w:val="none"/>
                <w:lang w:val="zh-CN"/>
                <w14:textFill>
                  <w14:solidFill>
                    <w14:schemeClr w14:val="tx1"/>
                  </w14:solidFill>
                </w14:textFill>
              </w:rPr>
              <w:t>危废仓库</w:t>
            </w:r>
            <w:r>
              <w:rPr>
                <w:rFonts w:hint="default"/>
                <w:color w:val="000000" w:themeColor="text1"/>
                <w:sz w:val="24"/>
                <w:highlight w:val="none"/>
                <w:lang w:val="zh-CN"/>
                <w14:textFill>
                  <w14:solidFill>
                    <w14:schemeClr w14:val="tx1"/>
                  </w14:solidFill>
                </w14:textFill>
              </w:rPr>
              <w:t>基本情况表</w:t>
            </w:r>
          </w:p>
          <w:tbl>
            <w:tblPr>
              <w:tblStyle w:val="38"/>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28" w:type="dxa"/>
                <w:bottom w:w="0" w:type="dxa"/>
                <w:right w:w="28" w:type="dxa"/>
              </w:tblCellMar>
            </w:tblPr>
            <w:tblGrid>
              <w:gridCol w:w="1324"/>
              <w:gridCol w:w="1624"/>
              <w:gridCol w:w="1073"/>
              <w:gridCol w:w="1242"/>
              <w:gridCol w:w="619"/>
              <w:gridCol w:w="914"/>
              <w:gridCol w:w="553"/>
              <w:gridCol w:w="740"/>
              <w:gridCol w:w="433"/>
            </w:tblGrid>
            <w:tr w14:paraId="67D446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40" w:hRule="atLeast"/>
                <w:tblHeader/>
              </w:trPr>
              <w:tc>
                <w:tcPr>
                  <w:tcW w:w="776" w:type="pct"/>
                  <w:tcBorders>
                    <w:right w:val="single" w:color="auto" w:sz="4" w:space="0"/>
                  </w:tcBorders>
                  <w:noWrap/>
                  <w:vAlign w:val="center"/>
                </w:tcPr>
                <w:p w14:paraId="7E053B4A">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贮存场所名称</w:t>
                  </w:r>
                </w:p>
              </w:tc>
              <w:tc>
                <w:tcPr>
                  <w:tcW w:w="952" w:type="pct"/>
                  <w:tcBorders>
                    <w:left w:val="single" w:color="auto" w:sz="4" w:space="0"/>
                    <w:right w:val="single" w:color="auto" w:sz="4" w:space="0"/>
                  </w:tcBorders>
                  <w:vAlign w:val="center"/>
                </w:tcPr>
                <w:p w14:paraId="48AFF914">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危险废物名称</w:t>
                  </w:r>
                </w:p>
              </w:tc>
              <w:tc>
                <w:tcPr>
                  <w:tcW w:w="629" w:type="pct"/>
                  <w:tcBorders>
                    <w:left w:val="single" w:color="auto" w:sz="4" w:space="0"/>
                  </w:tcBorders>
                  <w:vAlign w:val="center"/>
                </w:tcPr>
                <w:p w14:paraId="0BDA8CA3">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危险废物类别</w:t>
                  </w:r>
                </w:p>
              </w:tc>
              <w:tc>
                <w:tcPr>
                  <w:tcW w:w="728" w:type="pct"/>
                  <w:vAlign w:val="center"/>
                </w:tcPr>
                <w:p w14:paraId="3307908A">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危险废物</w:t>
                  </w:r>
                </w:p>
                <w:p w14:paraId="500C8B00">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代码</w:t>
                  </w:r>
                </w:p>
              </w:tc>
              <w:tc>
                <w:tcPr>
                  <w:tcW w:w="363" w:type="pct"/>
                  <w:vAlign w:val="center"/>
                </w:tcPr>
                <w:p w14:paraId="7C6A1826">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位置</w:t>
                  </w:r>
                </w:p>
              </w:tc>
              <w:tc>
                <w:tcPr>
                  <w:tcW w:w="536" w:type="pct"/>
                  <w:vAlign w:val="center"/>
                </w:tcPr>
                <w:p w14:paraId="7DBE0A4A">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占地</w:t>
                  </w:r>
                </w:p>
                <w:p w14:paraId="3BEEF2AF">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面积（m</w:t>
                  </w:r>
                  <w:r>
                    <w:rPr>
                      <w:b/>
                      <w:bCs/>
                      <w:color w:val="000000" w:themeColor="text1"/>
                      <w:szCs w:val="21"/>
                      <w:highlight w:val="none"/>
                      <w:vertAlign w:val="superscript"/>
                      <w14:textFill>
                        <w14:solidFill>
                          <w14:schemeClr w14:val="tx1"/>
                        </w14:solidFill>
                      </w14:textFill>
                    </w:rPr>
                    <w:t>2</w:t>
                  </w:r>
                  <w:r>
                    <w:rPr>
                      <w:b/>
                      <w:bCs/>
                      <w:color w:val="000000" w:themeColor="text1"/>
                      <w:szCs w:val="21"/>
                      <w:highlight w:val="none"/>
                      <w14:textFill>
                        <w14:solidFill>
                          <w14:schemeClr w14:val="tx1"/>
                        </w14:solidFill>
                      </w14:textFill>
                    </w:rPr>
                    <w:t>）</w:t>
                  </w:r>
                </w:p>
              </w:tc>
              <w:tc>
                <w:tcPr>
                  <w:tcW w:w="324" w:type="pct"/>
                  <w:vAlign w:val="center"/>
                </w:tcPr>
                <w:p w14:paraId="72D6745C">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贮存方式</w:t>
                  </w:r>
                </w:p>
              </w:tc>
              <w:tc>
                <w:tcPr>
                  <w:tcW w:w="434" w:type="pct"/>
                  <w:vAlign w:val="center"/>
                </w:tcPr>
                <w:p w14:paraId="5D8AA053">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贮存</w:t>
                  </w:r>
                </w:p>
                <w:p w14:paraId="761419B9">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能力（t）</w:t>
                  </w:r>
                </w:p>
              </w:tc>
              <w:tc>
                <w:tcPr>
                  <w:tcW w:w="254" w:type="pct"/>
                  <w:vAlign w:val="center"/>
                </w:tcPr>
                <w:p w14:paraId="13C972C1">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贮存</w:t>
                  </w:r>
                </w:p>
                <w:p w14:paraId="6E95110D">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周期</w:t>
                  </w:r>
                </w:p>
              </w:tc>
            </w:tr>
            <w:tr w14:paraId="52CCDD7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40" w:hRule="atLeast"/>
                <w:tblHeader/>
              </w:trPr>
              <w:tc>
                <w:tcPr>
                  <w:tcW w:w="776" w:type="pct"/>
                  <w:vMerge w:val="restart"/>
                  <w:tcBorders>
                    <w:right w:val="single" w:color="auto" w:sz="4" w:space="0"/>
                  </w:tcBorders>
                  <w:noWrap/>
                  <w:vAlign w:val="center"/>
                </w:tcPr>
                <w:p w14:paraId="3197A801">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危废仓库</w:t>
                  </w:r>
                </w:p>
              </w:tc>
              <w:tc>
                <w:tcPr>
                  <w:tcW w:w="952" w:type="pct"/>
                  <w:tcBorders>
                    <w:left w:val="single" w:color="auto" w:sz="4" w:space="0"/>
                    <w:right w:val="single" w:color="auto" w:sz="4" w:space="0"/>
                  </w:tcBorders>
                  <w:vAlign w:val="center"/>
                </w:tcPr>
                <w:p w14:paraId="0E6BF628">
                  <w:pPr>
                    <w:keepNext w:val="0"/>
                    <w:keepLines w:val="0"/>
                    <w:pageBreakBefore w:val="0"/>
                    <w:kinsoku/>
                    <w:wordWrap/>
                    <w:overflowPunct/>
                    <w:topLinePunct w:val="0"/>
                    <w:autoSpaceDE/>
                    <w:autoSpaceDN/>
                    <w:bidi w:val="0"/>
                    <w:spacing w:line="240" w:lineRule="exact"/>
                    <w:jc w:val="center"/>
                    <w:textAlignment w:val="auto"/>
                    <w:rPr>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废过滤棉</w:t>
                  </w:r>
                </w:p>
              </w:tc>
              <w:tc>
                <w:tcPr>
                  <w:tcW w:w="629" w:type="pct"/>
                  <w:tcBorders>
                    <w:left w:val="single" w:color="auto" w:sz="4" w:space="0"/>
                  </w:tcBorders>
                  <w:vAlign w:val="center"/>
                </w:tcPr>
                <w:p w14:paraId="16ECB2CF">
                  <w:pPr>
                    <w:keepNext w:val="0"/>
                    <w:keepLines w:val="0"/>
                    <w:pageBreakBefore w:val="0"/>
                    <w:kinsoku/>
                    <w:wordWrap/>
                    <w:overflowPunct/>
                    <w:topLinePunct w:val="0"/>
                    <w:autoSpaceDE/>
                    <w:autoSpaceDN/>
                    <w:bidi w:val="0"/>
                    <w:spacing w:line="240" w:lineRule="exact"/>
                    <w:jc w:val="center"/>
                    <w:textAlignment w:val="auto"/>
                    <w:rPr>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HW49</w:t>
                  </w:r>
                </w:p>
              </w:tc>
              <w:tc>
                <w:tcPr>
                  <w:tcW w:w="728" w:type="pct"/>
                  <w:vAlign w:val="center"/>
                </w:tcPr>
                <w:p w14:paraId="40A4FB94">
                  <w:pPr>
                    <w:keepNext w:val="0"/>
                    <w:keepLines w:val="0"/>
                    <w:pageBreakBefore w:val="0"/>
                    <w:kinsoku/>
                    <w:wordWrap/>
                    <w:overflowPunct/>
                    <w:topLinePunct w:val="0"/>
                    <w:autoSpaceDE/>
                    <w:autoSpaceDN/>
                    <w:bidi w:val="0"/>
                    <w:spacing w:line="240" w:lineRule="exact"/>
                    <w:jc w:val="center"/>
                    <w:textAlignment w:val="auto"/>
                    <w:rPr>
                      <w:rFonts w:hint="eastAsia" w:eastAsia="宋体"/>
                      <w:color w:val="000000" w:themeColor="text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900-041-49</w:t>
                  </w:r>
                </w:p>
              </w:tc>
              <w:tc>
                <w:tcPr>
                  <w:tcW w:w="363" w:type="pct"/>
                  <w:vMerge w:val="restart"/>
                  <w:vAlign w:val="center"/>
                </w:tcPr>
                <w:p w14:paraId="162638F7">
                  <w:pPr>
                    <w:snapToGrid w:val="0"/>
                    <w:spacing w:line="240" w:lineRule="exact"/>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危废仓库</w:t>
                  </w:r>
                </w:p>
              </w:tc>
              <w:tc>
                <w:tcPr>
                  <w:tcW w:w="536" w:type="pct"/>
                  <w:vMerge w:val="restart"/>
                  <w:vAlign w:val="center"/>
                </w:tcPr>
                <w:p w14:paraId="5B816A15">
                  <w:pPr>
                    <w:snapToGrid w:val="0"/>
                    <w:spacing w:line="240" w:lineRule="exact"/>
                    <w:jc w:val="center"/>
                    <w:rPr>
                      <w:rFonts w:hint="default"/>
                      <w:color w:val="000000" w:themeColor="text1"/>
                      <w:szCs w:val="21"/>
                      <w:highlight w:val="none"/>
                      <w:lang w:val="en-US"/>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20</w:t>
                  </w:r>
                </w:p>
              </w:tc>
              <w:tc>
                <w:tcPr>
                  <w:tcW w:w="324" w:type="pct"/>
                  <w:vMerge w:val="restart"/>
                  <w:vAlign w:val="center"/>
                </w:tcPr>
                <w:p w14:paraId="3CB6050C">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密封包装</w:t>
                  </w:r>
                </w:p>
              </w:tc>
              <w:tc>
                <w:tcPr>
                  <w:tcW w:w="434" w:type="pct"/>
                  <w:vMerge w:val="restart"/>
                  <w:vAlign w:val="center"/>
                </w:tcPr>
                <w:p w14:paraId="54F6CFE7">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18</w:t>
                  </w:r>
                </w:p>
              </w:tc>
              <w:tc>
                <w:tcPr>
                  <w:tcW w:w="254" w:type="pct"/>
                  <w:vMerge w:val="restart"/>
                  <w:vAlign w:val="center"/>
                </w:tcPr>
                <w:p w14:paraId="5DB968A3">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w:t>
                  </w:r>
                  <w:r>
                    <w:rPr>
                      <w:rFonts w:hint="eastAsia"/>
                      <w:color w:val="000000" w:themeColor="text1"/>
                      <w:szCs w:val="21"/>
                      <w:highlight w:val="none"/>
                      <w14:textFill>
                        <w14:solidFill>
                          <w14:schemeClr w14:val="tx1"/>
                        </w14:solidFill>
                      </w14:textFill>
                    </w:rPr>
                    <w:t>个月</w:t>
                  </w:r>
                </w:p>
              </w:tc>
            </w:tr>
            <w:tr w14:paraId="7F2E0A4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40" w:hRule="atLeast"/>
                <w:tblHeader/>
              </w:trPr>
              <w:tc>
                <w:tcPr>
                  <w:tcW w:w="776" w:type="pct"/>
                  <w:vMerge w:val="continue"/>
                  <w:tcBorders>
                    <w:right w:val="single" w:color="auto" w:sz="4" w:space="0"/>
                  </w:tcBorders>
                  <w:noWrap/>
                  <w:vAlign w:val="center"/>
                </w:tcPr>
                <w:p w14:paraId="72DC734D">
                  <w:pPr>
                    <w:snapToGrid w:val="0"/>
                    <w:spacing w:line="240" w:lineRule="exact"/>
                    <w:jc w:val="center"/>
                    <w:rPr>
                      <w:color w:val="000000" w:themeColor="text1"/>
                      <w:szCs w:val="21"/>
                      <w:highlight w:val="none"/>
                      <w14:textFill>
                        <w14:solidFill>
                          <w14:schemeClr w14:val="tx1"/>
                        </w14:solidFill>
                      </w14:textFill>
                    </w:rPr>
                  </w:pPr>
                </w:p>
              </w:tc>
              <w:tc>
                <w:tcPr>
                  <w:tcW w:w="952" w:type="pct"/>
                  <w:tcBorders>
                    <w:left w:val="single" w:color="auto" w:sz="4" w:space="0"/>
                    <w:right w:val="single" w:color="auto" w:sz="4" w:space="0"/>
                  </w:tcBorders>
                  <w:vAlign w:val="center"/>
                </w:tcPr>
                <w:p w14:paraId="0EF7540C">
                  <w:pPr>
                    <w:keepNext w:val="0"/>
                    <w:keepLines w:val="0"/>
                    <w:pageBreakBefore w:val="0"/>
                    <w:kinsoku/>
                    <w:wordWrap/>
                    <w:overflowPunct/>
                    <w:topLinePunct w:val="0"/>
                    <w:autoSpaceDE/>
                    <w:autoSpaceDN/>
                    <w:bidi w:val="0"/>
                    <w:spacing w:line="240" w:lineRule="exact"/>
                    <w:jc w:val="center"/>
                    <w:textAlignment w:val="auto"/>
                    <w:rPr>
                      <w:rFonts w:hint="eastAsia"/>
                      <w:color w:val="000000" w:themeColor="text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废活性炭</w:t>
                  </w:r>
                </w:p>
              </w:tc>
              <w:tc>
                <w:tcPr>
                  <w:tcW w:w="629" w:type="pct"/>
                  <w:tcBorders>
                    <w:left w:val="single" w:color="auto" w:sz="4" w:space="0"/>
                  </w:tcBorders>
                  <w:vAlign w:val="center"/>
                </w:tcPr>
                <w:p w14:paraId="32F72FE4">
                  <w:pPr>
                    <w:keepNext w:val="0"/>
                    <w:keepLines w:val="0"/>
                    <w:pageBreakBefore w:val="0"/>
                    <w:kinsoku/>
                    <w:wordWrap/>
                    <w:overflowPunct/>
                    <w:topLinePunct w:val="0"/>
                    <w:autoSpaceDE/>
                    <w:autoSpaceDN/>
                    <w:bidi w:val="0"/>
                    <w:spacing w:line="240" w:lineRule="exact"/>
                    <w:jc w:val="center"/>
                    <w:textAlignment w:val="auto"/>
                    <w:rPr>
                      <w:rFonts w:hint="eastAsia"/>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HW49</w:t>
                  </w:r>
                </w:p>
              </w:tc>
              <w:tc>
                <w:tcPr>
                  <w:tcW w:w="728" w:type="pct"/>
                  <w:vAlign w:val="center"/>
                </w:tcPr>
                <w:p w14:paraId="33476182">
                  <w:pPr>
                    <w:keepNext w:val="0"/>
                    <w:keepLines w:val="0"/>
                    <w:pageBreakBefore w:val="0"/>
                    <w:kinsoku/>
                    <w:wordWrap/>
                    <w:overflowPunct/>
                    <w:topLinePunct w:val="0"/>
                    <w:autoSpaceDE/>
                    <w:autoSpaceDN/>
                    <w:bidi w:val="0"/>
                    <w:spacing w:line="240" w:lineRule="exact"/>
                    <w:jc w:val="center"/>
                    <w:textAlignment w:val="auto"/>
                    <w:rPr>
                      <w:rFonts w:hint="eastAsia"/>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900-039-49</w:t>
                  </w:r>
                </w:p>
              </w:tc>
              <w:tc>
                <w:tcPr>
                  <w:tcW w:w="363" w:type="pct"/>
                  <w:vMerge w:val="continue"/>
                  <w:vAlign w:val="center"/>
                </w:tcPr>
                <w:p w14:paraId="27DD7239">
                  <w:pPr>
                    <w:snapToGrid w:val="0"/>
                    <w:spacing w:line="240" w:lineRule="exact"/>
                    <w:jc w:val="center"/>
                    <w:rPr>
                      <w:color w:val="000000" w:themeColor="text1"/>
                      <w:szCs w:val="21"/>
                      <w:highlight w:val="none"/>
                      <w14:textFill>
                        <w14:solidFill>
                          <w14:schemeClr w14:val="tx1"/>
                        </w14:solidFill>
                      </w14:textFill>
                    </w:rPr>
                  </w:pPr>
                </w:p>
              </w:tc>
              <w:tc>
                <w:tcPr>
                  <w:tcW w:w="536" w:type="pct"/>
                  <w:vMerge w:val="continue"/>
                  <w:vAlign w:val="center"/>
                </w:tcPr>
                <w:p w14:paraId="200355A4">
                  <w:pPr>
                    <w:snapToGrid w:val="0"/>
                    <w:spacing w:line="240" w:lineRule="exact"/>
                    <w:jc w:val="center"/>
                    <w:rPr>
                      <w:color w:val="000000" w:themeColor="text1"/>
                      <w:szCs w:val="21"/>
                      <w:highlight w:val="none"/>
                      <w14:textFill>
                        <w14:solidFill>
                          <w14:schemeClr w14:val="tx1"/>
                        </w14:solidFill>
                      </w14:textFill>
                    </w:rPr>
                  </w:pPr>
                </w:p>
              </w:tc>
              <w:tc>
                <w:tcPr>
                  <w:tcW w:w="324" w:type="pct"/>
                  <w:vMerge w:val="continue"/>
                  <w:vAlign w:val="center"/>
                </w:tcPr>
                <w:p w14:paraId="49ABA713">
                  <w:pPr>
                    <w:snapToGrid w:val="0"/>
                    <w:spacing w:line="240" w:lineRule="exact"/>
                    <w:jc w:val="center"/>
                    <w:rPr>
                      <w:color w:val="000000" w:themeColor="text1"/>
                      <w:szCs w:val="21"/>
                      <w:highlight w:val="none"/>
                      <w14:textFill>
                        <w14:solidFill>
                          <w14:schemeClr w14:val="tx1"/>
                        </w14:solidFill>
                      </w14:textFill>
                    </w:rPr>
                  </w:pPr>
                </w:p>
              </w:tc>
              <w:tc>
                <w:tcPr>
                  <w:tcW w:w="434" w:type="pct"/>
                  <w:vMerge w:val="continue"/>
                  <w:vAlign w:val="center"/>
                </w:tcPr>
                <w:p w14:paraId="390658BF">
                  <w:pPr>
                    <w:snapToGrid w:val="0"/>
                    <w:spacing w:line="240" w:lineRule="exact"/>
                    <w:jc w:val="center"/>
                    <w:rPr>
                      <w:color w:val="000000" w:themeColor="text1"/>
                      <w:szCs w:val="21"/>
                      <w:highlight w:val="none"/>
                      <w14:textFill>
                        <w14:solidFill>
                          <w14:schemeClr w14:val="tx1"/>
                        </w14:solidFill>
                      </w14:textFill>
                    </w:rPr>
                  </w:pPr>
                </w:p>
              </w:tc>
              <w:tc>
                <w:tcPr>
                  <w:tcW w:w="254" w:type="pct"/>
                  <w:vMerge w:val="continue"/>
                  <w:vAlign w:val="center"/>
                </w:tcPr>
                <w:p w14:paraId="0C48882F">
                  <w:pPr>
                    <w:snapToGrid w:val="0"/>
                    <w:spacing w:line="240" w:lineRule="exact"/>
                    <w:jc w:val="center"/>
                    <w:rPr>
                      <w:color w:val="000000" w:themeColor="text1"/>
                      <w:szCs w:val="21"/>
                      <w:highlight w:val="none"/>
                      <w14:textFill>
                        <w14:solidFill>
                          <w14:schemeClr w14:val="tx1"/>
                        </w14:solidFill>
                      </w14:textFill>
                    </w:rPr>
                  </w:pPr>
                </w:p>
              </w:tc>
            </w:tr>
            <w:tr w14:paraId="0F1914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40" w:hRule="atLeast"/>
                <w:tblHeader/>
              </w:trPr>
              <w:tc>
                <w:tcPr>
                  <w:tcW w:w="776" w:type="pct"/>
                  <w:vMerge w:val="continue"/>
                  <w:tcBorders>
                    <w:right w:val="single" w:color="auto" w:sz="4" w:space="0"/>
                  </w:tcBorders>
                  <w:noWrap/>
                  <w:vAlign w:val="center"/>
                </w:tcPr>
                <w:p w14:paraId="3479593D">
                  <w:pPr>
                    <w:snapToGrid w:val="0"/>
                    <w:spacing w:line="240" w:lineRule="exact"/>
                    <w:jc w:val="center"/>
                    <w:rPr>
                      <w:color w:val="000000" w:themeColor="text1"/>
                      <w:szCs w:val="21"/>
                      <w:highlight w:val="none"/>
                      <w14:textFill>
                        <w14:solidFill>
                          <w14:schemeClr w14:val="tx1"/>
                        </w14:solidFill>
                      </w14:textFill>
                    </w:rPr>
                  </w:pPr>
                </w:p>
              </w:tc>
              <w:tc>
                <w:tcPr>
                  <w:tcW w:w="952" w:type="pct"/>
                  <w:tcBorders>
                    <w:left w:val="single" w:color="auto" w:sz="4" w:space="0"/>
                    <w:right w:val="single" w:color="auto" w:sz="4" w:space="0"/>
                  </w:tcBorders>
                  <w:vAlign w:val="center"/>
                </w:tcPr>
                <w:p w14:paraId="6D18AD86">
                  <w:pPr>
                    <w:keepNext w:val="0"/>
                    <w:keepLines w:val="0"/>
                    <w:pageBreakBefore w:val="0"/>
                    <w:kinsoku/>
                    <w:wordWrap/>
                    <w:overflowPunct/>
                    <w:topLinePunct w:val="0"/>
                    <w:autoSpaceDE/>
                    <w:autoSpaceDN/>
                    <w:bidi w:val="0"/>
                    <w:spacing w:line="240" w:lineRule="exact"/>
                    <w:jc w:val="center"/>
                    <w:textAlignment w:val="auto"/>
                    <w:rPr>
                      <w:rFonts w:hint="eastAsia" w:eastAsia="宋体"/>
                      <w:color w:val="000000" w:themeColor="text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废包装物</w:t>
                  </w:r>
                </w:p>
              </w:tc>
              <w:tc>
                <w:tcPr>
                  <w:tcW w:w="629" w:type="pct"/>
                  <w:tcBorders>
                    <w:left w:val="single" w:color="auto" w:sz="4" w:space="0"/>
                  </w:tcBorders>
                  <w:vAlign w:val="center"/>
                </w:tcPr>
                <w:p w14:paraId="6AACC3F4">
                  <w:pPr>
                    <w:keepNext w:val="0"/>
                    <w:keepLines w:val="0"/>
                    <w:pageBreakBefore w:val="0"/>
                    <w:kinsoku/>
                    <w:wordWrap/>
                    <w:overflowPunct/>
                    <w:topLinePunct w:val="0"/>
                    <w:autoSpaceDE/>
                    <w:autoSpaceDN/>
                    <w:bidi w:val="0"/>
                    <w:spacing w:line="240" w:lineRule="exact"/>
                    <w:jc w:val="center"/>
                    <w:textAlignment w:val="auto"/>
                    <w:rPr>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HW49</w:t>
                  </w:r>
                </w:p>
              </w:tc>
              <w:tc>
                <w:tcPr>
                  <w:tcW w:w="728" w:type="pct"/>
                  <w:vAlign w:val="center"/>
                </w:tcPr>
                <w:p w14:paraId="6E0B45AA">
                  <w:pPr>
                    <w:keepNext w:val="0"/>
                    <w:keepLines w:val="0"/>
                    <w:pageBreakBefore w:val="0"/>
                    <w:kinsoku/>
                    <w:wordWrap/>
                    <w:overflowPunct/>
                    <w:topLinePunct w:val="0"/>
                    <w:autoSpaceDE/>
                    <w:autoSpaceDN/>
                    <w:bidi w:val="0"/>
                    <w:spacing w:line="240" w:lineRule="exact"/>
                    <w:jc w:val="center"/>
                    <w:textAlignment w:val="auto"/>
                    <w:rPr>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900-041-49</w:t>
                  </w:r>
                </w:p>
              </w:tc>
              <w:tc>
                <w:tcPr>
                  <w:tcW w:w="363" w:type="pct"/>
                  <w:vMerge w:val="continue"/>
                  <w:vAlign w:val="center"/>
                </w:tcPr>
                <w:p w14:paraId="7148B7CC">
                  <w:pPr>
                    <w:snapToGrid w:val="0"/>
                    <w:spacing w:line="240" w:lineRule="exact"/>
                    <w:jc w:val="center"/>
                    <w:rPr>
                      <w:color w:val="000000" w:themeColor="text1"/>
                      <w:szCs w:val="21"/>
                      <w:highlight w:val="none"/>
                      <w14:textFill>
                        <w14:solidFill>
                          <w14:schemeClr w14:val="tx1"/>
                        </w14:solidFill>
                      </w14:textFill>
                    </w:rPr>
                  </w:pPr>
                </w:p>
              </w:tc>
              <w:tc>
                <w:tcPr>
                  <w:tcW w:w="536" w:type="pct"/>
                  <w:vMerge w:val="continue"/>
                  <w:vAlign w:val="center"/>
                </w:tcPr>
                <w:p w14:paraId="0E4EC4D3">
                  <w:pPr>
                    <w:snapToGrid w:val="0"/>
                    <w:spacing w:line="240" w:lineRule="exact"/>
                    <w:jc w:val="center"/>
                    <w:rPr>
                      <w:color w:val="000000" w:themeColor="text1"/>
                      <w:szCs w:val="21"/>
                      <w:highlight w:val="none"/>
                      <w14:textFill>
                        <w14:solidFill>
                          <w14:schemeClr w14:val="tx1"/>
                        </w14:solidFill>
                      </w14:textFill>
                    </w:rPr>
                  </w:pPr>
                </w:p>
              </w:tc>
              <w:tc>
                <w:tcPr>
                  <w:tcW w:w="324" w:type="pct"/>
                  <w:vMerge w:val="continue"/>
                  <w:vAlign w:val="center"/>
                </w:tcPr>
                <w:p w14:paraId="5FF41BA4">
                  <w:pPr>
                    <w:snapToGrid w:val="0"/>
                    <w:spacing w:line="240" w:lineRule="exact"/>
                    <w:jc w:val="center"/>
                    <w:rPr>
                      <w:color w:val="000000" w:themeColor="text1"/>
                      <w:szCs w:val="21"/>
                      <w:highlight w:val="none"/>
                      <w14:textFill>
                        <w14:solidFill>
                          <w14:schemeClr w14:val="tx1"/>
                        </w14:solidFill>
                      </w14:textFill>
                    </w:rPr>
                  </w:pPr>
                </w:p>
              </w:tc>
              <w:tc>
                <w:tcPr>
                  <w:tcW w:w="434" w:type="pct"/>
                  <w:vMerge w:val="continue"/>
                  <w:vAlign w:val="center"/>
                </w:tcPr>
                <w:p w14:paraId="6EC3BB62">
                  <w:pPr>
                    <w:snapToGrid w:val="0"/>
                    <w:spacing w:line="240" w:lineRule="exact"/>
                    <w:jc w:val="center"/>
                    <w:rPr>
                      <w:color w:val="000000" w:themeColor="text1"/>
                      <w:szCs w:val="21"/>
                      <w:highlight w:val="none"/>
                      <w14:textFill>
                        <w14:solidFill>
                          <w14:schemeClr w14:val="tx1"/>
                        </w14:solidFill>
                      </w14:textFill>
                    </w:rPr>
                  </w:pPr>
                </w:p>
              </w:tc>
              <w:tc>
                <w:tcPr>
                  <w:tcW w:w="254" w:type="pct"/>
                  <w:vMerge w:val="continue"/>
                  <w:vAlign w:val="center"/>
                </w:tcPr>
                <w:p w14:paraId="49D27982">
                  <w:pPr>
                    <w:snapToGrid w:val="0"/>
                    <w:spacing w:line="240" w:lineRule="exact"/>
                    <w:jc w:val="center"/>
                    <w:rPr>
                      <w:color w:val="000000" w:themeColor="text1"/>
                      <w:szCs w:val="21"/>
                      <w:highlight w:val="none"/>
                      <w14:textFill>
                        <w14:solidFill>
                          <w14:schemeClr w14:val="tx1"/>
                        </w14:solidFill>
                      </w14:textFill>
                    </w:rPr>
                  </w:pPr>
                </w:p>
              </w:tc>
            </w:tr>
          </w:tbl>
          <w:p w14:paraId="62088B0F">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（7）</w:t>
            </w:r>
            <w:r>
              <w:rPr>
                <w:rFonts w:hint="eastAsia"/>
                <w:color w:val="000000" w:themeColor="text1"/>
                <w:sz w:val="24"/>
                <w:highlight w:val="none"/>
                <w:lang w:val="zh-CN"/>
                <w14:textFill>
                  <w14:solidFill>
                    <w14:schemeClr w14:val="tx1"/>
                  </w14:solidFill>
                </w14:textFill>
              </w:rPr>
              <w:t>《江苏省固体废物全过程环境监管工作意见》（苏环办〔2024〕16号）</w:t>
            </w:r>
            <w:r>
              <w:rPr>
                <w:rFonts w:hint="eastAsia"/>
                <w:color w:val="000000" w:themeColor="text1"/>
                <w:sz w:val="24"/>
                <w:highlight w:val="none"/>
                <w14:textFill>
                  <w14:solidFill>
                    <w14:schemeClr w14:val="tx1"/>
                  </w14:solidFill>
                </w14:textFill>
              </w:rPr>
              <w:t>相符性分析</w:t>
            </w:r>
          </w:p>
          <w:p w14:paraId="179F0037">
            <w:pPr>
              <w:pStyle w:val="125"/>
              <w:numPr>
                <w:ilvl w:val="0"/>
                <w:numId w:val="0"/>
              </w:numPr>
              <w:spacing w:line="440" w:lineRule="exact"/>
              <w:rPr>
                <w:rFonts w:hint="default"/>
                <w:color w:val="000000" w:themeColor="text1"/>
                <w:sz w:val="24"/>
                <w:highlight w:val="none"/>
                <w:lang w:val="zh-CN"/>
                <w14:textFill>
                  <w14:solidFill>
                    <w14:schemeClr w14:val="tx1"/>
                  </w14:solidFill>
                </w14:textFill>
              </w:rPr>
            </w:pPr>
            <w:r>
              <w:rPr>
                <w:rFonts w:hint="default"/>
                <w:color w:val="000000" w:themeColor="text1"/>
                <w:sz w:val="24"/>
                <w:highlight w:val="none"/>
                <w:lang w:val="zh-CN"/>
                <w14:textFill>
                  <w14:solidFill>
                    <w14:schemeClr w14:val="tx1"/>
                  </w14:solidFill>
                </w14:textFill>
              </w:rPr>
              <w:t>表4</w:t>
            </w:r>
            <w:r>
              <w:rPr>
                <w:rFonts w:hint="default"/>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3</w:t>
            </w:r>
            <w:r>
              <w:rPr>
                <w:rFonts w:hint="eastAsia"/>
                <w:color w:val="000000" w:themeColor="text1"/>
                <w:sz w:val="24"/>
                <w:highlight w:val="none"/>
                <w:lang w:val="en-US" w:eastAsia="zh-CN"/>
                <w14:textFill>
                  <w14:solidFill>
                    <w14:schemeClr w14:val="tx1"/>
                  </w14:solidFill>
                </w14:textFill>
              </w:rPr>
              <w:t xml:space="preserve">4  </w:t>
            </w:r>
            <w:r>
              <w:rPr>
                <w:color w:val="000000" w:themeColor="text1"/>
                <w:sz w:val="24"/>
                <w:highlight w:val="none"/>
                <w:lang w:val="zh-CN"/>
                <w14:textFill>
                  <w14:solidFill>
                    <w14:schemeClr w14:val="tx1"/>
                  </w14:solidFill>
                </w14:textFill>
              </w:rPr>
              <w:t>危废仓库</w:t>
            </w:r>
            <w:r>
              <w:rPr>
                <w:rFonts w:hint="default"/>
                <w:color w:val="000000" w:themeColor="text1"/>
                <w:sz w:val="24"/>
                <w:highlight w:val="none"/>
                <w:lang w:val="zh-CN"/>
                <w14:textFill>
                  <w14:solidFill>
                    <w14:schemeClr w14:val="tx1"/>
                  </w14:solidFill>
                </w14:textFill>
              </w:rPr>
              <w:t>基本情况表</w:t>
            </w:r>
          </w:p>
          <w:tbl>
            <w:tblPr>
              <w:tblStyle w:val="39"/>
              <w:tblW w:w="0" w:type="auto"/>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184"/>
              <w:gridCol w:w="4185"/>
            </w:tblGrid>
            <w:tr w14:paraId="58FFBA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84" w:type="dxa"/>
                  <w:tcBorders>
                    <w:tl2br w:val="nil"/>
                    <w:tr2bl w:val="nil"/>
                  </w:tcBorders>
                  <w:vAlign w:val="center"/>
                </w:tcPr>
                <w:p w14:paraId="0645115B">
                  <w:pPr>
                    <w:spacing w:line="240" w:lineRule="exact"/>
                    <w:jc w:val="center"/>
                    <w:rPr>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文件要求</w:t>
                  </w:r>
                </w:p>
              </w:tc>
              <w:tc>
                <w:tcPr>
                  <w:tcW w:w="4185" w:type="dxa"/>
                  <w:tcBorders>
                    <w:tl2br w:val="nil"/>
                    <w:tr2bl w:val="nil"/>
                  </w:tcBorders>
                  <w:vAlign w:val="center"/>
                </w:tcPr>
                <w:p w14:paraId="5968282A">
                  <w:pPr>
                    <w:spacing w:line="240" w:lineRule="exact"/>
                    <w:jc w:val="center"/>
                    <w:rPr>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相符性分析</w:t>
                  </w:r>
                </w:p>
              </w:tc>
            </w:tr>
            <w:tr w14:paraId="4FD0F7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84" w:type="dxa"/>
                  <w:tcBorders>
                    <w:tl2br w:val="nil"/>
                    <w:tr2bl w:val="nil"/>
                  </w:tcBorders>
                  <w:vAlign w:val="center"/>
                </w:tcPr>
                <w:p w14:paraId="6E9066B7">
                  <w:pPr>
                    <w:numPr>
                      <w:ilvl w:val="0"/>
                      <w:numId w:val="16"/>
                    </w:numPr>
                    <w:spacing w:line="240" w:lineRule="exact"/>
                    <w:jc w:val="left"/>
                    <w:rPr>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注重源头预防</w:t>
                  </w:r>
                </w:p>
                <w:p w14:paraId="6D6E4AF5">
                  <w:pPr>
                    <w:pStyle w:val="2"/>
                    <w:numPr>
                      <w:ilvl w:val="0"/>
                      <w:numId w:val="17"/>
                    </w:numPr>
                    <w:snapToGrid/>
                    <w:spacing w:before="0" w:after="0" w:line="240" w:lineRule="exact"/>
                    <w:ind w:right="0"/>
                    <w:jc w:val="left"/>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落实规划环评要求</w:t>
                  </w:r>
                </w:p>
                <w:p w14:paraId="67281A47">
                  <w:pPr>
                    <w:numPr>
                      <w:ilvl w:val="0"/>
                      <w:numId w:val="17"/>
                    </w:numPr>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规范项目环评审批</w:t>
                  </w:r>
                </w:p>
                <w:p w14:paraId="579E9588">
                  <w:pPr>
                    <w:pStyle w:val="2"/>
                    <w:numPr>
                      <w:ilvl w:val="0"/>
                      <w:numId w:val="17"/>
                    </w:numPr>
                    <w:snapToGrid/>
                    <w:spacing w:before="0" w:after="0" w:line="240" w:lineRule="exact"/>
                    <w:ind w:right="0"/>
                    <w:jc w:val="left"/>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落实排污许可制度</w:t>
                  </w:r>
                </w:p>
                <w:p w14:paraId="0BCE3F44">
                  <w:pPr>
                    <w:numPr>
                      <w:ilvl w:val="0"/>
                      <w:numId w:val="17"/>
                    </w:numPr>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规范危废经营许可</w:t>
                  </w:r>
                </w:p>
                <w:p w14:paraId="48FE3460">
                  <w:pPr>
                    <w:pStyle w:val="2"/>
                    <w:numPr>
                      <w:ilvl w:val="0"/>
                      <w:numId w:val="17"/>
                    </w:numPr>
                    <w:snapToGrid/>
                    <w:spacing w:before="0" w:after="0" w:line="240" w:lineRule="exact"/>
                    <w:ind w:right="0"/>
                    <w:jc w:val="left"/>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调优利用处置能力</w:t>
                  </w:r>
                </w:p>
              </w:tc>
              <w:tc>
                <w:tcPr>
                  <w:tcW w:w="4185" w:type="dxa"/>
                  <w:tcBorders>
                    <w:tl2br w:val="nil"/>
                    <w:tr2bl w:val="nil"/>
                  </w:tcBorders>
                  <w:vAlign w:val="center"/>
                </w:tcPr>
                <w:p w14:paraId="7CA0BCFC">
                  <w:pPr>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建设项目环评分析固体废物的种类、数量来源和属性，说明了转移和利用处置方式，提出切实可行的污染防治对策措施，并纳入排污许可管理，危险废物均委托有危废经营许可资质的单位处理。符合要求。</w:t>
                  </w:r>
                </w:p>
              </w:tc>
            </w:tr>
            <w:tr w14:paraId="33A58F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84" w:type="dxa"/>
                  <w:tcBorders>
                    <w:tl2br w:val="nil"/>
                    <w:tr2bl w:val="nil"/>
                  </w:tcBorders>
                  <w:vAlign w:val="center"/>
                </w:tcPr>
                <w:p w14:paraId="21B1CFEE">
                  <w:pPr>
                    <w:numPr>
                      <w:ilvl w:val="0"/>
                      <w:numId w:val="16"/>
                    </w:numPr>
                    <w:spacing w:line="240" w:lineRule="exact"/>
                    <w:jc w:val="left"/>
                    <w:rPr>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严格过程控制</w:t>
                  </w:r>
                </w:p>
                <w:p w14:paraId="3869F102">
                  <w:pPr>
                    <w:pStyle w:val="2"/>
                    <w:numPr>
                      <w:ilvl w:val="0"/>
                      <w:numId w:val="17"/>
                    </w:numPr>
                    <w:snapToGrid/>
                    <w:spacing w:before="0" w:after="0" w:line="240" w:lineRule="exact"/>
                    <w:ind w:right="0"/>
                    <w:jc w:val="left"/>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规范贮存管理要求</w:t>
                  </w:r>
                </w:p>
                <w:p w14:paraId="0F283136">
                  <w:pPr>
                    <w:numPr>
                      <w:ilvl w:val="0"/>
                      <w:numId w:val="17"/>
                    </w:numPr>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提高小微收集水平</w:t>
                  </w:r>
                </w:p>
                <w:p w14:paraId="78A3029D">
                  <w:pPr>
                    <w:pStyle w:val="2"/>
                    <w:numPr>
                      <w:ilvl w:val="0"/>
                      <w:numId w:val="17"/>
                    </w:numPr>
                    <w:snapToGrid/>
                    <w:spacing w:before="0" w:after="0" w:line="240" w:lineRule="exact"/>
                    <w:ind w:right="0"/>
                    <w:jc w:val="left"/>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强化转移过程管理</w:t>
                  </w:r>
                </w:p>
                <w:p w14:paraId="1F8B08D5">
                  <w:pPr>
                    <w:numPr>
                      <w:ilvl w:val="0"/>
                      <w:numId w:val="17"/>
                    </w:numPr>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落实信息公开制度</w:t>
                  </w:r>
                </w:p>
                <w:p w14:paraId="52B98A7F">
                  <w:pPr>
                    <w:pStyle w:val="2"/>
                    <w:numPr>
                      <w:ilvl w:val="0"/>
                      <w:numId w:val="17"/>
                    </w:numPr>
                    <w:snapToGrid/>
                    <w:spacing w:before="0" w:after="0" w:line="240" w:lineRule="exact"/>
                    <w:ind w:right="0"/>
                    <w:jc w:val="left"/>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开展常态化规范化评估</w:t>
                  </w:r>
                </w:p>
                <w:p w14:paraId="3079EF34">
                  <w:pPr>
                    <w:numPr>
                      <w:ilvl w:val="0"/>
                      <w:numId w:val="17"/>
                    </w:numPr>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提升非现场监管能力</w:t>
                  </w:r>
                </w:p>
              </w:tc>
              <w:tc>
                <w:tcPr>
                  <w:tcW w:w="4185" w:type="dxa"/>
                  <w:tcBorders>
                    <w:tl2br w:val="nil"/>
                    <w:tr2bl w:val="nil"/>
                  </w:tcBorders>
                  <w:vAlign w:val="center"/>
                </w:tcPr>
                <w:p w14:paraId="275023A1">
                  <w:pPr>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企业根据《危险废物贮存污染控制标准》（GB18597-2023）设置了危险废物贮存设施，并实施了电子联单制度，加强转移管理。危废贮存设施内部、出入口设置了视频监控。符合要求。</w:t>
                  </w:r>
                </w:p>
              </w:tc>
            </w:tr>
            <w:tr w14:paraId="506B7C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84" w:type="dxa"/>
                  <w:tcBorders>
                    <w:tl2br w:val="nil"/>
                    <w:tr2bl w:val="nil"/>
                  </w:tcBorders>
                  <w:vAlign w:val="center"/>
                </w:tcPr>
                <w:p w14:paraId="32D1DD23">
                  <w:pPr>
                    <w:numPr>
                      <w:ilvl w:val="0"/>
                      <w:numId w:val="16"/>
                    </w:numPr>
                    <w:spacing w:line="240" w:lineRule="exact"/>
                    <w:jc w:val="left"/>
                    <w:rPr>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强化末端管理</w:t>
                  </w:r>
                </w:p>
                <w:p w14:paraId="4273BA1D">
                  <w:pPr>
                    <w:pStyle w:val="2"/>
                    <w:numPr>
                      <w:ilvl w:val="0"/>
                      <w:numId w:val="17"/>
                    </w:numPr>
                    <w:snapToGrid/>
                    <w:spacing w:before="0" w:after="0" w:line="240" w:lineRule="exact"/>
                    <w:ind w:right="0"/>
                    <w:jc w:val="left"/>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推进固废就近利用处置</w:t>
                  </w:r>
                </w:p>
                <w:p w14:paraId="460BCAEF">
                  <w:pPr>
                    <w:pStyle w:val="2"/>
                    <w:numPr>
                      <w:ilvl w:val="0"/>
                      <w:numId w:val="17"/>
                    </w:numPr>
                    <w:snapToGrid/>
                    <w:spacing w:before="0" w:after="0" w:line="240" w:lineRule="exact"/>
                    <w:ind w:right="0"/>
                    <w:jc w:val="left"/>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加强企业产物监管</w:t>
                  </w:r>
                </w:p>
                <w:p w14:paraId="4470CBEA">
                  <w:pPr>
                    <w:pStyle w:val="2"/>
                    <w:numPr>
                      <w:ilvl w:val="0"/>
                      <w:numId w:val="17"/>
                    </w:numPr>
                    <w:snapToGrid/>
                    <w:spacing w:before="0" w:after="0" w:line="240" w:lineRule="exact"/>
                    <w:ind w:right="0"/>
                    <w:jc w:val="left"/>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开展监督性监测</w:t>
                  </w:r>
                </w:p>
                <w:p w14:paraId="6C05F542">
                  <w:pPr>
                    <w:pStyle w:val="2"/>
                    <w:numPr>
                      <w:ilvl w:val="0"/>
                      <w:numId w:val="17"/>
                    </w:numPr>
                    <w:snapToGrid/>
                    <w:spacing w:before="0" w:after="0" w:line="240" w:lineRule="exact"/>
                    <w:ind w:right="0"/>
                    <w:jc w:val="left"/>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规范一般工业固废管理</w:t>
                  </w:r>
                </w:p>
              </w:tc>
              <w:tc>
                <w:tcPr>
                  <w:tcW w:w="4185" w:type="dxa"/>
                  <w:tcBorders>
                    <w:tl2br w:val="nil"/>
                    <w:tr2bl w:val="nil"/>
                  </w:tcBorders>
                  <w:vAlign w:val="center"/>
                </w:tcPr>
                <w:p w14:paraId="052C9249">
                  <w:pPr>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本项目产生的危险废物均不涉及跨省运输，就近利用处置，防范长距离运输带来的风险。符合要求。</w:t>
                  </w:r>
                </w:p>
              </w:tc>
            </w:tr>
            <w:tr w14:paraId="73B04D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84" w:type="dxa"/>
                  <w:tcBorders>
                    <w:tl2br w:val="nil"/>
                    <w:tr2bl w:val="nil"/>
                  </w:tcBorders>
                  <w:vAlign w:val="center"/>
                </w:tcPr>
                <w:p w14:paraId="71F4AF9C">
                  <w:pPr>
                    <w:numPr>
                      <w:ilvl w:val="0"/>
                      <w:numId w:val="16"/>
                    </w:numPr>
                    <w:spacing w:line="240" w:lineRule="exact"/>
                    <w:jc w:val="left"/>
                    <w:rPr>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加强监管执法</w:t>
                  </w:r>
                </w:p>
                <w:p w14:paraId="20714E56">
                  <w:pPr>
                    <w:pStyle w:val="2"/>
                    <w:numPr>
                      <w:ilvl w:val="0"/>
                      <w:numId w:val="18"/>
                    </w:numPr>
                    <w:snapToGrid/>
                    <w:spacing w:before="0" w:after="0" w:line="240" w:lineRule="exact"/>
                    <w:ind w:right="0"/>
                    <w:jc w:val="left"/>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持续开展专项执法检查</w:t>
                  </w:r>
                </w:p>
                <w:p w14:paraId="6DF136E2">
                  <w:pPr>
                    <w:numPr>
                      <w:ilvl w:val="0"/>
                      <w:numId w:val="18"/>
                    </w:numPr>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严肃打击涉废违法行为</w:t>
                  </w:r>
                </w:p>
              </w:tc>
              <w:tc>
                <w:tcPr>
                  <w:tcW w:w="4185" w:type="dxa"/>
                  <w:tcBorders>
                    <w:tl2br w:val="nil"/>
                    <w:tr2bl w:val="nil"/>
                  </w:tcBorders>
                  <w:vAlign w:val="center"/>
                </w:tcPr>
                <w:p w14:paraId="0456FF9D">
                  <w:pPr>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企业无涉废违法行为和记录。符合要求。</w:t>
                  </w:r>
                </w:p>
              </w:tc>
            </w:tr>
            <w:tr w14:paraId="4B7159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84" w:type="dxa"/>
                  <w:tcBorders>
                    <w:tl2br w:val="nil"/>
                    <w:tr2bl w:val="nil"/>
                  </w:tcBorders>
                  <w:vAlign w:val="center"/>
                </w:tcPr>
                <w:p w14:paraId="597124EE">
                  <w:pPr>
                    <w:numPr>
                      <w:ilvl w:val="0"/>
                      <w:numId w:val="16"/>
                    </w:numPr>
                    <w:spacing w:line="240" w:lineRule="exact"/>
                    <w:jc w:val="left"/>
                    <w:rPr>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完善保障措施</w:t>
                  </w:r>
                </w:p>
                <w:p w14:paraId="32250E29">
                  <w:pPr>
                    <w:numPr>
                      <w:ilvl w:val="0"/>
                      <w:numId w:val="18"/>
                    </w:numPr>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完善法规标准体系</w:t>
                  </w:r>
                </w:p>
                <w:p w14:paraId="2A2CF95D">
                  <w:pPr>
                    <w:pStyle w:val="2"/>
                    <w:numPr>
                      <w:ilvl w:val="0"/>
                      <w:numId w:val="18"/>
                    </w:numPr>
                    <w:snapToGrid/>
                    <w:spacing w:before="0" w:after="0" w:line="240" w:lineRule="exact"/>
                    <w:ind w:right="0"/>
                    <w:jc w:val="left"/>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强化监管联动机制</w:t>
                  </w:r>
                </w:p>
                <w:p w14:paraId="1BCE3A44">
                  <w:pPr>
                    <w:numPr>
                      <w:ilvl w:val="0"/>
                      <w:numId w:val="18"/>
                    </w:numPr>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推动清洁生产审核</w:t>
                  </w:r>
                </w:p>
              </w:tc>
              <w:tc>
                <w:tcPr>
                  <w:tcW w:w="4185" w:type="dxa"/>
                  <w:tcBorders>
                    <w:tl2br w:val="nil"/>
                    <w:tr2bl w:val="nil"/>
                  </w:tcBorders>
                  <w:vAlign w:val="center"/>
                </w:tcPr>
                <w:p w14:paraId="3CF9BB6E">
                  <w:pPr>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企业强化监管联动机制，以减少危险废物产生量。符合要求。</w:t>
                  </w:r>
                </w:p>
              </w:tc>
            </w:tr>
          </w:tbl>
          <w:p w14:paraId="31882C73">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（8）危险废物环境风险评价</w:t>
            </w:r>
          </w:p>
          <w:p w14:paraId="146B1354">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按照《建设项目环境风险评价技术导则》（HJ169-2018），本项目的危险废物具有有毒有害危险性，存在泄漏风险，建设单位拟在</w:t>
            </w:r>
            <w:r>
              <w:rPr>
                <w:rFonts w:hint="eastAsia"/>
                <w:color w:val="000000" w:themeColor="text1"/>
                <w:sz w:val="24"/>
                <w:highlight w:val="none"/>
                <w:lang w:val="zh-CN"/>
                <w14:textFill>
                  <w14:solidFill>
                    <w14:schemeClr w14:val="tx1"/>
                  </w14:solidFill>
                </w14:textFill>
              </w:rPr>
              <w:t>废包装物</w:t>
            </w:r>
            <w:r>
              <w:rPr>
                <w:color w:val="000000" w:themeColor="text1"/>
                <w:sz w:val="24"/>
                <w:highlight w:val="none"/>
                <w:lang w:val="zh-CN"/>
                <w14:textFill>
                  <w14:solidFill>
                    <w14:schemeClr w14:val="tx1"/>
                  </w14:solidFill>
                </w14:textFill>
              </w:rPr>
              <w:t>下方设置托盘，或在</w:t>
            </w:r>
            <w:r>
              <w:rPr>
                <w:rFonts w:hint="eastAsia"/>
                <w:color w:val="000000" w:themeColor="text1"/>
                <w:sz w:val="24"/>
                <w:highlight w:val="none"/>
                <w:lang w:val="zh-CN"/>
                <w14:textFill>
                  <w14:solidFill>
                    <w14:schemeClr w14:val="tx1"/>
                  </w14:solidFill>
                </w14:textFill>
              </w:rPr>
              <w:t>危废仓库</w:t>
            </w:r>
            <w:r>
              <w:rPr>
                <w:color w:val="000000" w:themeColor="text1"/>
                <w:sz w:val="24"/>
                <w:highlight w:val="none"/>
                <w:lang w:val="zh-CN"/>
                <w14:textFill>
                  <w14:solidFill>
                    <w14:schemeClr w14:val="tx1"/>
                  </w14:solidFill>
                </w14:textFill>
              </w:rPr>
              <w:t>设置地沟等，发生少量泄漏应立即将容器内剩余溶液转移，并收集托盘、地沟内泄漏液体，防止泄漏物料挥发到大气中，同时应在危废贮存间内设置禁火标志，并布置灭火器、沙包等消防物资，防止火灾的发生和蔓延。本项目产生的液态危废一旦储存不当导致包装桶内残留的废液泄漏，泄漏的废液可能会进入雨、污管网，随雨水进入河流，进而造成地表水的污染。</w:t>
            </w:r>
            <w:r>
              <w:rPr>
                <w:rFonts w:hint="eastAsia"/>
                <w:color w:val="000000" w:themeColor="text1"/>
                <w:sz w:val="24"/>
                <w:highlight w:val="none"/>
                <w:lang w:val="en-US" w:eastAsia="zh-CN"/>
                <w14:textFill>
                  <w14:solidFill>
                    <w14:schemeClr w14:val="tx1"/>
                  </w14:solidFill>
                </w14:textFill>
              </w:rPr>
              <w:t>废包装物</w:t>
            </w:r>
            <w:r>
              <w:rPr>
                <w:color w:val="000000" w:themeColor="text1"/>
                <w:sz w:val="24"/>
                <w:highlight w:val="none"/>
                <w:lang w:val="zh-CN"/>
                <w14:textFill>
                  <w14:solidFill>
                    <w14:schemeClr w14:val="tx1"/>
                  </w14:solidFill>
                </w14:textFill>
              </w:rPr>
              <w:t>、废活性炭等含有可燃成分，一旦储存不当或遭遇明火，可能会发生火灾事件，会对环境和社会造成不利影响，严重时会引发人员伤亡。厂区发生火灾事故在燃烧中产生含有一氧化碳、二氧化碳等有毒气体，对大气环境产生不利影响。厂区发生泄漏以及火灾、爆炸事故也可能会导致有毒有害物质渗透入土壤中，造成土壤、地下水污染。主要影响如下：</w:t>
            </w:r>
          </w:p>
          <w:p w14:paraId="1D8CE3B2">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1）对环境空气的影响：</w:t>
            </w:r>
          </w:p>
          <w:p w14:paraId="58EF1B87">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本项目危险废物均以密封的包装贮存，有效减少挥发性物质对环境空气的影响。</w:t>
            </w:r>
          </w:p>
          <w:p w14:paraId="538D9891">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2）对地表水的影响：</w:t>
            </w:r>
          </w:p>
          <w:p w14:paraId="773847C6">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危废暂存场所具有防雨、防漏、防渗措施，当事故发生时，不会产生废液进入厂区雨水系统，不会对周边地表水产生不良影响。</w:t>
            </w:r>
          </w:p>
          <w:p w14:paraId="4D14AC75">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3）对地下水的影响：</w:t>
            </w:r>
          </w:p>
          <w:p w14:paraId="45DB1525">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rFonts w:hint="eastAsia"/>
                <w:color w:val="000000" w:themeColor="text1"/>
                <w:sz w:val="24"/>
                <w:highlight w:val="none"/>
                <w14:textFill>
                  <w14:solidFill>
                    <w14:schemeClr w14:val="tx1"/>
                  </w14:solidFill>
                </w14:textFill>
              </w:rPr>
              <w:t>危废仓库</w:t>
            </w:r>
            <w:r>
              <w:rPr>
                <w:color w:val="000000" w:themeColor="text1"/>
                <w:sz w:val="24"/>
                <w:highlight w:val="none"/>
                <w14:textFill>
                  <w14:solidFill>
                    <w14:schemeClr w14:val="tx1"/>
                  </w14:solidFill>
                </w14:textFill>
              </w:rPr>
              <w:t>应按照《危险废物贮存污染控制标准（GB18597-2023）》要求，进行防腐、防渗，暂存场所地面铺设等效2mm厚高密度聚乙烯防渗层，渗透系数≤10</w:t>
            </w:r>
            <w:r>
              <w:rPr>
                <w:color w:val="000000" w:themeColor="text1"/>
                <w:sz w:val="24"/>
                <w:highlight w:val="none"/>
                <w:vertAlign w:val="superscript"/>
                <w14:textFill>
                  <w14:solidFill>
                    <w14:schemeClr w14:val="tx1"/>
                  </w14:solidFill>
                </w14:textFill>
              </w:rPr>
              <w:t>-10</w:t>
            </w:r>
            <w:r>
              <w:rPr>
                <w:color w:val="000000" w:themeColor="text1"/>
                <w:sz w:val="24"/>
                <w:highlight w:val="none"/>
                <w14:textFill>
                  <w14:solidFill>
                    <w14:schemeClr w14:val="tx1"/>
                  </w14:solidFill>
                </w14:textFill>
              </w:rPr>
              <w:t>cm/s，设集液托盘，正常情况下不会泄漏至室外污染土壤和地下水，不会对区域地下水环境产生影响</w:t>
            </w:r>
            <w:r>
              <w:rPr>
                <w:color w:val="000000" w:themeColor="text1"/>
                <w:sz w:val="24"/>
                <w:highlight w:val="none"/>
                <w:lang w:val="zh-CN"/>
                <w14:textFill>
                  <w14:solidFill>
                    <w14:schemeClr w14:val="tx1"/>
                  </w14:solidFill>
                </w14:textFill>
              </w:rPr>
              <w:t>。</w:t>
            </w:r>
          </w:p>
          <w:p w14:paraId="1126AF9C">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rFonts w:hint="eastAsia"/>
                <w:color w:val="000000" w:themeColor="text1"/>
                <w:sz w:val="24"/>
                <w:highlight w:val="none"/>
                <w14:textFill>
                  <w14:solidFill>
                    <w14:schemeClr w14:val="tx1"/>
                  </w14:solidFill>
                </w14:textFill>
              </w:rPr>
              <w:t>4</w:t>
            </w:r>
            <w:r>
              <w:rPr>
                <w:color w:val="000000" w:themeColor="text1"/>
                <w:sz w:val="24"/>
                <w:highlight w:val="none"/>
                <w:lang w:val="zh-CN"/>
                <w14:textFill>
                  <w14:solidFill>
                    <w14:schemeClr w14:val="tx1"/>
                  </w14:solidFill>
                </w14:textFill>
              </w:rPr>
              <w:t>）对</w:t>
            </w:r>
            <w:r>
              <w:rPr>
                <w:rFonts w:hint="eastAsia"/>
                <w:color w:val="000000" w:themeColor="text1"/>
                <w:sz w:val="24"/>
                <w:highlight w:val="none"/>
                <w14:textFill>
                  <w14:solidFill>
                    <w14:schemeClr w14:val="tx1"/>
                  </w14:solidFill>
                </w14:textFill>
              </w:rPr>
              <w:t>土壤</w:t>
            </w:r>
            <w:r>
              <w:rPr>
                <w:color w:val="000000" w:themeColor="text1"/>
                <w:sz w:val="24"/>
                <w:highlight w:val="none"/>
                <w:lang w:val="zh-CN"/>
                <w14:textFill>
                  <w14:solidFill>
                    <w14:schemeClr w14:val="tx1"/>
                  </w14:solidFill>
                </w14:textFill>
              </w:rPr>
              <w:t>的影响：</w:t>
            </w:r>
          </w:p>
          <w:p w14:paraId="32420139">
            <w:pPr>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本项目为污染影响型建设项目，</w:t>
            </w:r>
            <w:r>
              <w:rPr>
                <w:rFonts w:hint="eastAsia"/>
                <w:color w:val="000000" w:themeColor="text1"/>
                <w:sz w:val="24"/>
                <w:highlight w:val="none"/>
                <w14:textFill>
                  <w14:solidFill>
                    <w14:schemeClr w14:val="tx1"/>
                  </w14:solidFill>
                </w14:textFill>
              </w:rPr>
              <w:t>根据《建设项目环境影响报告表编制技术指南》，</w:t>
            </w:r>
            <w:r>
              <w:rPr>
                <w:color w:val="000000" w:themeColor="text1"/>
                <w:sz w:val="24"/>
                <w:highlight w:val="none"/>
                <w14:textFill>
                  <w14:solidFill>
                    <w14:schemeClr w14:val="tx1"/>
                  </w14:solidFill>
                </w14:textFill>
              </w:rPr>
              <w:t>简单分析运营期对项目地及周边区域土壤环境的影响。根据项目工程分析，本项目土壤环境影响</w:t>
            </w:r>
            <w:r>
              <w:rPr>
                <w:rFonts w:hint="eastAsia"/>
                <w:color w:val="000000" w:themeColor="text1"/>
                <w:sz w:val="24"/>
                <w:highlight w:val="none"/>
                <w14:textFill>
                  <w14:solidFill>
                    <w14:schemeClr w14:val="tx1"/>
                  </w14:solidFill>
                </w14:textFill>
              </w:rPr>
              <w:t>途径</w:t>
            </w:r>
            <w:r>
              <w:rPr>
                <w:color w:val="000000" w:themeColor="text1"/>
                <w:sz w:val="24"/>
                <w:highlight w:val="none"/>
                <w14:textFill>
                  <w14:solidFill>
                    <w14:schemeClr w14:val="tx1"/>
                  </w14:solidFill>
                </w14:textFill>
              </w:rPr>
              <w:t>主要为大气沉降、地面漫流及垂直入渗。</w:t>
            </w:r>
          </w:p>
          <w:p w14:paraId="0CC17B7B">
            <w:pPr>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①大气沉降：</w:t>
            </w:r>
            <w:r>
              <w:rPr>
                <w:rFonts w:hint="eastAsia"/>
                <w:color w:val="000000" w:themeColor="text1"/>
                <w:sz w:val="24"/>
                <w:highlight w:val="none"/>
                <w14:textFill>
                  <w14:solidFill>
                    <w14:schemeClr w14:val="tx1"/>
                  </w14:solidFill>
                </w14:textFill>
              </w:rPr>
              <w:t>正常情况和</w:t>
            </w:r>
            <w:r>
              <w:rPr>
                <w:color w:val="000000" w:themeColor="text1"/>
                <w:sz w:val="24"/>
                <w:highlight w:val="none"/>
                <w14:textFill>
                  <w14:solidFill>
                    <w14:schemeClr w14:val="tx1"/>
                  </w14:solidFill>
                </w14:textFill>
              </w:rPr>
              <w:t>非正常工况下排放的废气扩散进入大气，集中降落在土壤表层，主要污染物为</w:t>
            </w:r>
            <w:r>
              <w:rPr>
                <w:rFonts w:hint="eastAsia"/>
                <w:color w:val="000000" w:themeColor="text1"/>
                <w:sz w:val="24"/>
                <w:highlight w:val="none"/>
                <w:lang w:eastAsia="zh-CN"/>
                <w14:textFill>
                  <w14:solidFill>
                    <w14:schemeClr w14:val="tx1"/>
                  </w14:solidFill>
                </w14:textFill>
              </w:rPr>
              <w:t>颗粒物、非甲烷总烃、乙醛</w:t>
            </w:r>
            <w:r>
              <w:rPr>
                <w:color w:val="000000" w:themeColor="text1"/>
                <w:sz w:val="24"/>
                <w:highlight w:val="none"/>
                <w14:textFill>
                  <w14:solidFill>
                    <w14:schemeClr w14:val="tx1"/>
                  </w14:solidFill>
                </w14:textFill>
              </w:rPr>
              <w:t>，污染物降落到地表可能会引起土壤生态系统的平衡发生变化。</w:t>
            </w:r>
          </w:p>
          <w:p w14:paraId="604FD96A">
            <w:pPr>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②地面漫流：厂房内发生事故或半固态、液态危险废物在输送过程中泄漏，从而导致废水、废液、消防尾水等形成地面漫流，致使土壤受到污染等。</w:t>
            </w:r>
          </w:p>
          <w:p w14:paraId="56B6A76F">
            <w:pPr>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③垂直入渗：</w:t>
            </w:r>
            <w:r>
              <w:rPr>
                <w:rFonts w:hint="eastAsia"/>
                <w:color w:val="000000" w:themeColor="text1"/>
                <w:sz w:val="24"/>
                <w:highlight w:val="none"/>
                <w14:textFill>
                  <w14:solidFill>
                    <w14:schemeClr w14:val="tx1"/>
                  </w14:solidFill>
                </w14:textFill>
              </w:rPr>
              <w:t>危废仓库</w:t>
            </w:r>
            <w:r>
              <w:rPr>
                <w:color w:val="000000" w:themeColor="text1"/>
                <w:sz w:val="24"/>
                <w:highlight w:val="none"/>
                <w14:textFill>
                  <w14:solidFill>
                    <w14:schemeClr w14:val="tx1"/>
                  </w14:solidFill>
                </w14:textFill>
              </w:rPr>
              <w:t>泄漏，防渗破损以及事故状态下，</w:t>
            </w:r>
            <w:r>
              <w:rPr>
                <w:rFonts w:hint="eastAsia"/>
                <w:color w:val="000000" w:themeColor="text1"/>
                <w:sz w:val="24"/>
                <w:highlight w:val="none"/>
                <w14:textFill>
                  <w14:solidFill>
                    <w14:schemeClr w14:val="tx1"/>
                  </w14:solidFill>
                </w14:textFill>
              </w:rPr>
              <w:t>化学品</w:t>
            </w:r>
            <w:r>
              <w:rPr>
                <w:color w:val="000000" w:themeColor="text1"/>
                <w:sz w:val="24"/>
                <w:highlight w:val="none"/>
                <w14:textFill>
                  <w14:solidFill>
                    <w14:schemeClr w14:val="tx1"/>
                  </w14:solidFill>
                </w14:textFill>
              </w:rPr>
              <w:t>或危险废物转移至土壤中，或固体废物外运时，散落于运输途中，雨水冲刷后进入道路两侧土壤。</w:t>
            </w:r>
          </w:p>
          <w:p w14:paraId="6B9A0820">
            <w:pPr>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针对土壤可能造成的三种影响途径，需采取源头控制</w:t>
            </w:r>
            <w:r>
              <w:rPr>
                <w:rFonts w:hint="eastAsia"/>
                <w:color w:val="000000" w:themeColor="text1"/>
                <w:sz w:val="24"/>
                <w:highlight w:val="none"/>
                <w14:textFill>
                  <w14:solidFill>
                    <w14:schemeClr w14:val="tx1"/>
                  </w14:solidFill>
                </w14:textFill>
              </w:rPr>
              <w:t>、过程防控措施</w:t>
            </w:r>
            <w:r>
              <w:rPr>
                <w:color w:val="000000" w:themeColor="text1"/>
                <w:sz w:val="24"/>
                <w:highlight w:val="none"/>
                <w14:textFill>
                  <w14:solidFill>
                    <w14:schemeClr w14:val="tx1"/>
                  </w14:solidFill>
                </w14:textFill>
              </w:rPr>
              <w:t>以及应急能力建设相结合的方式从而减小可能造成的土壤环境影响</w:t>
            </w:r>
            <w:r>
              <w:rPr>
                <w:rFonts w:hint="eastAsia"/>
                <w:color w:val="000000" w:themeColor="text1"/>
                <w:sz w:val="24"/>
                <w:highlight w:val="none"/>
                <w14:textFill>
                  <w14:solidFill>
                    <w14:schemeClr w14:val="tx1"/>
                  </w14:solidFill>
                </w14:textFill>
              </w:rPr>
              <w:t>，并落实土壤环境跟踪监测</w:t>
            </w:r>
            <w:r>
              <w:rPr>
                <w:color w:val="000000" w:themeColor="text1"/>
                <w:sz w:val="24"/>
                <w:highlight w:val="none"/>
                <w14:textFill>
                  <w14:solidFill>
                    <w14:schemeClr w14:val="tx1"/>
                  </w14:solidFill>
                </w14:textFill>
              </w:rPr>
              <w:t>：</w:t>
            </w:r>
          </w:p>
          <w:p w14:paraId="1C40D8C1">
            <w:pPr>
              <w:spacing w:line="44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源头控制：</w:t>
            </w:r>
          </w:p>
          <w:p w14:paraId="548D5ED2">
            <w:pPr>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①</w:t>
            </w:r>
            <w:r>
              <w:rPr>
                <w:rFonts w:hint="eastAsia"/>
                <w:color w:val="000000" w:themeColor="text1"/>
                <w:sz w:val="24"/>
                <w:highlight w:val="none"/>
                <w14:textFill>
                  <w14:solidFill>
                    <w14:schemeClr w14:val="tx1"/>
                  </w14:solidFill>
                </w14:textFill>
              </w:rPr>
              <w:t>加强土壤污染风险区域的管控和巡查，规范工人操作；</w:t>
            </w:r>
          </w:p>
          <w:p w14:paraId="65F2E326">
            <w:pPr>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②</w:t>
            </w:r>
            <w:r>
              <w:rPr>
                <w:rFonts w:hint="eastAsia"/>
                <w:color w:val="000000" w:themeColor="text1"/>
                <w:sz w:val="24"/>
                <w:highlight w:val="none"/>
                <w14:textFill>
                  <w14:solidFill>
                    <w14:schemeClr w14:val="tx1"/>
                  </w14:solidFill>
                </w14:textFill>
              </w:rPr>
              <w:t>对易造成土壤污染的物料加强管理，预防泄漏。</w:t>
            </w:r>
          </w:p>
          <w:p w14:paraId="133FAF53">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rFonts w:hint="eastAsia"/>
                <w:color w:val="000000" w:themeColor="text1"/>
                <w:sz w:val="24"/>
                <w:highlight w:val="none"/>
                <w14:textFill>
                  <w14:solidFill>
                    <w14:schemeClr w14:val="tx1"/>
                  </w14:solidFill>
                </w14:textFill>
              </w:rPr>
              <w:t>5</w:t>
            </w:r>
            <w:r>
              <w:rPr>
                <w:color w:val="000000" w:themeColor="text1"/>
                <w:sz w:val="24"/>
                <w:highlight w:val="none"/>
                <w:lang w:val="zh-CN"/>
                <w14:textFill>
                  <w14:solidFill>
                    <w14:schemeClr w14:val="tx1"/>
                  </w14:solidFill>
                </w14:textFill>
              </w:rPr>
              <w:t>）对环境敏感保护目标的影响：</w:t>
            </w:r>
          </w:p>
          <w:p w14:paraId="5DC7440B">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本项目暂存的危险废物都按要求妥善保管，暂存场地地面按控制标准的要求做了防渗漏处理，一旦发生泄漏事故及时采取控制措施，环境风险水平在可控制范围内。</w:t>
            </w:r>
          </w:p>
          <w:p w14:paraId="714C3148">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综上所述，本项目产生的固体废物均得到合理处置，不会产生二次污染，对周围环境影响较小。</w:t>
            </w:r>
          </w:p>
          <w:p w14:paraId="1597EE55">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5、环境风险分析</w:t>
            </w:r>
          </w:p>
          <w:p w14:paraId="7EECC4E8">
            <w:pPr>
              <w:adjustRightInd w:val="0"/>
              <w:snapToGrid w:val="0"/>
              <w:spacing w:line="440" w:lineRule="exact"/>
              <w:ind w:firstLine="480" w:firstLineChars="200"/>
              <w:rPr>
                <w:rFonts w:ascii="Times New Roman" w:hAnsi="Times New Roman" w:eastAsia="宋体" w:cs="Times New Roman"/>
                <w:color w:val="000000" w:themeColor="text1"/>
                <w:sz w:val="24"/>
                <w:highlight w:val="none"/>
                <w:lang w:val="zh-CN"/>
                <w14:textFill>
                  <w14:solidFill>
                    <w14:schemeClr w14:val="tx1"/>
                  </w14:solidFill>
                </w14:textFill>
              </w:rPr>
            </w:pPr>
            <w:r>
              <w:rPr>
                <w:rFonts w:ascii="Times New Roman" w:hAnsi="Times New Roman" w:eastAsia="宋体" w:cs="Times New Roman"/>
                <w:color w:val="000000" w:themeColor="text1"/>
                <w:sz w:val="24"/>
                <w:highlight w:val="none"/>
                <w:lang w:val="zh-CN"/>
                <w14:textFill>
                  <w14:solidFill>
                    <w14:schemeClr w14:val="tx1"/>
                  </w14:solidFill>
                </w14:textFill>
              </w:rPr>
              <w:t>（1）风险调查</w:t>
            </w:r>
          </w:p>
          <w:p w14:paraId="46206C36">
            <w:pPr>
              <w:adjustRightInd w:val="0"/>
              <w:snapToGrid w:val="0"/>
              <w:spacing w:line="440" w:lineRule="exact"/>
              <w:ind w:firstLine="480" w:firstLineChars="200"/>
              <w:rPr>
                <w:rFonts w:ascii="Times New Roman" w:hAnsi="Times New Roman" w:eastAsia="宋体" w:cs="Times New Roman"/>
                <w:color w:val="000000" w:themeColor="text1"/>
                <w:sz w:val="24"/>
                <w:highlight w:val="none"/>
                <w:lang w:val="zh-CN"/>
                <w14:textFill>
                  <w14:solidFill>
                    <w14:schemeClr w14:val="tx1"/>
                  </w14:solidFill>
                </w14:textFill>
              </w:rPr>
            </w:pPr>
            <w:r>
              <w:rPr>
                <w:rFonts w:ascii="Times New Roman" w:hAnsi="Times New Roman" w:eastAsia="宋体" w:cs="Times New Roman"/>
                <w:color w:val="000000" w:themeColor="text1"/>
                <w:sz w:val="24"/>
                <w:highlight w:val="none"/>
                <w:lang w:val="zh-CN"/>
                <w14:textFill>
                  <w14:solidFill>
                    <w14:schemeClr w14:val="tx1"/>
                  </w14:solidFill>
                </w14:textFill>
              </w:rPr>
              <w:t>根据《建设项目环境风险评价技术导则》（HJ169-2018）“涉及有毒有害和易燃易爆物质的生产、使用、贮存等的新建、改建、扩建和技术改造项目（不包括核建设项目）”须进行环境风险评价。</w:t>
            </w:r>
            <w:r>
              <w:rPr>
                <w:rFonts w:hint="eastAsia" w:ascii="Times New Roman" w:hAnsi="Times New Roman" w:eastAsia="宋体" w:cs="Times New Roman"/>
                <w:color w:val="000000" w:themeColor="text1"/>
                <w:sz w:val="24"/>
                <w:highlight w:val="none"/>
                <w:lang w:val="zh-CN"/>
                <w14:textFill>
                  <w14:solidFill>
                    <w14:schemeClr w14:val="tx1"/>
                  </w14:solidFill>
                </w14:textFill>
              </w:rPr>
              <w:t>本项目</w:t>
            </w:r>
            <w:r>
              <w:rPr>
                <w:rFonts w:ascii="Times New Roman" w:hAnsi="Times New Roman" w:eastAsia="宋体" w:cs="Times New Roman"/>
                <w:color w:val="000000" w:themeColor="text1"/>
                <w:sz w:val="24"/>
                <w:highlight w:val="none"/>
                <w:lang w:val="zh-CN"/>
                <w14:textFill>
                  <w14:solidFill>
                    <w14:schemeClr w14:val="tx1"/>
                  </w14:solidFill>
                </w14:textFill>
              </w:rPr>
              <w:t>风险物质主要为</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硫化剂</w:t>
            </w:r>
            <w:r>
              <w:rPr>
                <w:rFonts w:ascii="Times New Roman" w:hAnsi="Times New Roman" w:eastAsia="宋体" w:cs="Times New Roman"/>
                <w:color w:val="000000" w:themeColor="text1"/>
                <w:sz w:val="24"/>
                <w:highlight w:val="none"/>
                <w:lang w:val="zh-CN"/>
                <w14:textFill>
                  <w14:solidFill>
                    <w14:schemeClr w14:val="tx1"/>
                  </w14:solidFill>
                </w14:textFill>
              </w:rPr>
              <w:t>和危险废物，不涉及涉爆粉尘。</w:t>
            </w:r>
          </w:p>
          <w:p w14:paraId="0DBCCD76">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（2）风险识别</w:t>
            </w:r>
          </w:p>
          <w:p w14:paraId="0F091581">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1）物质危险性识别</w:t>
            </w:r>
          </w:p>
          <w:p w14:paraId="3F41EC84">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根据《建设项目环境风险评价技术导则》（HJ169-2018）附录B和《企业突发环境事件风险分级方法》（HJ941-2018），</w:t>
            </w:r>
            <w:r>
              <w:rPr>
                <w:rFonts w:hint="eastAsia"/>
                <w:color w:val="000000" w:themeColor="text1"/>
                <w:sz w:val="24"/>
                <w:highlight w:val="none"/>
                <w:lang w:eastAsia="zh-CN"/>
                <w14:textFill>
                  <w14:solidFill>
                    <w14:schemeClr w14:val="tx1"/>
                  </w14:solidFill>
                </w14:textFill>
              </w:rPr>
              <w:t>本项目</w:t>
            </w:r>
            <w:r>
              <w:rPr>
                <w:color w:val="000000" w:themeColor="text1"/>
                <w:sz w:val="24"/>
                <w:highlight w:val="none"/>
                <w:lang w:val="zh-CN"/>
                <w14:textFill>
                  <w14:solidFill>
                    <w14:schemeClr w14:val="tx1"/>
                  </w14:solidFill>
                </w14:textFill>
              </w:rPr>
              <w:t>涉及环境风险物质详见</w:t>
            </w:r>
            <w:r>
              <w:rPr>
                <w:color w:val="000000" w:themeColor="text1"/>
                <w:sz w:val="24"/>
                <w:highlight w:val="none"/>
                <w14:textFill>
                  <w14:solidFill>
                    <w14:schemeClr w14:val="tx1"/>
                  </w14:solidFill>
                </w14:textFill>
              </w:rPr>
              <w:t>下表</w:t>
            </w:r>
            <w:r>
              <w:rPr>
                <w:color w:val="000000" w:themeColor="text1"/>
                <w:sz w:val="24"/>
                <w:highlight w:val="none"/>
                <w:lang w:val="zh-CN"/>
                <w14:textFill>
                  <w14:solidFill>
                    <w14:schemeClr w14:val="tx1"/>
                  </w14:solidFill>
                </w14:textFill>
              </w:rPr>
              <w:t>。</w:t>
            </w:r>
          </w:p>
          <w:p w14:paraId="257E8883">
            <w:pPr>
              <w:pStyle w:val="125"/>
              <w:numPr>
                <w:ilvl w:val="0"/>
                <w:numId w:val="0"/>
              </w:numPr>
              <w:spacing w:line="460" w:lineRule="exact"/>
              <w:rPr>
                <w:rFonts w:hint="default"/>
                <w:color w:val="000000" w:themeColor="text1"/>
                <w:sz w:val="24"/>
                <w:highlight w:val="none"/>
                <w:lang w:val="zh-CN"/>
                <w14:textFill>
                  <w14:solidFill>
                    <w14:schemeClr w14:val="tx1"/>
                  </w14:solidFill>
                </w14:textFill>
              </w:rPr>
            </w:pPr>
            <w:r>
              <w:rPr>
                <w:rFonts w:hint="default"/>
                <w:color w:val="000000" w:themeColor="text1"/>
                <w:sz w:val="24"/>
                <w:highlight w:val="none"/>
                <w:lang w:val="zh-CN"/>
                <w14:textFill>
                  <w14:solidFill>
                    <w14:schemeClr w14:val="tx1"/>
                  </w14:solidFill>
                </w14:textFill>
              </w:rPr>
              <w:t>表4-</w:t>
            </w:r>
            <w:r>
              <w:rPr>
                <w:color w:val="000000" w:themeColor="text1"/>
                <w:sz w:val="24"/>
                <w:highlight w:val="none"/>
                <w14:textFill>
                  <w14:solidFill>
                    <w14:schemeClr w14:val="tx1"/>
                  </w14:solidFill>
                </w14:textFill>
              </w:rPr>
              <w:t>3</w:t>
            </w:r>
            <w:r>
              <w:rPr>
                <w:rFonts w:hint="eastAsia"/>
                <w:color w:val="000000" w:themeColor="text1"/>
                <w:sz w:val="24"/>
                <w:highlight w:val="none"/>
                <w:lang w:val="en-US" w:eastAsia="zh-CN"/>
                <w14:textFill>
                  <w14:solidFill>
                    <w14:schemeClr w14:val="tx1"/>
                  </w14:solidFill>
                </w14:textFill>
              </w:rPr>
              <w:t xml:space="preserve">5  </w:t>
            </w:r>
            <w:r>
              <w:rPr>
                <w:rFonts w:hint="eastAsia"/>
                <w:color w:val="000000" w:themeColor="text1"/>
                <w:sz w:val="24"/>
                <w:highlight w:val="none"/>
                <w:lang w:eastAsia="zh-CN"/>
                <w14:textFill>
                  <w14:solidFill>
                    <w14:schemeClr w14:val="tx1"/>
                  </w14:solidFill>
                </w14:textFill>
              </w:rPr>
              <w:t>本项目</w:t>
            </w:r>
            <w:r>
              <w:rPr>
                <w:rFonts w:hint="default"/>
                <w:color w:val="000000" w:themeColor="text1"/>
                <w:sz w:val="24"/>
                <w:highlight w:val="none"/>
                <w:lang w:val="zh-CN"/>
                <w14:textFill>
                  <w14:solidFill>
                    <w14:schemeClr w14:val="tx1"/>
                  </w14:solidFill>
                </w14:textFill>
              </w:rPr>
              <w:t>涉及环境风险物质识别表</w:t>
            </w:r>
          </w:p>
          <w:tbl>
            <w:tblPr>
              <w:tblStyle w:val="38"/>
              <w:tblW w:w="4994" w:type="pct"/>
              <w:tblInd w:w="0" w:type="dxa"/>
              <w:tblBorders>
                <w:top w:val="single" w:color="auto" w:sz="12" w:space="0"/>
                <w:left w:val="none" w:color="auto" w:sz="0" w:space="0"/>
                <w:bottom w:val="single" w:color="auto" w:sz="12" w:space="0"/>
                <w:right w:val="none" w:color="auto" w:sz="0" w:space="0"/>
                <w:insideH w:val="single" w:color="auto" w:sz="8" w:space="0"/>
                <w:insideV w:val="single" w:color="auto" w:sz="6" w:space="0"/>
              </w:tblBorders>
              <w:tblLayout w:type="fixed"/>
              <w:tblCellMar>
                <w:top w:w="0" w:type="dxa"/>
                <w:left w:w="108" w:type="dxa"/>
                <w:bottom w:w="0" w:type="dxa"/>
                <w:right w:w="108" w:type="dxa"/>
              </w:tblCellMar>
            </w:tblPr>
            <w:tblGrid>
              <w:gridCol w:w="930"/>
              <w:gridCol w:w="943"/>
              <w:gridCol w:w="1308"/>
              <w:gridCol w:w="649"/>
              <w:gridCol w:w="976"/>
              <w:gridCol w:w="644"/>
              <w:gridCol w:w="2062"/>
              <w:gridCol w:w="1000"/>
            </w:tblGrid>
            <w:tr w14:paraId="5E59151B">
              <w:tblPrEx>
                <w:tblBorders>
                  <w:top w:val="single" w:color="auto" w:sz="12" w:space="0"/>
                  <w:left w:val="none" w:color="auto" w:sz="0" w:space="0"/>
                  <w:bottom w:val="single" w:color="auto" w:sz="12"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340" w:hRule="atLeast"/>
              </w:trPr>
              <w:tc>
                <w:tcPr>
                  <w:tcW w:w="547" w:type="pct"/>
                  <w:tcBorders>
                    <w:tl2br w:val="nil"/>
                    <w:tr2bl w:val="nil"/>
                  </w:tcBorders>
                  <w:vAlign w:val="center"/>
                </w:tcPr>
                <w:p w14:paraId="62A3210D">
                  <w:pPr>
                    <w:keepNext w:val="0"/>
                    <w:keepLines w:val="0"/>
                    <w:pageBreakBefore w:val="0"/>
                    <w:suppressLineNumbers w:val="0"/>
                    <w:kinsoku/>
                    <w:wordWrap/>
                    <w:overflowPunct/>
                    <w:topLinePunct w:val="0"/>
                    <w:autoSpaceDE/>
                    <w:autoSpaceDN/>
                    <w:bidi w:val="0"/>
                    <w:spacing w:before="0" w:beforeAutospacing="0" w:after="0" w:afterAutospacing="0" w:line="240" w:lineRule="exact"/>
                    <w:ind w:left="0" w:leftChars="0" w:right="0" w:rightChars="0" w:firstLine="0" w:firstLineChars="0"/>
                    <w:jc w:val="center"/>
                    <w:textAlignment w:val="auto"/>
                    <w:rPr>
                      <w:rFonts w:hint="default"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项目</w:t>
                  </w:r>
                </w:p>
              </w:tc>
              <w:tc>
                <w:tcPr>
                  <w:tcW w:w="554" w:type="pct"/>
                  <w:tcBorders>
                    <w:tl2br w:val="nil"/>
                    <w:tr2bl w:val="nil"/>
                  </w:tcBorders>
                  <w:vAlign w:val="center"/>
                </w:tcPr>
                <w:p w14:paraId="6CE63743">
                  <w:pPr>
                    <w:keepNext w:val="0"/>
                    <w:keepLines w:val="0"/>
                    <w:pageBreakBefore w:val="0"/>
                    <w:suppressLineNumbers w:val="0"/>
                    <w:kinsoku/>
                    <w:wordWrap/>
                    <w:overflowPunct/>
                    <w:topLinePunct w:val="0"/>
                    <w:autoSpaceDE/>
                    <w:autoSpaceDN/>
                    <w:bidi w:val="0"/>
                    <w:spacing w:before="0" w:beforeAutospacing="0" w:after="0" w:afterAutospacing="0" w:line="240" w:lineRule="exact"/>
                    <w:ind w:left="0" w:leftChars="0" w:right="0" w:rightChars="0" w:firstLine="0" w:firstLineChars="0"/>
                    <w:jc w:val="center"/>
                    <w:textAlignment w:val="auto"/>
                    <w:rPr>
                      <w:b/>
                      <w:bCs/>
                      <w:color w:val="000000" w:themeColor="text1"/>
                      <w:szCs w:val="21"/>
                      <w:highlight w:val="none"/>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风险单元</w:t>
                  </w:r>
                </w:p>
              </w:tc>
              <w:tc>
                <w:tcPr>
                  <w:tcW w:w="768" w:type="pct"/>
                  <w:tcBorders>
                    <w:tl2br w:val="nil"/>
                    <w:tr2bl w:val="nil"/>
                  </w:tcBorders>
                  <w:vAlign w:val="center"/>
                </w:tcPr>
                <w:p w14:paraId="59C1D96E">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危险物质名称</w:t>
                  </w:r>
                </w:p>
              </w:tc>
              <w:tc>
                <w:tcPr>
                  <w:tcW w:w="381" w:type="pct"/>
                  <w:tcBorders>
                    <w:tl2br w:val="nil"/>
                    <w:tr2bl w:val="nil"/>
                  </w:tcBorders>
                  <w:vAlign w:val="center"/>
                </w:tcPr>
                <w:p w14:paraId="3489B010">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CAS号</w:t>
                  </w:r>
                </w:p>
              </w:tc>
              <w:tc>
                <w:tcPr>
                  <w:tcW w:w="573" w:type="pct"/>
                  <w:tcBorders>
                    <w:tl2br w:val="nil"/>
                    <w:tr2bl w:val="nil"/>
                  </w:tcBorders>
                  <w:vAlign w:val="center"/>
                </w:tcPr>
                <w:p w14:paraId="413FDE57">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最大存在总量qn/t</w:t>
                  </w:r>
                </w:p>
              </w:tc>
              <w:tc>
                <w:tcPr>
                  <w:tcW w:w="378" w:type="pct"/>
                  <w:tcBorders>
                    <w:tl2br w:val="nil"/>
                    <w:tr2bl w:val="nil"/>
                  </w:tcBorders>
                  <w:vAlign w:val="center"/>
                </w:tcPr>
                <w:p w14:paraId="4F5BE87F">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临界量Qn/t</w:t>
                  </w:r>
                </w:p>
              </w:tc>
              <w:tc>
                <w:tcPr>
                  <w:tcW w:w="1209" w:type="pct"/>
                  <w:tcBorders>
                    <w:tl2br w:val="nil"/>
                    <w:tr2bl w:val="nil"/>
                  </w:tcBorders>
                  <w:vAlign w:val="center"/>
                </w:tcPr>
                <w:p w14:paraId="4C39D147">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对应HJ169/HJ941物质名称</w:t>
                  </w:r>
                </w:p>
              </w:tc>
              <w:tc>
                <w:tcPr>
                  <w:tcW w:w="587" w:type="pct"/>
                  <w:tcBorders>
                    <w:tl2br w:val="nil"/>
                    <w:tr2bl w:val="nil"/>
                  </w:tcBorders>
                  <w:vAlign w:val="center"/>
                </w:tcPr>
                <w:p w14:paraId="6B2EDCA4">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危险物质Q值</w:t>
                  </w:r>
                </w:p>
              </w:tc>
            </w:tr>
            <w:tr w14:paraId="61729B6D">
              <w:tblPrEx>
                <w:tblBorders>
                  <w:top w:val="single" w:color="auto" w:sz="12" w:space="0"/>
                  <w:left w:val="none" w:color="auto" w:sz="0" w:space="0"/>
                  <w:bottom w:val="single" w:color="auto" w:sz="12"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287" w:hRule="atLeast"/>
              </w:trPr>
              <w:tc>
                <w:tcPr>
                  <w:tcW w:w="547" w:type="pct"/>
                  <w:vMerge w:val="restart"/>
                  <w:tcBorders>
                    <w:tl2br w:val="nil"/>
                    <w:tr2bl w:val="nil"/>
                  </w:tcBorders>
                  <w:vAlign w:val="center"/>
                </w:tcPr>
                <w:p w14:paraId="693AE61D">
                  <w:pPr>
                    <w:pStyle w:val="143"/>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本项目</w:t>
                  </w:r>
                </w:p>
              </w:tc>
              <w:tc>
                <w:tcPr>
                  <w:tcW w:w="554" w:type="pct"/>
                  <w:tcBorders>
                    <w:tl2br w:val="nil"/>
                    <w:tr2bl w:val="nil"/>
                  </w:tcBorders>
                  <w:vAlign w:val="center"/>
                </w:tcPr>
                <w:p w14:paraId="59AE2B9E">
                  <w:pPr>
                    <w:pStyle w:val="143"/>
                    <w:keepNext w:val="0"/>
                    <w:keepLines w:val="0"/>
                    <w:pageBreakBefore w:val="0"/>
                    <w:widowControl w:val="0"/>
                    <w:kinsoku/>
                    <w:wordWrap w:val="0"/>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原料仓库</w:t>
                  </w:r>
                </w:p>
              </w:tc>
              <w:tc>
                <w:tcPr>
                  <w:tcW w:w="768" w:type="pct"/>
                  <w:tcBorders>
                    <w:tl2br w:val="nil"/>
                    <w:tr2bl w:val="nil"/>
                  </w:tcBorders>
                  <w:vAlign w:val="center"/>
                </w:tcPr>
                <w:p w14:paraId="6AD6936F">
                  <w:pPr>
                    <w:pStyle w:val="143"/>
                    <w:keepNext w:val="0"/>
                    <w:keepLines w:val="0"/>
                    <w:pageBreakBefore w:val="0"/>
                    <w:widowControl w:val="0"/>
                    <w:kinsoku/>
                    <w:wordWrap w:val="0"/>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硫化剂</w:t>
                  </w:r>
                </w:p>
              </w:tc>
              <w:tc>
                <w:tcPr>
                  <w:tcW w:w="381" w:type="pct"/>
                  <w:tcBorders>
                    <w:tl2br w:val="nil"/>
                    <w:tr2bl w:val="nil"/>
                  </w:tcBorders>
                  <w:vAlign w:val="center"/>
                </w:tcPr>
                <w:p w14:paraId="53967C60">
                  <w:pPr>
                    <w:pStyle w:val="143"/>
                    <w:keepNext w:val="0"/>
                    <w:keepLines w:val="0"/>
                    <w:pageBreakBefore w:val="0"/>
                    <w:widowControl w:val="0"/>
                    <w:kinsoku/>
                    <w:wordWrap w:val="0"/>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573" w:type="pct"/>
                  <w:tcBorders>
                    <w:tl2br w:val="nil"/>
                    <w:tr2bl w:val="nil"/>
                  </w:tcBorders>
                  <w:vAlign w:val="center"/>
                </w:tcPr>
                <w:p w14:paraId="23AE937A">
                  <w:pPr>
                    <w:pStyle w:val="143"/>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0.05</w:t>
                  </w:r>
                </w:p>
              </w:tc>
              <w:tc>
                <w:tcPr>
                  <w:tcW w:w="378" w:type="pct"/>
                  <w:tcBorders>
                    <w:tl2br w:val="nil"/>
                    <w:tr2bl w:val="nil"/>
                  </w:tcBorders>
                  <w:vAlign w:val="center"/>
                </w:tcPr>
                <w:p w14:paraId="570F585E">
                  <w:pPr>
                    <w:pStyle w:val="143"/>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100</w:t>
                  </w:r>
                </w:p>
              </w:tc>
              <w:tc>
                <w:tcPr>
                  <w:tcW w:w="1209" w:type="pct"/>
                  <w:tcBorders>
                    <w:tl2br w:val="nil"/>
                    <w:tr2bl w:val="nil"/>
                  </w:tcBorders>
                  <w:vAlign w:val="center"/>
                </w:tcPr>
                <w:p w14:paraId="4F29C0BA">
                  <w:pPr>
                    <w:pStyle w:val="143"/>
                    <w:keepNext w:val="0"/>
                    <w:keepLines w:val="0"/>
                    <w:pageBreakBefore w:val="0"/>
                    <w:widowControl w:val="0"/>
                    <w:kinsoku/>
                    <w:wordWrap w:val="0"/>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危害水环境物质（急性毒性类别：急性1，慢性毒性类别：慢性1）</w:t>
                  </w:r>
                </w:p>
              </w:tc>
              <w:tc>
                <w:tcPr>
                  <w:tcW w:w="1000" w:type="dxa"/>
                  <w:tcBorders>
                    <w:tl2br w:val="nil"/>
                    <w:tr2bl w:val="nil"/>
                  </w:tcBorders>
                  <w:vAlign w:val="center"/>
                </w:tcPr>
                <w:p w14:paraId="0E10211F">
                  <w:pPr>
                    <w:pStyle w:val="143"/>
                    <w:keepNext w:val="0"/>
                    <w:keepLines w:val="0"/>
                    <w:pageBreakBefore w:val="0"/>
                    <w:widowControl w:val="0"/>
                    <w:kinsoku/>
                    <w:wordWrap w:val="0"/>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0.0005</w:t>
                  </w:r>
                </w:p>
              </w:tc>
            </w:tr>
            <w:tr w14:paraId="0A5BBDF0">
              <w:tblPrEx>
                <w:tblBorders>
                  <w:top w:val="single" w:color="auto" w:sz="12" w:space="0"/>
                  <w:left w:val="none" w:color="auto" w:sz="0" w:space="0"/>
                  <w:bottom w:val="single" w:color="auto" w:sz="12"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340" w:hRule="atLeast"/>
              </w:trPr>
              <w:tc>
                <w:tcPr>
                  <w:tcW w:w="547" w:type="pct"/>
                  <w:vMerge w:val="continue"/>
                  <w:tcBorders>
                    <w:tl2br w:val="nil"/>
                    <w:tr2bl w:val="nil"/>
                  </w:tcBorders>
                  <w:vAlign w:val="center"/>
                </w:tcPr>
                <w:p w14:paraId="42301DFF">
                  <w:pPr>
                    <w:pStyle w:val="143"/>
                    <w:keepNext w:val="0"/>
                    <w:keepLines w:val="0"/>
                    <w:pageBreakBefore w:val="0"/>
                    <w:widowControl w:val="0"/>
                    <w:kinsoku/>
                    <w:wordWrap w:val="0"/>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4" w:type="pct"/>
                  <w:vMerge w:val="restart"/>
                  <w:tcBorders>
                    <w:tl2br w:val="nil"/>
                    <w:tr2bl w:val="nil"/>
                  </w:tcBorders>
                  <w:vAlign w:val="center"/>
                </w:tcPr>
                <w:p w14:paraId="1D788E8D">
                  <w:pPr>
                    <w:pStyle w:val="143"/>
                    <w:keepNext w:val="0"/>
                    <w:keepLines w:val="0"/>
                    <w:pageBreakBefore w:val="0"/>
                    <w:widowControl w:val="0"/>
                    <w:kinsoku/>
                    <w:wordWrap w:val="0"/>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危废仓库</w:t>
                  </w:r>
                </w:p>
              </w:tc>
              <w:tc>
                <w:tcPr>
                  <w:tcW w:w="768" w:type="pct"/>
                  <w:tcBorders>
                    <w:tl2br w:val="nil"/>
                    <w:tr2bl w:val="nil"/>
                  </w:tcBorders>
                  <w:shd w:val="clear" w:color="auto" w:fill="auto"/>
                  <w:vAlign w:val="center"/>
                </w:tcPr>
                <w:p w14:paraId="53C6D04C">
                  <w:pPr>
                    <w:keepNext w:val="0"/>
                    <w:keepLines w:val="0"/>
                    <w:widowControl/>
                    <w:suppressLineNumbers w:val="0"/>
                    <w:jc w:val="center"/>
                    <w:textAlignment w:val="center"/>
                    <w:rPr>
                      <w:rFonts w:hint="eastAsia" w:ascii="Times New Roman" w:hAnsi="Times New Roman" w:eastAsia="宋体" w:cs="Times New Roman"/>
                      <w:color w:val="000000" w:themeColor="text1"/>
                      <w:kern w:val="0"/>
                      <w:sz w:val="21"/>
                      <w:szCs w:val="20"/>
                      <w:highlight w:val="none"/>
                      <w:lang w:val="en-US" w:eastAsia="zh-CN" w:bidi="ar-SA"/>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废过滤棉</w:t>
                  </w:r>
                </w:p>
              </w:tc>
              <w:tc>
                <w:tcPr>
                  <w:tcW w:w="381" w:type="pct"/>
                  <w:tcBorders>
                    <w:tl2br w:val="nil"/>
                    <w:tr2bl w:val="nil"/>
                  </w:tcBorders>
                  <w:shd w:val="clear" w:color="auto" w:fill="auto"/>
                  <w:vAlign w:val="center"/>
                </w:tcPr>
                <w:p w14:paraId="53A3E96F">
                  <w:pPr>
                    <w:pStyle w:val="143"/>
                    <w:keepNext w:val="0"/>
                    <w:keepLines w:val="0"/>
                    <w:pageBreakBefore w:val="0"/>
                    <w:widowControl w:val="0"/>
                    <w:kinsoku/>
                    <w:wordWrap w:val="0"/>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kern w:val="0"/>
                      <w:sz w:val="21"/>
                      <w:szCs w:val="20"/>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573" w:type="pct"/>
                  <w:tcBorders>
                    <w:tl2br w:val="nil"/>
                    <w:tr2bl w:val="nil"/>
                  </w:tcBorders>
                  <w:shd w:val="clear" w:color="auto" w:fill="auto"/>
                  <w:vAlign w:val="center"/>
                </w:tcPr>
                <w:p w14:paraId="2B6BC377">
                  <w:pPr>
                    <w:pStyle w:val="143"/>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宋体" w:cs="Times New Roman"/>
                      <w:color w:val="000000" w:themeColor="text1"/>
                      <w:kern w:val="0"/>
                      <w:sz w:val="21"/>
                      <w:szCs w:val="20"/>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w:t>
                  </w:r>
                  <w:r>
                    <w:rPr>
                      <w:rFonts w:hint="eastAsia" w:cs="Times New Roman"/>
                      <w:color w:val="000000" w:themeColor="text1"/>
                      <w:highlight w:val="none"/>
                      <w:lang w:val="en-US" w:eastAsia="zh-CN"/>
                      <w14:textFill>
                        <w14:solidFill>
                          <w14:schemeClr w14:val="tx1"/>
                        </w14:solidFill>
                      </w14:textFill>
                    </w:rPr>
                    <w:t>15</w:t>
                  </w:r>
                </w:p>
              </w:tc>
              <w:tc>
                <w:tcPr>
                  <w:tcW w:w="378" w:type="pct"/>
                  <w:vMerge w:val="restart"/>
                  <w:tcBorders>
                    <w:tl2br w:val="nil"/>
                    <w:tr2bl w:val="nil"/>
                  </w:tcBorders>
                  <w:vAlign w:val="center"/>
                </w:tcPr>
                <w:p w14:paraId="1343E895">
                  <w:pPr>
                    <w:pStyle w:val="143"/>
                    <w:keepNext w:val="0"/>
                    <w:keepLines w:val="0"/>
                    <w:pageBreakBefore w:val="0"/>
                    <w:widowControl w:val="0"/>
                    <w:kinsoku/>
                    <w:wordWrap w:val="0"/>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50</w:t>
                  </w:r>
                </w:p>
              </w:tc>
              <w:tc>
                <w:tcPr>
                  <w:tcW w:w="1209" w:type="pct"/>
                  <w:vMerge w:val="restart"/>
                  <w:tcBorders>
                    <w:tl2br w:val="nil"/>
                    <w:tr2bl w:val="nil"/>
                  </w:tcBorders>
                  <w:vAlign w:val="center"/>
                </w:tcPr>
                <w:p w14:paraId="274731C9">
                  <w:pPr>
                    <w:pStyle w:val="143"/>
                    <w:keepNext w:val="0"/>
                    <w:keepLines w:val="0"/>
                    <w:pageBreakBefore w:val="0"/>
                    <w:widowControl w:val="0"/>
                    <w:kinsoku/>
                    <w:wordWrap w:val="0"/>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健康危险急性毒性物质（类别2，类别3）</w:t>
                  </w:r>
                </w:p>
              </w:tc>
              <w:tc>
                <w:tcPr>
                  <w:tcW w:w="1000" w:type="dxa"/>
                  <w:tcBorders>
                    <w:tl2br w:val="nil"/>
                    <w:tr2bl w:val="nil"/>
                  </w:tcBorders>
                  <w:vAlign w:val="center"/>
                </w:tcPr>
                <w:p w14:paraId="6088E9CC">
                  <w:pPr>
                    <w:pStyle w:val="143"/>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0.003</w:t>
                  </w:r>
                </w:p>
              </w:tc>
            </w:tr>
            <w:tr w14:paraId="16ED8559">
              <w:tblPrEx>
                <w:tblBorders>
                  <w:top w:val="single" w:color="auto" w:sz="12" w:space="0"/>
                  <w:left w:val="none" w:color="auto" w:sz="0" w:space="0"/>
                  <w:bottom w:val="single" w:color="auto" w:sz="12"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340" w:hRule="atLeast"/>
              </w:trPr>
              <w:tc>
                <w:tcPr>
                  <w:tcW w:w="547" w:type="pct"/>
                  <w:vMerge w:val="continue"/>
                  <w:tcBorders>
                    <w:tl2br w:val="nil"/>
                    <w:tr2bl w:val="nil"/>
                  </w:tcBorders>
                  <w:vAlign w:val="center"/>
                </w:tcPr>
                <w:p w14:paraId="2E8C6A28">
                  <w:pPr>
                    <w:pStyle w:val="143"/>
                    <w:keepNext w:val="0"/>
                    <w:keepLines w:val="0"/>
                    <w:pageBreakBefore w:val="0"/>
                    <w:widowControl w:val="0"/>
                    <w:kinsoku/>
                    <w:wordWrap w:val="0"/>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4" w:type="pct"/>
                  <w:vMerge w:val="continue"/>
                  <w:tcBorders>
                    <w:tl2br w:val="nil"/>
                    <w:tr2bl w:val="nil"/>
                  </w:tcBorders>
                  <w:vAlign w:val="center"/>
                </w:tcPr>
                <w:p w14:paraId="48175105">
                  <w:pPr>
                    <w:pStyle w:val="143"/>
                    <w:keepNext w:val="0"/>
                    <w:keepLines w:val="0"/>
                    <w:pageBreakBefore w:val="0"/>
                    <w:widowControl w:val="0"/>
                    <w:kinsoku/>
                    <w:wordWrap w:val="0"/>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1308" w:type="dxa"/>
                  <w:tcBorders>
                    <w:tl2br w:val="nil"/>
                    <w:tr2bl w:val="nil"/>
                  </w:tcBorders>
                  <w:shd w:val="clear" w:color="auto" w:fill="auto"/>
                  <w:vAlign w:val="center"/>
                </w:tcPr>
                <w:p w14:paraId="60D81612">
                  <w:pPr>
                    <w:keepNext w:val="0"/>
                    <w:keepLines w:val="0"/>
                    <w:widowControl/>
                    <w:suppressLineNumbers w:val="0"/>
                    <w:jc w:val="center"/>
                    <w:textAlignment w:val="cente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废活性炭</w:t>
                  </w:r>
                </w:p>
              </w:tc>
              <w:tc>
                <w:tcPr>
                  <w:tcW w:w="649" w:type="dxa"/>
                  <w:tcBorders>
                    <w:tl2br w:val="nil"/>
                    <w:tr2bl w:val="nil"/>
                  </w:tcBorders>
                  <w:shd w:val="clear" w:color="auto" w:fill="auto"/>
                  <w:vAlign w:val="center"/>
                </w:tcPr>
                <w:p w14:paraId="231FC2E1">
                  <w:pPr>
                    <w:pStyle w:val="143"/>
                    <w:keepNext w:val="0"/>
                    <w:keepLines w:val="0"/>
                    <w:pageBreakBefore w:val="0"/>
                    <w:widowControl w:val="0"/>
                    <w:kinsoku/>
                    <w:wordWrap w:val="0"/>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976" w:type="dxa"/>
                  <w:tcBorders>
                    <w:tl2br w:val="nil"/>
                    <w:tr2bl w:val="nil"/>
                  </w:tcBorders>
                  <w:shd w:val="clear" w:color="auto" w:fill="auto"/>
                  <w:vAlign w:val="center"/>
                </w:tcPr>
                <w:p w14:paraId="248048FD">
                  <w:pPr>
                    <w:pStyle w:val="143"/>
                    <w:keepNext w:val="0"/>
                    <w:keepLines w:val="0"/>
                    <w:pageBreakBefore w:val="0"/>
                    <w:widowControl w:val="0"/>
                    <w:kinsoku/>
                    <w:wordWrap w:val="0"/>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w:t>
                  </w:r>
                </w:p>
              </w:tc>
              <w:tc>
                <w:tcPr>
                  <w:tcW w:w="378" w:type="pct"/>
                  <w:vMerge w:val="continue"/>
                  <w:tcBorders>
                    <w:tl2br w:val="nil"/>
                    <w:tr2bl w:val="nil"/>
                  </w:tcBorders>
                  <w:vAlign w:val="center"/>
                </w:tcPr>
                <w:p w14:paraId="201FA8D0">
                  <w:pPr>
                    <w:pStyle w:val="143"/>
                    <w:keepNext w:val="0"/>
                    <w:keepLines w:val="0"/>
                    <w:pageBreakBefore w:val="0"/>
                    <w:widowControl w:val="0"/>
                    <w:kinsoku/>
                    <w:wordWrap w:val="0"/>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1209" w:type="pct"/>
                  <w:vMerge w:val="continue"/>
                  <w:tcBorders>
                    <w:tl2br w:val="nil"/>
                    <w:tr2bl w:val="nil"/>
                  </w:tcBorders>
                  <w:vAlign w:val="center"/>
                </w:tcPr>
                <w:p w14:paraId="1A60D620">
                  <w:pPr>
                    <w:pStyle w:val="143"/>
                    <w:keepNext w:val="0"/>
                    <w:keepLines w:val="0"/>
                    <w:pageBreakBefore w:val="0"/>
                    <w:widowControl w:val="0"/>
                    <w:kinsoku/>
                    <w:wordWrap w:val="0"/>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1000" w:type="dxa"/>
                  <w:tcBorders>
                    <w:tl2br w:val="nil"/>
                    <w:tr2bl w:val="nil"/>
                  </w:tcBorders>
                  <w:vAlign w:val="center"/>
                </w:tcPr>
                <w:p w14:paraId="77D88E5E">
                  <w:pPr>
                    <w:pStyle w:val="143"/>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0.04</w:t>
                  </w:r>
                </w:p>
              </w:tc>
            </w:tr>
            <w:tr w14:paraId="5F0F2980">
              <w:tblPrEx>
                <w:tblBorders>
                  <w:top w:val="single" w:color="auto" w:sz="12" w:space="0"/>
                  <w:left w:val="none" w:color="auto" w:sz="0" w:space="0"/>
                  <w:bottom w:val="single" w:color="auto" w:sz="12"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340" w:hRule="atLeast"/>
              </w:trPr>
              <w:tc>
                <w:tcPr>
                  <w:tcW w:w="547" w:type="pct"/>
                  <w:vMerge w:val="continue"/>
                  <w:tcBorders>
                    <w:tl2br w:val="nil"/>
                    <w:tr2bl w:val="nil"/>
                  </w:tcBorders>
                  <w:vAlign w:val="center"/>
                </w:tcPr>
                <w:p w14:paraId="41779526">
                  <w:pPr>
                    <w:pStyle w:val="143"/>
                    <w:keepNext w:val="0"/>
                    <w:keepLines w:val="0"/>
                    <w:pageBreakBefore w:val="0"/>
                    <w:widowControl w:val="0"/>
                    <w:kinsoku/>
                    <w:wordWrap w:val="0"/>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4" w:type="pct"/>
                  <w:vMerge w:val="continue"/>
                  <w:tcBorders>
                    <w:tl2br w:val="nil"/>
                    <w:tr2bl w:val="nil"/>
                  </w:tcBorders>
                  <w:vAlign w:val="center"/>
                </w:tcPr>
                <w:p w14:paraId="27F3AEDD">
                  <w:pPr>
                    <w:pStyle w:val="143"/>
                    <w:keepNext w:val="0"/>
                    <w:keepLines w:val="0"/>
                    <w:pageBreakBefore w:val="0"/>
                    <w:widowControl w:val="0"/>
                    <w:kinsoku/>
                    <w:wordWrap w:val="0"/>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768" w:type="pct"/>
                  <w:tcBorders>
                    <w:tl2br w:val="nil"/>
                    <w:tr2bl w:val="nil"/>
                  </w:tcBorders>
                  <w:vAlign w:val="center"/>
                </w:tcPr>
                <w:p w14:paraId="0BCF4734">
                  <w:pPr>
                    <w:keepNext w:val="0"/>
                    <w:keepLines w:val="0"/>
                    <w:widowControl/>
                    <w:suppressLineNumbers w:val="0"/>
                    <w:jc w:val="center"/>
                    <w:textAlignment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废</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包装物</w:t>
                  </w:r>
                </w:p>
              </w:tc>
              <w:tc>
                <w:tcPr>
                  <w:tcW w:w="381" w:type="pct"/>
                  <w:tcBorders>
                    <w:tl2br w:val="nil"/>
                    <w:tr2bl w:val="nil"/>
                  </w:tcBorders>
                  <w:vAlign w:val="center"/>
                </w:tcPr>
                <w:p w14:paraId="25EE39BB">
                  <w:pPr>
                    <w:pStyle w:val="143"/>
                    <w:keepNext w:val="0"/>
                    <w:keepLines w:val="0"/>
                    <w:pageBreakBefore w:val="0"/>
                    <w:widowControl w:val="0"/>
                    <w:kinsoku/>
                    <w:wordWrap w:val="0"/>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573" w:type="pct"/>
                  <w:tcBorders>
                    <w:tl2br w:val="nil"/>
                    <w:tr2bl w:val="nil"/>
                  </w:tcBorders>
                  <w:vAlign w:val="center"/>
                </w:tcPr>
                <w:p w14:paraId="5F2F927D">
                  <w:pPr>
                    <w:pStyle w:val="143"/>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0.31</w:t>
                  </w:r>
                </w:p>
              </w:tc>
              <w:tc>
                <w:tcPr>
                  <w:tcW w:w="378" w:type="pct"/>
                  <w:vMerge w:val="continue"/>
                  <w:tcBorders>
                    <w:tl2br w:val="nil"/>
                    <w:tr2bl w:val="nil"/>
                  </w:tcBorders>
                  <w:vAlign w:val="center"/>
                </w:tcPr>
                <w:p w14:paraId="10F12877">
                  <w:pPr>
                    <w:pStyle w:val="143"/>
                    <w:keepNext w:val="0"/>
                    <w:keepLines w:val="0"/>
                    <w:pageBreakBefore w:val="0"/>
                    <w:widowControl w:val="0"/>
                    <w:kinsoku/>
                    <w:wordWrap w:val="0"/>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1209" w:type="pct"/>
                  <w:vMerge w:val="continue"/>
                  <w:tcBorders>
                    <w:tl2br w:val="nil"/>
                    <w:tr2bl w:val="nil"/>
                  </w:tcBorders>
                  <w:vAlign w:val="center"/>
                </w:tcPr>
                <w:p w14:paraId="462D945D">
                  <w:pPr>
                    <w:pStyle w:val="143"/>
                    <w:keepNext w:val="0"/>
                    <w:keepLines w:val="0"/>
                    <w:pageBreakBefore w:val="0"/>
                    <w:widowControl w:val="0"/>
                    <w:kinsoku/>
                    <w:wordWrap w:val="0"/>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1000" w:type="dxa"/>
                  <w:tcBorders>
                    <w:tl2br w:val="nil"/>
                    <w:tr2bl w:val="nil"/>
                  </w:tcBorders>
                  <w:vAlign w:val="center"/>
                </w:tcPr>
                <w:p w14:paraId="38F23FB5">
                  <w:pPr>
                    <w:pStyle w:val="143"/>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w:t>
                  </w:r>
                  <w:r>
                    <w:rPr>
                      <w:rFonts w:hint="eastAsia" w:cs="Times New Roman"/>
                      <w:color w:val="000000" w:themeColor="text1"/>
                      <w:highlight w:val="none"/>
                      <w:lang w:val="en-US" w:eastAsia="zh-CN"/>
                      <w14:textFill>
                        <w14:solidFill>
                          <w14:schemeClr w14:val="tx1"/>
                        </w14:solidFill>
                      </w14:textFill>
                    </w:rPr>
                    <w:t>06</w:t>
                  </w:r>
                </w:p>
              </w:tc>
            </w:tr>
            <w:tr w14:paraId="621EF095">
              <w:tblPrEx>
                <w:tblBorders>
                  <w:top w:val="single" w:color="auto" w:sz="12" w:space="0"/>
                  <w:left w:val="none" w:color="auto" w:sz="0" w:space="0"/>
                  <w:bottom w:val="single" w:color="auto" w:sz="12"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340" w:hRule="atLeast"/>
              </w:trPr>
              <w:tc>
                <w:tcPr>
                  <w:tcW w:w="4412" w:type="pct"/>
                  <w:gridSpan w:val="7"/>
                  <w:tcBorders>
                    <w:tl2br w:val="nil"/>
                    <w:tr2bl w:val="nil"/>
                  </w:tcBorders>
                  <w:vAlign w:val="center"/>
                </w:tcPr>
                <w:p w14:paraId="3F692F4C">
                  <w:pPr>
                    <w:pStyle w:val="143"/>
                    <w:keepNext w:val="0"/>
                    <w:keepLines w:val="0"/>
                    <w:pageBreakBefore w:val="0"/>
                    <w:widowControl w:val="0"/>
                    <w:kinsoku/>
                    <w:wordWrap w:val="0"/>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合计</w:t>
                  </w:r>
                </w:p>
              </w:tc>
              <w:tc>
                <w:tcPr>
                  <w:tcW w:w="1000" w:type="dxa"/>
                  <w:tcBorders>
                    <w:tl2br w:val="nil"/>
                    <w:tr2bl w:val="nil"/>
                  </w:tcBorders>
                  <w:vAlign w:val="center"/>
                </w:tcPr>
                <w:p w14:paraId="0648CC0B">
                  <w:pPr>
                    <w:pStyle w:val="143"/>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0.04</w:t>
                  </w:r>
                  <w:r>
                    <w:rPr>
                      <w:rFonts w:hint="eastAsia" w:cs="Times New Roman"/>
                      <w:color w:val="000000" w:themeColor="text1"/>
                      <w:highlight w:val="none"/>
                      <w:lang w:val="en-US" w:eastAsia="zh-CN"/>
                      <w14:textFill>
                        <w14:solidFill>
                          <w14:schemeClr w14:val="tx1"/>
                        </w14:solidFill>
                      </w14:textFill>
                    </w:rPr>
                    <w:t>95</w:t>
                  </w:r>
                </w:p>
              </w:tc>
            </w:tr>
          </w:tbl>
          <w:p w14:paraId="1D1F65FD">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根据《建设项目环境风险评价技术导则》（HJ169-2018）附录C，当存在多种危险物质时，则按式（C.1）计算物质总量与其临界量比值（Q）。</w:t>
            </w:r>
          </w:p>
          <w:p w14:paraId="6DDFE512">
            <w:pPr>
              <w:jc w:val="center"/>
              <w:rPr>
                <w:color w:val="000000" w:themeColor="text1"/>
                <w:highlight w:val="none"/>
                <w14:textFill>
                  <w14:solidFill>
                    <w14:schemeClr w14:val="tx1"/>
                  </w14:solidFill>
                </w14:textFill>
              </w:rPr>
            </w:pPr>
            <w:r>
              <w:rPr>
                <w:color w:val="000000" w:themeColor="text1"/>
                <w:position w:val="-30"/>
                <w:sz w:val="24"/>
                <w:highlight w:val="none"/>
                <w14:textFill>
                  <w14:solidFill>
                    <w14:schemeClr w14:val="tx1"/>
                  </w14:solidFill>
                </w14:textFill>
              </w:rPr>
              <w:object>
                <v:shape id="_x0000_i1031" o:spt="75" type="#_x0000_t75" style="height:33.8pt;width:98.9pt;" o:ole="t" filled="f" o:preferrelative="t" stroked="f" coordsize="21600,21600">
                  <v:path/>
                  <v:fill on="f" focussize="0,0"/>
                  <v:stroke on="f" joinstyle="miter"/>
                  <v:imagedata r:id="rId34" o:title=""/>
                  <o:lock v:ext="edit" aspectratio="t"/>
                  <w10:wrap type="none"/>
                  <w10:anchorlock/>
                </v:shape>
                <o:OLEObject Type="Embed" ProgID="Equation.KSEE3" ShapeID="_x0000_i1031" DrawAspect="Content" ObjectID="_1468075731" r:id="rId33">
                  <o:LockedField>false</o:LockedField>
                </o:OLEObject>
              </w:object>
            </w:r>
          </w:p>
          <w:p w14:paraId="7C5A611B">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式中：</w:t>
            </w:r>
          </w:p>
          <w:p w14:paraId="3C8944D2">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q1，q2，…，qn-每种危险物质的最大存在总量，t；</w:t>
            </w:r>
          </w:p>
          <w:p w14:paraId="2857E526">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Q1，Q2，…，Qn-每种危险物质的临界量，t。</w:t>
            </w:r>
          </w:p>
          <w:p w14:paraId="08E081BE">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上式计算结果可知：本企业Q=0</w:t>
            </w: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0495</w:t>
            </w:r>
            <w:r>
              <w:rPr>
                <w:color w:val="000000" w:themeColor="text1"/>
                <w:sz w:val="24"/>
                <w:highlight w:val="none"/>
                <w:lang w:val="zh-CN"/>
                <w14:textFill>
                  <w14:solidFill>
                    <w14:schemeClr w14:val="tx1"/>
                  </w14:solidFill>
                </w14:textFill>
              </w:rPr>
              <w:t>&lt;1。</w:t>
            </w:r>
          </w:p>
          <w:p w14:paraId="05A0A809">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根据对照，本企业Q＜1，环境风险较小。</w:t>
            </w:r>
          </w:p>
          <w:p w14:paraId="5BA06D5E">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2）生产系统危险性识别</w:t>
            </w:r>
          </w:p>
          <w:p w14:paraId="315F07C6">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本项目生产过程中存在的环境风险主要有以下几方面：</w:t>
            </w:r>
          </w:p>
          <w:p w14:paraId="48CC6C3F">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①废气处理设施发生故障，导致废气超标排放；</w:t>
            </w:r>
          </w:p>
          <w:p w14:paraId="585B7D97">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②污水管网管线破裂，废水泄漏造成周围土壤、地下水环境污染。</w:t>
            </w:r>
          </w:p>
          <w:p w14:paraId="709AA952">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③危废仓库发生泄漏，对周边土壤、地下水造成污染。</w:t>
            </w:r>
          </w:p>
          <w:p w14:paraId="44ADA373">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（3）风险事故情景分析</w:t>
            </w:r>
          </w:p>
          <w:p w14:paraId="7D30966E">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本项目危险物质在事故情形下对环境的影响途径具体见</w:t>
            </w:r>
            <w:r>
              <w:rPr>
                <w:color w:val="000000" w:themeColor="text1"/>
                <w:sz w:val="24"/>
                <w:highlight w:val="none"/>
                <w14:textFill>
                  <w14:solidFill>
                    <w14:schemeClr w14:val="tx1"/>
                  </w14:solidFill>
                </w14:textFill>
              </w:rPr>
              <w:t>下表</w:t>
            </w:r>
            <w:r>
              <w:rPr>
                <w:color w:val="000000" w:themeColor="text1"/>
                <w:sz w:val="24"/>
                <w:highlight w:val="none"/>
                <w:lang w:val="zh-CN"/>
                <w14:textFill>
                  <w14:solidFill>
                    <w14:schemeClr w14:val="tx1"/>
                  </w14:solidFill>
                </w14:textFill>
              </w:rPr>
              <w:t>。</w:t>
            </w:r>
          </w:p>
          <w:p w14:paraId="77BA6716">
            <w:pPr>
              <w:pStyle w:val="125"/>
              <w:numPr>
                <w:ilvl w:val="0"/>
                <w:numId w:val="0"/>
              </w:numPr>
              <w:spacing w:line="460" w:lineRule="exact"/>
              <w:rPr>
                <w:rFonts w:hint="default"/>
                <w:color w:val="000000" w:themeColor="text1"/>
                <w:sz w:val="24"/>
                <w:highlight w:val="none"/>
                <w:lang w:val="zh-CN"/>
                <w14:textFill>
                  <w14:solidFill>
                    <w14:schemeClr w14:val="tx1"/>
                  </w14:solidFill>
                </w14:textFill>
              </w:rPr>
            </w:pPr>
            <w:r>
              <w:rPr>
                <w:rFonts w:hint="default"/>
                <w:color w:val="000000" w:themeColor="text1"/>
                <w:sz w:val="24"/>
                <w:highlight w:val="none"/>
                <w:lang w:val="zh-CN"/>
                <w14:textFill>
                  <w14:solidFill>
                    <w14:schemeClr w14:val="tx1"/>
                  </w14:solidFill>
                </w14:textFill>
              </w:rPr>
              <w:t>表4-</w:t>
            </w:r>
            <w:r>
              <w:rPr>
                <w:color w:val="000000" w:themeColor="text1"/>
                <w:sz w:val="24"/>
                <w:highlight w:val="none"/>
                <w14:textFill>
                  <w14:solidFill>
                    <w14:schemeClr w14:val="tx1"/>
                  </w14:solidFill>
                </w14:textFill>
              </w:rPr>
              <w:t>3</w:t>
            </w:r>
            <w:r>
              <w:rPr>
                <w:rFonts w:hint="eastAsia"/>
                <w:color w:val="000000" w:themeColor="text1"/>
                <w:sz w:val="24"/>
                <w:highlight w:val="none"/>
                <w:lang w:val="en-US" w:eastAsia="zh-CN"/>
                <w14:textFill>
                  <w14:solidFill>
                    <w14:schemeClr w14:val="tx1"/>
                  </w14:solidFill>
                </w14:textFill>
              </w:rPr>
              <w:t xml:space="preserve">6  </w:t>
            </w:r>
            <w:r>
              <w:rPr>
                <w:rFonts w:hint="default"/>
                <w:color w:val="000000" w:themeColor="text1"/>
                <w:sz w:val="24"/>
                <w:highlight w:val="none"/>
                <w:lang w:val="zh-CN"/>
                <w14:textFill>
                  <w14:solidFill>
                    <w14:schemeClr w14:val="tx1"/>
                  </w14:solidFill>
                </w14:textFill>
              </w:rPr>
              <w:t>本项目风险事故情景分析</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07"/>
              <w:gridCol w:w="1269"/>
              <w:gridCol w:w="1610"/>
              <w:gridCol w:w="1475"/>
              <w:gridCol w:w="2084"/>
              <w:gridCol w:w="1577"/>
            </w:tblGrid>
            <w:tr w14:paraId="2BD2D1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97" w:type="pct"/>
                  <w:vAlign w:val="center"/>
                </w:tcPr>
                <w:p w14:paraId="48F79AA4">
                  <w:pPr>
                    <w:snapToGrid w:val="0"/>
                    <w:spacing w:line="240" w:lineRule="exact"/>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序号</w:t>
                  </w:r>
                </w:p>
              </w:tc>
              <w:tc>
                <w:tcPr>
                  <w:tcW w:w="744" w:type="pct"/>
                  <w:vAlign w:val="center"/>
                </w:tcPr>
                <w:p w14:paraId="7F39441F">
                  <w:pPr>
                    <w:snapToGrid w:val="0"/>
                    <w:spacing w:line="240" w:lineRule="exact"/>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风险源</w:t>
                  </w:r>
                </w:p>
              </w:tc>
              <w:tc>
                <w:tcPr>
                  <w:tcW w:w="944" w:type="pct"/>
                  <w:vAlign w:val="center"/>
                </w:tcPr>
                <w:p w14:paraId="29C6DD2D">
                  <w:pPr>
                    <w:snapToGrid w:val="0"/>
                    <w:spacing w:line="240" w:lineRule="exact"/>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主要危险物质</w:t>
                  </w:r>
                </w:p>
              </w:tc>
              <w:tc>
                <w:tcPr>
                  <w:tcW w:w="865" w:type="pct"/>
                  <w:vAlign w:val="center"/>
                </w:tcPr>
                <w:p w14:paraId="60598B99">
                  <w:pPr>
                    <w:snapToGrid w:val="0"/>
                    <w:spacing w:line="240" w:lineRule="exact"/>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环境风险类型</w:t>
                  </w:r>
                </w:p>
              </w:tc>
              <w:tc>
                <w:tcPr>
                  <w:tcW w:w="1222" w:type="pct"/>
                  <w:vAlign w:val="center"/>
                </w:tcPr>
                <w:p w14:paraId="4D5A66C5">
                  <w:pPr>
                    <w:snapToGrid w:val="0"/>
                    <w:spacing w:line="240" w:lineRule="exact"/>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环境影响途径</w:t>
                  </w:r>
                </w:p>
              </w:tc>
              <w:tc>
                <w:tcPr>
                  <w:tcW w:w="925" w:type="pct"/>
                  <w:vAlign w:val="center"/>
                </w:tcPr>
                <w:p w14:paraId="653F8813">
                  <w:pPr>
                    <w:snapToGrid w:val="0"/>
                    <w:spacing w:line="240" w:lineRule="exact"/>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可能受影响的环境敏感目标</w:t>
                  </w:r>
                </w:p>
              </w:tc>
            </w:tr>
            <w:tr w14:paraId="20D876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97" w:type="pct"/>
                  <w:vAlign w:val="center"/>
                </w:tcPr>
                <w:p w14:paraId="499C6466">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1</w:t>
                  </w:r>
                </w:p>
              </w:tc>
              <w:tc>
                <w:tcPr>
                  <w:tcW w:w="744" w:type="pct"/>
                  <w:vAlign w:val="center"/>
                </w:tcPr>
                <w:p w14:paraId="622F5606">
                  <w:pPr>
                    <w:snapToGrid w:val="0"/>
                    <w:spacing w:line="24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lang w:val="zh-CN"/>
                      <w14:textFill>
                        <w14:solidFill>
                          <w14:schemeClr w14:val="tx1"/>
                        </w14:solidFill>
                      </w14:textFill>
                    </w:rPr>
                    <w:t>生产</w:t>
                  </w:r>
                  <w:r>
                    <w:rPr>
                      <w:rFonts w:ascii="Times New Roman" w:hAnsi="Times New Roman" w:eastAsia="宋体" w:cs="Times New Roman"/>
                      <w:color w:val="000000" w:themeColor="text1"/>
                      <w:szCs w:val="21"/>
                      <w:highlight w:val="none"/>
                      <w14:textFill>
                        <w14:solidFill>
                          <w14:schemeClr w14:val="tx1"/>
                        </w14:solidFill>
                      </w14:textFill>
                    </w:rPr>
                    <w:t>车间</w:t>
                  </w:r>
                </w:p>
              </w:tc>
              <w:tc>
                <w:tcPr>
                  <w:tcW w:w="944" w:type="pct"/>
                  <w:vAlign w:val="center"/>
                </w:tcPr>
                <w:p w14:paraId="0D263EFE">
                  <w:pPr>
                    <w:snapToGrid w:val="0"/>
                    <w:spacing w:line="240" w:lineRule="exact"/>
                    <w:jc w:val="center"/>
                    <w:rPr>
                      <w:rFonts w:ascii="Times New Roman" w:hAnsi="Times New Roman" w:eastAsia="宋体" w:cs="Times New Roman"/>
                      <w:color w:val="000000" w:themeColor="text1"/>
                      <w:szCs w:val="21"/>
                      <w:highlight w:val="none"/>
                      <w:lang w:val="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硫化剂</w:t>
                  </w:r>
                </w:p>
              </w:tc>
              <w:tc>
                <w:tcPr>
                  <w:tcW w:w="865" w:type="pct"/>
                  <w:vAlign w:val="center"/>
                </w:tcPr>
                <w:p w14:paraId="28C1E143">
                  <w:pPr>
                    <w:snapToGrid w:val="0"/>
                    <w:spacing w:line="240" w:lineRule="exact"/>
                    <w:jc w:val="center"/>
                    <w:rPr>
                      <w:rFonts w:ascii="Times New Roman" w:hAnsi="Times New Roman" w:eastAsia="宋体" w:cs="Times New Roman"/>
                      <w:color w:val="000000" w:themeColor="text1"/>
                      <w:szCs w:val="21"/>
                      <w:highlight w:val="none"/>
                      <w:lang w:val="zh-CN"/>
                      <w14:textFill>
                        <w14:solidFill>
                          <w14:schemeClr w14:val="tx1"/>
                        </w14:solidFill>
                      </w14:textFill>
                    </w:rPr>
                  </w:pPr>
                  <w:r>
                    <w:rPr>
                      <w:rFonts w:ascii="Times New Roman" w:hAnsi="Times New Roman" w:eastAsia="宋体" w:cs="Times New Roman"/>
                      <w:color w:val="000000" w:themeColor="text1"/>
                      <w:szCs w:val="21"/>
                      <w:highlight w:val="none"/>
                      <w:lang w:val="zh-CN"/>
                      <w14:textFill>
                        <w14:solidFill>
                          <w14:schemeClr w14:val="tx1"/>
                        </w14:solidFill>
                      </w14:textFill>
                    </w:rPr>
                    <w:t>泄漏</w:t>
                  </w:r>
                </w:p>
              </w:tc>
              <w:tc>
                <w:tcPr>
                  <w:tcW w:w="1222" w:type="pct"/>
                  <w:vAlign w:val="center"/>
                </w:tcPr>
                <w:p w14:paraId="06A58271">
                  <w:pPr>
                    <w:snapToGrid w:val="0"/>
                    <w:spacing w:line="240" w:lineRule="exact"/>
                    <w:jc w:val="center"/>
                    <w:rPr>
                      <w:rFonts w:ascii="Times New Roman" w:hAnsi="Times New Roman" w:eastAsia="宋体" w:cs="Times New Roman"/>
                      <w:color w:val="000000" w:themeColor="text1"/>
                      <w:szCs w:val="21"/>
                      <w:highlight w:val="none"/>
                      <w:lang w:val="zh-CN"/>
                      <w14:textFill>
                        <w14:solidFill>
                          <w14:schemeClr w14:val="tx1"/>
                        </w14:solidFill>
                      </w14:textFill>
                    </w:rPr>
                  </w:pPr>
                  <w:r>
                    <w:rPr>
                      <w:rFonts w:hint="eastAsia" w:ascii="Times New Roman" w:hAnsi="Times New Roman" w:eastAsia="宋体" w:cs="Times New Roman"/>
                      <w:color w:val="000000" w:themeColor="text1"/>
                      <w:szCs w:val="21"/>
                      <w:highlight w:val="none"/>
                      <w:lang w:val="zh-CN"/>
                      <w14:textFill>
                        <w14:solidFill>
                          <w14:schemeClr w14:val="tx1"/>
                        </w14:solidFill>
                      </w14:textFill>
                    </w:rPr>
                    <w:t>地表漫流</w:t>
                  </w:r>
                  <w:r>
                    <w:rPr>
                      <w:rFonts w:ascii="Times New Roman" w:hAnsi="Times New Roman" w:eastAsia="宋体" w:cs="Times New Roman"/>
                      <w:color w:val="000000" w:themeColor="text1"/>
                      <w:szCs w:val="21"/>
                      <w:highlight w:val="none"/>
                      <w:lang w:val="zh-CN"/>
                      <w14:textFill>
                        <w14:solidFill>
                          <w14:schemeClr w14:val="tx1"/>
                        </w14:solidFill>
                      </w14:textFill>
                    </w:rPr>
                    <w:t>、垂直入渗</w:t>
                  </w:r>
                </w:p>
              </w:tc>
              <w:tc>
                <w:tcPr>
                  <w:tcW w:w="925" w:type="pct"/>
                  <w:vMerge w:val="restart"/>
                  <w:vAlign w:val="center"/>
                </w:tcPr>
                <w:p w14:paraId="67E88FFF">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居民点、</w:t>
                  </w:r>
                  <w:r>
                    <w:rPr>
                      <w:rFonts w:hint="eastAsia"/>
                      <w:color w:val="000000" w:themeColor="text1"/>
                      <w:szCs w:val="21"/>
                      <w:highlight w:val="none"/>
                      <w14:textFill>
                        <w14:solidFill>
                          <w14:schemeClr w14:val="tx1"/>
                        </w14:solidFill>
                      </w14:textFill>
                    </w:rPr>
                    <w:t>环境空气、地表水、</w:t>
                  </w:r>
                  <w:r>
                    <w:rPr>
                      <w:color w:val="000000" w:themeColor="text1"/>
                      <w:szCs w:val="21"/>
                      <w:highlight w:val="none"/>
                      <w:lang w:val="zh-CN"/>
                      <w14:textFill>
                        <w14:solidFill>
                          <w14:schemeClr w14:val="tx1"/>
                        </w14:solidFill>
                      </w14:textFill>
                    </w:rPr>
                    <w:t>土壤、地下水</w:t>
                  </w:r>
                </w:p>
              </w:tc>
            </w:tr>
            <w:tr w14:paraId="1BF177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97" w:type="pct"/>
                  <w:vAlign w:val="center"/>
                </w:tcPr>
                <w:p w14:paraId="4A449B88">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744" w:type="pct"/>
                  <w:vAlign w:val="center"/>
                </w:tcPr>
                <w:p w14:paraId="054D6A4F">
                  <w:pPr>
                    <w:snapToGrid w:val="0"/>
                    <w:spacing w:line="240" w:lineRule="exact"/>
                    <w:jc w:val="center"/>
                    <w:rPr>
                      <w:rFonts w:ascii="Times New Roman" w:hAnsi="Times New Roman" w:eastAsia="宋体" w:cs="Times New Roman"/>
                      <w:color w:val="000000" w:themeColor="text1"/>
                      <w:szCs w:val="21"/>
                      <w:highlight w:val="none"/>
                      <w:lang w:val="zh-CN"/>
                      <w14:textFill>
                        <w14:solidFill>
                          <w14:schemeClr w14:val="tx1"/>
                        </w14:solidFill>
                      </w14:textFill>
                    </w:rPr>
                  </w:pPr>
                  <w:r>
                    <w:rPr>
                      <w:rFonts w:ascii="Times New Roman" w:hAnsi="Times New Roman" w:eastAsia="宋体" w:cs="Times New Roman"/>
                      <w:color w:val="000000" w:themeColor="text1"/>
                      <w:szCs w:val="21"/>
                      <w:highlight w:val="none"/>
                      <w:lang w:val="zh-CN"/>
                      <w14:textFill>
                        <w14:solidFill>
                          <w14:schemeClr w14:val="tx1"/>
                        </w14:solidFill>
                      </w14:textFill>
                    </w:rPr>
                    <w:t>污水管网</w:t>
                  </w:r>
                </w:p>
              </w:tc>
              <w:tc>
                <w:tcPr>
                  <w:tcW w:w="944" w:type="pct"/>
                  <w:vAlign w:val="center"/>
                </w:tcPr>
                <w:p w14:paraId="304788DD">
                  <w:pPr>
                    <w:snapToGrid w:val="0"/>
                    <w:spacing w:line="240" w:lineRule="exact"/>
                    <w:jc w:val="center"/>
                    <w:rPr>
                      <w:rFonts w:ascii="Times New Roman" w:hAnsi="Times New Roman" w:eastAsia="宋体" w:cs="Times New Roman"/>
                      <w:color w:val="000000" w:themeColor="text1"/>
                      <w:szCs w:val="21"/>
                      <w:highlight w:val="none"/>
                      <w:lang w:val="zh-CN"/>
                      <w14:textFill>
                        <w14:solidFill>
                          <w14:schemeClr w14:val="tx1"/>
                        </w14:solidFill>
                      </w14:textFill>
                    </w:rPr>
                  </w:pPr>
                  <w:r>
                    <w:rPr>
                      <w:rFonts w:ascii="Times New Roman" w:hAnsi="Times New Roman" w:eastAsia="宋体" w:cs="Times New Roman"/>
                      <w:color w:val="000000" w:themeColor="text1"/>
                      <w:szCs w:val="21"/>
                      <w:highlight w:val="none"/>
                      <w:lang w:val="zh-CN"/>
                      <w14:textFill>
                        <w14:solidFill>
                          <w14:schemeClr w14:val="tx1"/>
                        </w14:solidFill>
                      </w14:textFill>
                    </w:rPr>
                    <w:t>废水</w:t>
                  </w:r>
                </w:p>
              </w:tc>
              <w:tc>
                <w:tcPr>
                  <w:tcW w:w="865" w:type="pct"/>
                  <w:vAlign w:val="center"/>
                </w:tcPr>
                <w:p w14:paraId="7B80074A">
                  <w:pPr>
                    <w:snapToGrid w:val="0"/>
                    <w:spacing w:line="240" w:lineRule="exact"/>
                    <w:jc w:val="center"/>
                    <w:rPr>
                      <w:rFonts w:ascii="Times New Roman" w:hAnsi="Times New Roman" w:eastAsia="宋体" w:cs="Times New Roman"/>
                      <w:color w:val="000000" w:themeColor="text1"/>
                      <w:szCs w:val="21"/>
                      <w:highlight w:val="none"/>
                      <w:lang w:val="zh-CN"/>
                      <w14:textFill>
                        <w14:solidFill>
                          <w14:schemeClr w14:val="tx1"/>
                        </w14:solidFill>
                      </w14:textFill>
                    </w:rPr>
                  </w:pPr>
                  <w:r>
                    <w:rPr>
                      <w:rFonts w:ascii="Times New Roman" w:hAnsi="Times New Roman" w:eastAsia="宋体" w:cs="Times New Roman"/>
                      <w:color w:val="000000" w:themeColor="text1"/>
                      <w:szCs w:val="21"/>
                      <w:highlight w:val="none"/>
                      <w:lang w:val="zh-CN"/>
                      <w14:textFill>
                        <w14:solidFill>
                          <w14:schemeClr w14:val="tx1"/>
                        </w14:solidFill>
                      </w14:textFill>
                    </w:rPr>
                    <w:t>泄漏</w:t>
                  </w:r>
                </w:p>
              </w:tc>
              <w:tc>
                <w:tcPr>
                  <w:tcW w:w="1222" w:type="pct"/>
                  <w:vAlign w:val="center"/>
                </w:tcPr>
                <w:p w14:paraId="692B7876">
                  <w:pPr>
                    <w:snapToGrid w:val="0"/>
                    <w:spacing w:line="240" w:lineRule="exact"/>
                    <w:jc w:val="center"/>
                    <w:rPr>
                      <w:rFonts w:ascii="Times New Roman" w:hAnsi="Times New Roman" w:eastAsia="宋体" w:cs="Times New Roman"/>
                      <w:color w:val="000000" w:themeColor="text1"/>
                      <w:szCs w:val="21"/>
                      <w:highlight w:val="none"/>
                      <w:lang w:val="zh-CN"/>
                      <w14:textFill>
                        <w14:solidFill>
                          <w14:schemeClr w14:val="tx1"/>
                        </w14:solidFill>
                      </w14:textFill>
                    </w:rPr>
                  </w:pPr>
                  <w:r>
                    <w:rPr>
                      <w:rFonts w:hint="eastAsia" w:ascii="Times New Roman" w:hAnsi="Times New Roman" w:eastAsia="宋体" w:cs="Times New Roman"/>
                      <w:color w:val="000000" w:themeColor="text1"/>
                      <w:szCs w:val="21"/>
                      <w:highlight w:val="none"/>
                      <w:lang w:val="zh-CN"/>
                      <w14:textFill>
                        <w14:solidFill>
                          <w14:schemeClr w14:val="tx1"/>
                        </w14:solidFill>
                      </w14:textFill>
                    </w:rPr>
                    <w:t>地表漫流</w:t>
                  </w:r>
                  <w:r>
                    <w:rPr>
                      <w:rFonts w:ascii="Times New Roman" w:hAnsi="Times New Roman" w:eastAsia="宋体" w:cs="Times New Roman"/>
                      <w:color w:val="000000" w:themeColor="text1"/>
                      <w:szCs w:val="21"/>
                      <w:highlight w:val="none"/>
                      <w:lang w:val="zh-CN"/>
                      <w14:textFill>
                        <w14:solidFill>
                          <w14:schemeClr w14:val="tx1"/>
                        </w14:solidFill>
                      </w14:textFill>
                    </w:rPr>
                    <w:t>、垂直入渗</w:t>
                  </w:r>
                </w:p>
              </w:tc>
              <w:tc>
                <w:tcPr>
                  <w:tcW w:w="925" w:type="pct"/>
                  <w:vMerge w:val="continue"/>
                  <w:vAlign w:val="center"/>
                </w:tcPr>
                <w:p w14:paraId="016BB196">
                  <w:pPr>
                    <w:snapToGrid w:val="0"/>
                    <w:spacing w:line="240" w:lineRule="exact"/>
                    <w:jc w:val="center"/>
                    <w:rPr>
                      <w:color w:val="000000" w:themeColor="text1"/>
                      <w:szCs w:val="21"/>
                      <w:highlight w:val="none"/>
                      <w14:textFill>
                        <w14:solidFill>
                          <w14:schemeClr w14:val="tx1"/>
                        </w14:solidFill>
                      </w14:textFill>
                    </w:rPr>
                  </w:pPr>
                </w:p>
              </w:tc>
            </w:tr>
            <w:tr w14:paraId="1A1D80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97" w:type="pct"/>
                  <w:vAlign w:val="center"/>
                </w:tcPr>
                <w:p w14:paraId="026456F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w:t>
                  </w:r>
                </w:p>
              </w:tc>
              <w:tc>
                <w:tcPr>
                  <w:tcW w:w="744" w:type="pct"/>
                  <w:vAlign w:val="center"/>
                </w:tcPr>
                <w:p w14:paraId="7BA4E728">
                  <w:pPr>
                    <w:snapToGrid w:val="0"/>
                    <w:spacing w:line="240" w:lineRule="exact"/>
                    <w:jc w:val="center"/>
                    <w:rPr>
                      <w:rFonts w:ascii="Times New Roman" w:hAnsi="Times New Roman" w:eastAsia="宋体" w:cs="Times New Roman"/>
                      <w:color w:val="000000" w:themeColor="text1"/>
                      <w:szCs w:val="21"/>
                      <w:highlight w:val="none"/>
                      <w:lang w:val="zh-CN"/>
                      <w14:textFill>
                        <w14:solidFill>
                          <w14:schemeClr w14:val="tx1"/>
                        </w14:solidFill>
                      </w14:textFill>
                    </w:rPr>
                  </w:pPr>
                  <w:r>
                    <w:rPr>
                      <w:rFonts w:ascii="Times New Roman" w:hAnsi="Times New Roman" w:eastAsia="宋体" w:cs="Times New Roman"/>
                      <w:color w:val="000000" w:themeColor="text1"/>
                      <w:szCs w:val="21"/>
                      <w:highlight w:val="none"/>
                      <w:lang w:val="zh-CN"/>
                      <w14:textFill>
                        <w14:solidFill>
                          <w14:schemeClr w14:val="tx1"/>
                        </w14:solidFill>
                      </w14:textFill>
                    </w:rPr>
                    <w:t>危废仓库</w:t>
                  </w:r>
                </w:p>
              </w:tc>
              <w:tc>
                <w:tcPr>
                  <w:tcW w:w="944" w:type="pct"/>
                  <w:vAlign w:val="center"/>
                </w:tcPr>
                <w:p w14:paraId="7695DB6D">
                  <w:pPr>
                    <w:snapToGrid w:val="0"/>
                    <w:spacing w:line="240" w:lineRule="exact"/>
                    <w:jc w:val="center"/>
                    <w:rPr>
                      <w:rFonts w:ascii="Times New Roman" w:hAnsi="Times New Roman" w:eastAsia="宋体" w:cs="Times New Roman"/>
                      <w:color w:val="000000" w:themeColor="text1"/>
                      <w:szCs w:val="21"/>
                      <w:highlight w:val="none"/>
                      <w:lang w:val="zh-CN"/>
                      <w14:textFill>
                        <w14:solidFill>
                          <w14:schemeClr w14:val="tx1"/>
                        </w14:solidFill>
                      </w14:textFill>
                    </w:rPr>
                  </w:pPr>
                  <w:r>
                    <w:rPr>
                      <w:rFonts w:hint="eastAsia" w:ascii="Times New Roman" w:hAnsi="Times New Roman" w:eastAsia="宋体" w:cs="Times New Roman"/>
                      <w:color w:val="000000" w:themeColor="text1"/>
                      <w:szCs w:val="21"/>
                      <w:highlight w:val="none"/>
                      <w:lang w:val="zh-CN"/>
                      <w14:textFill>
                        <w14:solidFill>
                          <w14:schemeClr w14:val="tx1"/>
                        </w14:solidFill>
                      </w14:textFill>
                    </w:rPr>
                    <w:t>废</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过滤棉</w:t>
                  </w:r>
                  <w:r>
                    <w:rPr>
                      <w:rFonts w:hint="eastAsia" w:ascii="Times New Roman" w:hAnsi="Times New Roman" w:eastAsia="宋体" w:cs="Times New Roman"/>
                      <w:color w:val="000000" w:themeColor="text1"/>
                      <w:szCs w:val="21"/>
                      <w:highlight w:val="none"/>
                      <w:lang w:val="zh-CN"/>
                      <w14:textFill>
                        <w14:solidFill>
                          <w14:schemeClr w14:val="tx1"/>
                        </w14:solidFill>
                      </w14:textFill>
                    </w:rPr>
                    <w:t>、废活性炭等</w:t>
                  </w:r>
                  <w:r>
                    <w:rPr>
                      <w:rFonts w:ascii="Times New Roman" w:hAnsi="Times New Roman" w:eastAsia="宋体" w:cs="Times New Roman"/>
                      <w:color w:val="000000" w:themeColor="text1"/>
                      <w:szCs w:val="21"/>
                      <w:highlight w:val="none"/>
                      <w:lang w:val="zh-CN"/>
                      <w14:textFill>
                        <w14:solidFill>
                          <w14:schemeClr w14:val="tx1"/>
                        </w14:solidFill>
                      </w14:textFill>
                    </w:rPr>
                    <w:t>危险废物</w:t>
                  </w:r>
                </w:p>
              </w:tc>
              <w:tc>
                <w:tcPr>
                  <w:tcW w:w="865" w:type="pct"/>
                  <w:vAlign w:val="center"/>
                </w:tcPr>
                <w:p w14:paraId="0E7FDF88">
                  <w:pPr>
                    <w:snapToGrid w:val="0"/>
                    <w:spacing w:line="240" w:lineRule="exact"/>
                    <w:jc w:val="center"/>
                    <w:rPr>
                      <w:rFonts w:ascii="Times New Roman" w:hAnsi="Times New Roman" w:eastAsia="宋体" w:cs="Times New Roman"/>
                      <w:color w:val="000000" w:themeColor="text1"/>
                      <w:szCs w:val="21"/>
                      <w:highlight w:val="none"/>
                      <w:lang w:val="zh-CN"/>
                      <w14:textFill>
                        <w14:solidFill>
                          <w14:schemeClr w14:val="tx1"/>
                        </w14:solidFill>
                      </w14:textFill>
                    </w:rPr>
                  </w:pPr>
                  <w:r>
                    <w:rPr>
                      <w:rFonts w:ascii="Times New Roman" w:hAnsi="Times New Roman" w:eastAsia="宋体" w:cs="Times New Roman"/>
                      <w:color w:val="000000" w:themeColor="text1"/>
                      <w:szCs w:val="21"/>
                      <w:highlight w:val="none"/>
                      <w:lang w:val="zh-CN"/>
                      <w14:textFill>
                        <w14:solidFill>
                          <w14:schemeClr w14:val="tx1"/>
                        </w14:solidFill>
                      </w14:textFill>
                    </w:rPr>
                    <w:t>泄漏</w:t>
                  </w:r>
                  <w:r>
                    <w:rPr>
                      <w:rFonts w:hint="eastAsia" w:ascii="Times New Roman" w:hAnsi="Times New Roman" w:eastAsia="宋体" w:cs="Times New Roman"/>
                      <w:color w:val="000000" w:themeColor="text1"/>
                      <w:szCs w:val="21"/>
                      <w:highlight w:val="none"/>
                      <w:lang w:val="zh-CN"/>
                      <w14:textFill>
                        <w14:solidFill>
                          <w14:schemeClr w14:val="tx1"/>
                        </w14:solidFill>
                      </w14:textFill>
                    </w:rPr>
                    <w:t>、火灾</w:t>
                  </w:r>
                </w:p>
              </w:tc>
              <w:tc>
                <w:tcPr>
                  <w:tcW w:w="1222" w:type="pct"/>
                  <w:vAlign w:val="center"/>
                </w:tcPr>
                <w:p w14:paraId="729E0765">
                  <w:pPr>
                    <w:snapToGrid w:val="0"/>
                    <w:spacing w:line="240" w:lineRule="exact"/>
                    <w:jc w:val="center"/>
                    <w:rPr>
                      <w:rFonts w:ascii="Times New Roman" w:hAnsi="Times New Roman" w:eastAsia="宋体" w:cs="Times New Roman"/>
                      <w:color w:val="000000" w:themeColor="text1"/>
                      <w:szCs w:val="21"/>
                      <w:highlight w:val="none"/>
                      <w:lang w:val="zh-CN"/>
                      <w14:textFill>
                        <w14:solidFill>
                          <w14:schemeClr w14:val="tx1"/>
                        </w14:solidFill>
                      </w14:textFill>
                    </w:rPr>
                  </w:pPr>
                  <w:r>
                    <w:rPr>
                      <w:rFonts w:hint="eastAsia" w:ascii="Times New Roman" w:hAnsi="Times New Roman" w:eastAsia="宋体" w:cs="Times New Roman"/>
                      <w:color w:val="000000" w:themeColor="text1"/>
                      <w:szCs w:val="21"/>
                      <w:highlight w:val="none"/>
                      <w:lang w:val="zh-CN"/>
                      <w14:textFill>
                        <w14:solidFill>
                          <w14:schemeClr w14:val="tx1"/>
                        </w14:solidFill>
                      </w14:textFill>
                    </w:rPr>
                    <w:t>地表漫流</w:t>
                  </w:r>
                  <w:r>
                    <w:rPr>
                      <w:rFonts w:ascii="Times New Roman" w:hAnsi="Times New Roman" w:eastAsia="宋体" w:cs="Times New Roman"/>
                      <w:color w:val="000000" w:themeColor="text1"/>
                      <w:szCs w:val="21"/>
                      <w:highlight w:val="none"/>
                      <w:lang w:val="zh-CN"/>
                      <w14:textFill>
                        <w14:solidFill>
                          <w14:schemeClr w14:val="tx1"/>
                        </w14:solidFill>
                      </w14:textFill>
                    </w:rPr>
                    <w:t>、垂直入渗</w:t>
                  </w:r>
                </w:p>
              </w:tc>
              <w:tc>
                <w:tcPr>
                  <w:tcW w:w="925" w:type="pct"/>
                  <w:vMerge w:val="continue"/>
                  <w:vAlign w:val="center"/>
                </w:tcPr>
                <w:p w14:paraId="41390012">
                  <w:pPr>
                    <w:snapToGrid w:val="0"/>
                    <w:spacing w:line="240" w:lineRule="exact"/>
                    <w:jc w:val="center"/>
                    <w:rPr>
                      <w:color w:val="000000" w:themeColor="text1"/>
                      <w:szCs w:val="21"/>
                      <w:highlight w:val="none"/>
                      <w:lang w:val="zh-CN"/>
                      <w14:textFill>
                        <w14:solidFill>
                          <w14:schemeClr w14:val="tx1"/>
                        </w14:solidFill>
                      </w14:textFill>
                    </w:rPr>
                  </w:pPr>
                </w:p>
              </w:tc>
            </w:tr>
          </w:tbl>
          <w:p w14:paraId="6C6D9F7A">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（4）环境风险防范措施</w:t>
            </w:r>
          </w:p>
          <w:p w14:paraId="3D2A533E">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1）技术、工艺及装备、设备、设施方面</w:t>
            </w:r>
          </w:p>
          <w:p w14:paraId="15410518">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为降低生产场所空气中的有害物质浓度，车间及仓库需要配备必要的通、排风装置，以保持通风状况良好，必要时应采取机械式强制通风。确保通风装置的完好、有效。</w:t>
            </w:r>
          </w:p>
          <w:p w14:paraId="084B1B92">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各类设备、泵机、管线、阀门、电气控制部位均应按规范设置位号、色标、输送介质、流向、开关等标志标识及安全警示标识。</w:t>
            </w:r>
          </w:p>
          <w:p w14:paraId="14C2892A">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rFonts w:hint="eastAsia"/>
                <w:color w:val="000000" w:themeColor="text1"/>
                <w:sz w:val="24"/>
                <w:highlight w:val="none"/>
                <w14:textFill>
                  <w14:solidFill>
                    <w14:schemeClr w14:val="tx1"/>
                  </w14:solidFill>
                </w14:textFill>
              </w:rPr>
              <w:t>2</w:t>
            </w:r>
            <w:r>
              <w:rPr>
                <w:color w:val="000000" w:themeColor="text1"/>
                <w:sz w:val="24"/>
                <w:highlight w:val="none"/>
                <w:lang w:val="zh-CN"/>
                <w14:textFill>
                  <w14:solidFill>
                    <w14:schemeClr w14:val="tx1"/>
                  </w14:solidFill>
                </w14:textFill>
              </w:rPr>
              <w:t>）生产、储运过程</w:t>
            </w:r>
          </w:p>
          <w:p w14:paraId="08CADC43">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本项目生产、储运过程风险防范措施主要依托现有厂区已有的风险防范措施，重点关注内容如下：</w:t>
            </w:r>
          </w:p>
          <w:p w14:paraId="48FD82B5">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A.生产装置的供电、供水等公用设施加强日常管理，确保满足正常生产和事故状态下的要求。</w:t>
            </w:r>
          </w:p>
          <w:p w14:paraId="20A7D366">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B.所有管道系统均按有关标准进行良好设计、制作及安装，由当地有关质检部门进行验收并通过</w:t>
            </w:r>
            <w:r>
              <w:rPr>
                <w:rFonts w:hint="eastAsia"/>
                <w:color w:val="000000" w:themeColor="text1"/>
                <w:sz w:val="24"/>
                <w:highlight w:val="none"/>
                <w:lang w:val="zh-CN"/>
                <w14:textFill>
                  <w14:solidFill>
                    <w14:schemeClr w14:val="tx1"/>
                  </w14:solidFill>
                </w14:textFill>
              </w:rPr>
              <w:t>后</w:t>
            </w:r>
            <w:r>
              <w:rPr>
                <w:color w:val="000000" w:themeColor="text1"/>
                <w:sz w:val="24"/>
                <w:highlight w:val="none"/>
                <w:lang w:val="zh-CN"/>
                <w14:textFill>
                  <w14:solidFill>
                    <w14:schemeClr w14:val="tx1"/>
                  </w14:solidFill>
                </w14:textFill>
              </w:rPr>
              <w:t>投入使用。物料输送管线定期试压检漏。易燃气体可能泄漏的场所，主要采用防爆电机及器材。</w:t>
            </w:r>
          </w:p>
          <w:p w14:paraId="34CD92F2">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C.高温和低温设备及管道外部均需包绝缘材料；输送设备和管道应设计用非燃材料保温；高温设备和管道应设立隔离栏，并有警示标志。</w:t>
            </w:r>
          </w:p>
          <w:p w14:paraId="6F05AE58">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D.在生产过程中，注意车间内通风情况，禁止出现明火，定期检查设备线路，防止出现火灾爆炸事故。</w:t>
            </w:r>
          </w:p>
          <w:p w14:paraId="662AD04C">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rFonts w:hint="eastAsia"/>
                <w:color w:val="000000" w:themeColor="text1"/>
                <w:sz w:val="24"/>
                <w:highlight w:val="none"/>
                <w14:textFill>
                  <w14:solidFill>
                    <w14:schemeClr w14:val="tx1"/>
                  </w14:solidFill>
                </w14:textFill>
              </w:rPr>
              <w:t>3</w:t>
            </w:r>
            <w:r>
              <w:rPr>
                <w:color w:val="000000" w:themeColor="text1"/>
                <w:sz w:val="24"/>
                <w:highlight w:val="none"/>
                <w:lang w:val="zh-CN"/>
                <w14:textFill>
                  <w14:solidFill>
                    <w14:schemeClr w14:val="tx1"/>
                  </w14:solidFill>
                </w14:textFill>
              </w:rPr>
              <w:t>）物料泄漏事故防范措施</w:t>
            </w:r>
          </w:p>
          <w:p w14:paraId="73F497B8">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企业项目原辅材料为固体。固体物料泄漏风险较低。员工每天巡视桶体，发现破损，及时更换破损桶体。</w:t>
            </w:r>
          </w:p>
          <w:p w14:paraId="50D7400A">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危废泄漏应急处置措施：包装物破损而发生散落、泄漏，要进行及时清理，以免产生二次污染。</w:t>
            </w:r>
          </w:p>
          <w:p w14:paraId="1287FD63">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rFonts w:hint="eastAsia"/>
                <w:color w:val="000000" w:themeColor="text1"/>
                <w:sz w:val="24"/>
                <w:highlight w:val="none"/>
                <w14:textFill>
                  <w14:solidFill>
                    <w14:schemeClr w14:val="tx1"/>
                  </w14:solidFill>
                </w14:textFill>
              </w:rPr>
              <w:t>4</w:t>
            </w:r>
            <w:r>
              <w:rPr>
                <w:color w:val="000000" w:themeColor="text1"/>
                <w:sz w:val="24"/>
                <w:highlight w:val="none"/>
                <w:lang w:val="zh-CN"/>
                <w14:textFill>
                  <w14:solidFill>
                    <w14:schemeClr w14:val="tx1"/>
                  </w14:solidFill>
                </w14:textFill>
              </w:rPr>
              <w:t>）大气环境风险防范措施</w:t>
            </w:r>
          </w:p>
          <w:p w14:paraId="40167215">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加强对废气处理系统的维护和检修，使其处于良好的运行状态，并且</w:t>
            </w:r>
            <w:r>
              <w:rPr>
                <w:rFonts w:hint="eastAsia"/>
                <w:color w:val="000000" w:themeColor="text1"/>
                <w:sz w:val="24"/>
                <w:highlight w:val="none"/>
                <w:lang w:val="zh-CN"/>
                <w14:textFill>
                  <w14:solidFill>
                    <w14:schemeClr w14:val="tx1"/>
                  </w14:solidFill>
                </w14:textFill>
              </w:rPr>
              <w:t>需要</w:t>
            </w:r>
            <w:r>
              <w:rPr>
                <w:color w:val="000000" w:themeColor="text1"/>
                <w:sz w:val="24"/>
                <w:highlight w:val="none"/>
                <w:lang w:val="zh-CN"/>
                <w14:textFill>
                  <w14:solidFill>
                    <w14:schemeClr w14:val="tx1"/>
                  </w14:solidFill>
                </w14:textFill>
              </w:rPr>
              <w:t>加强管理，一旦出现异常现象应停止生产，从根源上切断污染，查出异常原因，事故发生后应在最短的时间内排除故障，确保对周围环境的影响降到最低。</w:t>
            </w:r>
          </w:p>
          <w:p w14:paraId="30502F6C">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为防范火灾导致的次伴生大气污染事故发生，</w:t>
            </w:r>
            <w:r>
              <w:rPr>
                <w:rFonts w:hint="eastAsia"/>
                <w:color w:val="000000" w:themeColor="text1"/>
                <w:sz w:val="24"/>
                <w:highlight w:val="none"/>
                <w:lang w:val="zh-CN"/>
                <w14:textFill>
                  <w14:solidFill>
                    <w14:schemeClr w14:val="tx1"/>
                  </w14:solidFill>
                </w14:textFill>
              </w:rPr>
              <w:t>本项目</w:t>
            </w:r>
            <w:r>
              <w:rPr>
                <w:color w:val="000000" w:themeColor="text1"/>
                <w:sz w:val="24"/>
                <w:highlight w:val="none"/>
                <w:lang w:val="zh-CN"/>
                <w14:textFill>
                  <w14:solidFill>
                    <w14:schemeClr w14:val="tx1"/>
                  </w14:solidFill>
                </w14:textFill>
              </w:rPr>
              <w:t>应采取以下防范措施：</w:t>
            </w:r>
          </w:p>
          <w:p w14:paraId="154A706A">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A</w:t>
            </w:r>
            <w:r>
              <w:rPr>
                <w:color w:val="000000" w:themeColor="text1"/>
                <w:sz w:val="24"/>
                <w:highlight w:val="none"/>
                <w14:textFill>
                  <w14:solidFill>
                    <w14:schemeClr w14:val="tx1"/>
                  </w14:solidFill>
                </w14:textFill>
              </w:rPr>
              <w:t>.</w:t>
            </w:r>
            <w:r>
              <w:rPr>
                <w:color w:val="000000" w:themeColor="text1"/>
                <w:sz w:val="24"/>
                <w:highlight w:val="none"/>
                <w:lang w:val="zh-CN"/>
                <w14:textFill>
                  <w14:solidFill>
                    <w14:schemeClr w14:val="tx1"/>
                  </w14:solidFill>
                </w14:textFill>
              </w:rPr>
              <w:t>在</w:t>
            </w:r>
            <w:r>
              <w:rPr>
                <w:color w:val="000000" w:themeColor="text1"/>
                <w:sz w:val="24"/>
                <w:highlight w:val="none"/>
                <w14:textFill>
                  <w14:solidFill>
                    <w14:schemeClr w14:val="tx1"/>
                  </w14:solidFill>
                </w14:textFill>
              </w:rPr>
              <w:t>危废</w:t>
            </w:r>
            <w:r>
              <w:rPr>
                <w:color w:val="000000" w:themeColor="text1"/>
                <w:sz w:val="24"/>
                <w:highlight w:val="none"/>
                <w:lang w:val="zh-CN"/>
                <w14:textFill>
                  <w14:solidFill>
                    <w14:schemeClr w14:val="tx1"/>
                  </w14:solidFill>
                </w14:textFill>
              </w:rPr>
              <w:t>仓库内选用防爆型电气、仪表及通信设备；所有可能产生爆炸危险和产生静电的设备及管道均设有防静电接地设施；不同区域的照明设施将根据不同环境特点，选用防爆、防水、防尘或普通型灯具。</w:t>
            </w:r>
          </w:p>
          <w:p w14:paraId="295D2CFC">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B</w:t>
            </w:r>
            <w:r>
              <w:rPr>
                <w:color w:val="000000" w:themeColor="text1"/>
                <w:sz w:val="24"/>
                <w:highlight w:val="none"/>
                <w14:textFill>
                  <w14:solidFill>
                    <w14:schemeClr w14:val="tx1"/>
                  </w14:solidFill>
                </w14:textFill>
              </w:rPr>
              <w:t>.</w:t>
            </w:r>
            <w:r>
              <w:rPr>
                <w:color w:val="000000" w:themeColor="text1"/>
                <w:sz w:val="24"/>
                <w:highlight w:val="none"/>
                <w:lang w:val="zh-CN"/>
                <w14:textFill>
                  <w14:solidFill>
                    <w14:schemeClr w14:val="tx1"/>
                  </w14:solidFill>
                </w14:textFill>
              </w:rPr>
              <w:t>加强对</w:t>
            </w:r>
            <w:r>
              <w:rPr>
                <w:color w:val="000000" w:themeColor="text1"/>
                <w:sz w:val="24"/>
                <w:highlight w:val="none"/>
                <w14:textFill>
                  <w14:solidFill>
                    <w14:schemeClr w14:val="tx1"/>
                  </w14:solidFill>
                </w14:textFill>
              </w:rPr>
              <w:t>原材料仓库、危废</w:t>
            </w:r>
            <w:r>
              <w:rPr>
                <w:color w:val="000000" w:themeColor="text1"/>
                <w:sz w:val="24"/>
                <w:highlight w:val="none"/>
                <w:lang w:val="zh-CN"/>
                <w14:textFill>
                  <w14:solidFill>
                    <w14:schemeClr w14:val="tx1"/>
                  </w14:solidFill>
                </w14:textFill>
              </w:rPr>
              <w:t>仓库等区域的管理，严禁明火或者从事其他产生明火、火花、危险温度的作业活动。</w:t>
            </w:r>
          </w:p>
          <w:p w14:paraId="0863CAFD">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C</w:t>
            </w:r>
            <w:r>
              <w:rPr>
                <w:color w:val="000000" w:themeColor="text1"/>
                <w:sz w:val="24"/>
                <w:highlight w:val="none"/>
                <w14:textFill>
                  <w14:solidFill>
                    <w14:schemeClr w14:val="tx1"/>
                  </w14:solidFill>
                </w14:textFill>
              </w:rPr>
              <w:t>.</w:t>
            </w:r>
            <w:r>
              <w:rPr>
                <w:color w:val="000000" w:themeColor="text1"/>
                <w:sz w:val="24"/>
                <w:highlight w:val="none"/>
                <w:lang w:val="zh-CN"/>
                <w14:textFill>
                  <w14:solidFill>
                    <w14:schemeClr w14:val="tx1"/>
                  </w14:solidFill>
                </w14:textFill>
              </w:rPr>
              <w:t>经营场所内必须留有足够的消防通道。</w:t>
            </w:r>
            <w:r>
              <w:rPr>
                <w:color w:val="000000" w:themeColor="text1"/>
                <w:sz w:val="24"/>
                <w:highlight w:val="none"/>
                <w14:textFill>
                  <w14:solidFill>
                    <w14:schemeClr w14:val="tx1"/>
                  </w14:solidFill>
                </w14:textFill>
              </w:rPr>
              <w:t>生产</w:t>
            </w:r>
            <w:r>
              <w:rPr>
                <w:color w:val="000000" w:themeColor="text1"/>
                <w:sz w:val="24"/>
                <w:highlight w:val="none"/>
                <w:lang w:val="zh-CN"/>
                <w14:textFill>
                  <w14:solidFill>
                    <w14:schemeClr w14:val="tx1"/>
                  </w14:solidFill>
                </w14:textFill>
              </w:rPr>
              <w:t>区域必须设置消防给水管道和消防栓。企业要组织义务消防员，并进行定期的培训和训练。对有火灾危险的场所设置自动报警系统，一旦发生火灾，立即做出应急反应。</w:t>
            </w:r>
          </w:p>
          <w:p w14:paraId="4E9AE0F4">
            <w:pPr>
              <w:adjustRightInd w:val="0"/>
              <w:snapToGrid w:val="0"/>
              <w:spacing w:line="460" w:lineRule="exact"/>
              <w:ind w:firstLine="480" w:firstLineChars="200"/>
              <w:rPr>
                <w:rFonts w:ascii="Times New Roman" w:hAnsi="Times New Roman" w:eastAsia="宋体" w:cs="Times New Roman"/>
                <w:color w:val="000000" w:themeColor="text1"/>
                <w:sz w:val="24"/>
                <w:highlight w:val="none"/>
                <w:lang w:val="zh-CN"/>
                <w14:textFill>
                  <w14:solidFill>
                    <w14:schemeClr w14:val="tx1"/>
                  </w14:solidFill>
                </w14:textFill>
              </w:rPr>
            </w:pPr>
            <w:r>
              <w:rPr>
                <w:rFonts w:hint="eastAsia" w:ascii="Times New Roman" w:hAnsi="Times New Roman" w:eastAsia="宋体" w:cs="Times New Roman"/>
                <w:color w:val="000000" w:themeColor="text1"/>
                <w:sz w:val="24"/>
                <w:highlight w:val="none"/>
                <w:lang w:val="zh-CN"/>
                <w14:textFill>
                  <w14:solidFill>
                    <w14:schemeClr w14:val="tx1"/>
                  </w14:solidFill>
                </w14:textFill>
              </w:rPr>
              <w:t>5</w:t>
            </w:r>
            <w:r>
              <w:rPr>
                <w:rFonts w:ascii="Times New Roman" w:hAnsi="Times New Roman" w:eastAsia="宋体" w:cs="Times New Roman"/>
                <w:color w:val="000000" w:themeColor="text1"/>
                <w:sz w:val="24"/>
                <w:highlight w:val="none"/>
                <w:lang w:val="zh-CN"/>
                <w14:textFill>
                  <w14:solidFill>
                    <w14:schemeClr w14:val="tx1"/>
                  </w14:solidFill>
                </w14:textFill>
              </w:rPr>
              <w:t>）废水风险防范措施</w:t>
            </w:r>
          </w:p>
          <w:p w14:paraId="6CE39254">
            <w:pPr>
              <w:adjustRightInd w:val="0"/>
              <w:snapToGrid w:val="0"/>
              <w:spacing w:line="440" w:lineRule="exact"/>
              <w:ind w:firstLine="480" w:firstLineChars="200"/>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根据</w:t>
            </w:r>
            <w:r>
              <w:rPr>
                <w:snapToGrid w:val="0"/>
                <w:color w:val="000000" w:themeColor="text1"/>
                <w:kern w:val="0"/>
                <w:sz w:val="24"/>
                <w:highlight w:val="none"/>
                <w14:textFill>
                  <w14:solidFill>
                    <w14:schemeClr w14:val="tx1"/>
                  </w14:solidFill>
                </w14:textFill>
              </w:rPr>
              <w:t>中华人民共和国生态环境部</w:t>
            </w:r>
            <w:r>
              <w:rPr>
                <w:rFonts w:hint="eastAsia"/>
                <w:snapToGrid w:val="0"/>
                <w:color w:val="000000" w:themeColor="text1"/>
                <w:kern w:val="0"/>
                <w:sz w:val="24"/>
                <w:highlight w:val="none"/>
                <w14:textFill>
                  <w14:solidFill>
                    <w14:schemeClr w14:val="tx1"/>
                  </w14:solidFill>
                </w14:textFill>
              </w:rPr>
              <w:t>2021年5月24日“关于事故应急池建设方式及容积计算问题的回复”：企业可根据《建设项目环境风险评价技术导则》（HJ169-2018）、《化工建设项目环境保护工程设计标准》（GB/T50483-2019）等相关要求和计算公式，结合自身特点，设计、建设、管理事故应急池。</w:t>
            </w:r>
          </w:p>
          <w:p w14:paraId="717198D9">
            <w:pPr>
              <w:snapToGrid w:val="0"/>
              <w:spacing w:line="44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则事故废水量按下式计算：</w:t>
            </w:r>
          </w:p>
          <w:p w14:paraId="2E01B23F">
            <w:pPr>
              <w:spacing w:line="460" w:lineRule="exact"/>
              <w:ind w:firstLine="480" w:firstLineChars="20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V=</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V</w:t>
            </w:r>
            <w:r>
              <w:rPr>
                <w:color w:val="000000" w:themeColor="text1"/>
                <w:sz w:val="24"/>
                <w:highlight w:val="none"/>
                <w:vertAlign w:val="subscript"/>
                <w14:textFill>
                  <w14:solidFill>
                    <w14:schemeClr w14:val="tx1"/>
                  </w14:solidFill>
                </w14:textFill>
              </w:rPr>
              <w:t>1</w:t>
            </w:r>
            <w:r>
              <w:rPr>
                <w:color w:val="000000" w:themeColor="text1"/>
                <w:sz w:val="24"/>
                <w:highlight w:val="none"/>
                <w14:textFill>
                  <w14:solidFill>
                    <w14:schemeClr w14:val="tx1"/>
                  </w14:solidFill>
                </w14:textFill>
              </w:rPr>
              <w:t>+V</w:t>
            </w:r>
            <w:r>
              <w:rPr>
                <w:color w:val="000000" w:themeColor="text1"/>
                <w:sz w:val="24"/>
                <w:highlight w:val="none"/>
                <w:vertAlign w:val="subscript"/>
                <w14:textFill>
                  <w14:solidFill>
                    <w14:schemeClr w14:val="tx1"/>
                  </w14:solidFill>
                </w14:textFill>
              </w:rPr>
              <w:t>2</w:t>
            </w:r>
            <w:r>
              <w:rPr>
                <w:color w:val="000000" w:themeColor="text1"/>
                <w:sz w:val="24"/>
                <w:highlight w:val="none"/>
                <w14:textFill>
                  <w14:solidFill>
                    <w14:schemeClr w14:val="tx1"/>
                  </w14:solidFill>
                </w14:textFill>
              </w:rPr>
              <w:t>-V</w:t>
            </w:r>
            <w:r>
              <w:rPr>
                <w:color w:val="000000" w:themeColor="text1"/>
                <w:sz w:val="24"/>
                <w:highlight w:val="none"/>
                <w:vertAlign w:val="subscript"/>
                <w14:textFill>
                  <w14:solidFill>
                    <w14:schemeClr w14:val="tx1"/>
                  </w14:solidFill>
                </w14:textFill>
              </w:rPr>
              <w:t>3</w:t>
            </w:r>
            <w:r>
              <w:rPr>
                <w:rFonts w:hint="eastAsia"/>
                <w:color w:val="000000" w:themeColor="text1"/>
                <w:sz w:val="24"/>
                <w:highlight w:val="none"/>
                <w14:textFill>
                  <w14:solidFill>
                    <w14:schemeClr w14:val="tx1"/>
                  </w14:solidFill>
                </w14:textFill>
              </w:rPr>
              <w:t>）</w:t>
            </w:r>
            <w:r>
              <w:rPr>
                <w:color w:val="000000" w:themeColor="text1"/>
                <w:sz w:val="24"/>
                <w:highlight w:val="none"/>
                <w:vertAlign w:val="subscript"/>
                <w14:textFill>
                  <w14:solidFill>
                    <w14:schemeClr w14:val="tx1"/>
                  </w14:solidFill>
                </w14:textFill>
              </w:rPr>
              <w:t>max</w:t>
            </w:r>
            <w:r>
              <w:rPr>
                <w:color w:val="000000" w:themeColor="text1"/>
                <w:sz w:val="24"/>
                <w:highlight w:val="none"/>
                <w14:textFill>
                  <w14:solidFill>
                    <w14:schemeClr w14:val="tx1"/>
                  </w14:solidFill>
                </w14:textFill>
              </w:rPr>
              <w:t>+V</w:t>
            </w:r>
            <w:r>
              <w:rPr>
                <w:color w:val="000000" w:themeColor="text1"/>
                <w:sz w:val="24"/>
                <w:highlight w:val="none"/>
                <w:vertAlign w:val="subscript"/>
                <w14:textFill>
                  <w14:solidFill>
                    <w14:schemeClr w14:val="tx1"/>
                  </w14:solidFill>
                </w14:textFill>
              </w:rPr>
              <w:t>4</w:t>
            </w:r>
            <w:r>
              <w:rPr>
                <w:color w:val="000000" w:themeColor="text1"/>
                <w:sz w:val="24"/>
                <w:highlight w:val="none"/>
                <w14:textFill>
                  <w14:solidFill>
                    <w14:schemeClr w14:val="tx1"/>
                  </w14:solidFill>
                </w14:textFill>
              </w:rPr>
              <w:t>+V</w:t>
            </w:r>
            <w:r>
              <w:rPr>
                <w:color w:val="000000" w:themeColor="text1"/>
                <w:sz w:val="24"/>
                <w:highlight w:val="none"/>
                <w:vertAlign w:val="subscript"/>
                <w14:textFill>
                  <w14:solidFill>
                    <w14:schemeClr w14:val="tx1"/>
                  </w14:solidFill>
                </w14:textFill>
              </w:rPr>
              <w:t>5</w:t>
            </w:r>
          </w:p>
          <w:p w14:paraId="121FE6A4">
            <w:pPr>
              <w:snapToGrid w:val="0"/>
              <w:spacing w:line="44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式中：</w:t>
            </w:r>
          </w:p>
          <w:p w14:paraId="6CDFED8E">
            <w:pPr>
              <w:spacing w:line="44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V</w:t>
            </w:r>
            <w:r>
              <w:rPr>
                <w:color w:val="000000" w:themeColor="text1"/>
                <w:sz w:val="24"/>
                <w:highlight w:val="none"/>
                <w:vertAlign w:val="subscript"/>
                <w14:textFill>
                  <w14:solidFill>
                    <w14:schemeClr w14:val="tx1"/>
                  </w14:solidFill>
                </w14:textFill>
              </w:rPr>
              <w:t>1</w:t>
            </w:r>
            <w:r>
              <w:rPr>
                <w:color w:val="000000" w:themeColor="text1"/>
                <w:sz w:val="24"/>
                <w:highlight w:val="none"/>
                <w14:textFill>
                  <w14:solidFill>
                    <w14:schemeClr w14:val="tx1"/>
                  </w14:solidFill>
                </w14:textFill>
              </w:rPr>
              <w:t>+V</w:t>
            </w:r>
            <w:r>
              <w:rPr>
                <w:color w:val="000000" w:themeColor="text1"/>
                <w:sz w:val="24"/>
                <w:highlight w:val="none"/>
                <w:vertAlign w:val="subscript"/>
                <w14:textFill>
                  <w14:solidFill>
                    <w14:schemeClr w14:val="tx1"/>
                  </w14:solidFill>
                </w14:textFill>
              </w:rPr>
              <w:t>2</w:t>
            </w:r>
            <w:r>
              <w:rPr>
                <w:color w:val="000000" w:themeColor="text1"/>
                <w:sz w:val="24"/>
                <w:highlight w:val="none"/>
                <w14:textFill>
                  <w14:solidFill>
                    <w14:schemeClr w14:val="tx1"/>
                  </w14:solidFill>
                </w14:textFill>
              </w:rPr>
              <w:t>-V</w:t>
            </w:r>
            <w:r>
              <w:rPr>
                <w:color w:val="000000" w:themeColor="text1"/>
                <w:sz w:val="24"/>
                <w:highlight w:val="none"/>
                <w:vertAlign w:val="subscript"/>
                <w14:textFill>
                  <w14:solidFill>
                    <w14:schemeClr w14:val="tx1"/>
                  </w14:solidFill>
                </w14:textFill>
              </w:rPr>
              <w:t>3</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max</w:t>
            </w:r>
            <w:r>
              <w:rPr>
                <w:rFonts w:hint="eastAsia"/>
                <w:color w:val="000000" w:themeColor="text1"/>
                <w:sz w:val="24"/>
                <w:highlight w:val="none"/>
                <w14:textFill>
                  <w14:solidFill>
                    <w14:schemeClr w14:val="tx1"/>
                  </w14:solidFill>
                </w14:textFill>
              </w:rPr>
              <w:t>是指对收集系统范围内不同罐组或装置分别计算</w:t>
            </w:r>
            <w:r>
              <w:rPr>
                <w:color w:val="000000" w:themeColor="text1"/>
                <w:sz w:val="24"/>
                <w:highlight w:val="none"/>
                <w14:textFill>
                  <w14:solidFill>
                    <w14:schemeClr w14:val="tx1"/>
                  </w14:solidFill>
                </w14:textFill>
              </w:rPr>
              <w:t>V</w:t>
            </w:r>
            <w:r>
              <w:rPr>
                <w:color w:val="000000" w:themeColor="text1"/>
                <w:sz w:val="24"/>
                <w:highlight w:val="none"/>
                <w:vertAlign w:val="subscript"/>
                <w14:textFill>
                  <w14:solidFill>
                    <w14:schemeClr w14:val="tx1"/>
                  </w14:solidFill>
                </w14:textFill>
              </w:rPr>
              <w:t>1</w:t>
            </w:r>
            <w:r>
              <w:rPr>
                <w:color w:val="000000" w:themeColor="text1"/>
                <w:sz w:val="24"/>
                <w:highlight w:val="none"/>
                <w14:textFill>
                  <w14:solidFill>
                    <w14:schemeClr w14:val="tx1"/>
                  </w14:solidFill>
                </w14:textFill>
              </w:rPr>
              <w:t>+V</w:t>
            </w:r>
            <w:r>
              <w:rPr>
                <w:color w:val="000000" w:themeColor="text1"/>
                <w:sz w:val="24"/>
                <w:highlight w:val="none"/>
                <w:vertAlign w:val="subscript"/>
                <w14:textFill>
                  <w14:solidFill>
                    <w14:schemeClr w14:val="tx1"/>
                  </w14:solidFill>
                </w14:textFill>
              </w:rPr>
              <w:t>2</w:t>
            </w:r>
            <w:r>
              <w:rPr>
                <w:color w:val="000000" w:themeColor="text1"/>
                <w:sz w:val="24"/>
                <w:highlight w:val="none"/>
                <w14:textFill>
                  <w14:solidFill>
                    <w14:schemeClr w14:val="tx1"/>
                  </w14:solidFill>
                </w14:textFill>
              </w:rPr>
              <w:t>-V</w:t>
            </w:r>
            <w:r>
              <w:rPr>
                <w:color w:val="000000" w:themeColor="text1"/>
                <w:sz w:val="24"/>
                <w:highlight w:val="none"/>
                <w:vertAlign w:val="subscript"/>
                <w14:textFill>
                  <w14:solidFill>
                    <w14:schemeClr w14:val="tx1"/>
                  </w14:solidFill>
                </w14:textFill>
              </w:rPr>
              <w:t>3</w:t>
            </w:r>
            <w:r>
              <w:rPr>
                <w:rFonts w:hint="eastAsia"/>
                <w:color w:val="000000" w:themeColor="text1"/>
                <w:sz w:val="24"/>
                <w:highlight w:val="none"/>
                <w14:textFill>
                  <w14:solidFill>
                    <w14:schemeClr w14:val="tx1"/>
                  </w14:solidFill>
                </w14:textFill>
              </w:rPr>
              <w:t>，取其中最大值；</w:t>
            </w:r>
          </w:p>
          <w:p w14:paraId="65A94177">
            <w:pPr>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V</w:t>
            </w:r>
            <w:r>
              <w:rPr>
                <w:color w:val="000000" w:themeColor="text1"/>
                <w:sz w:val="24"/>
                <w:highlight w:val="none"/>
                <w:vertAlign w:val="subscript"/>
                <w14:textFill>
                  <w14:solidFill>
                    <w14:schemeClr w14:val="tx1"/>
                  </w14:solidFill>
                </w14:textFill>
              </w:rPr>
              <w:t>1</w:t>
            </w:r>
            <w:r>
              <w:rPr>
                <w:rFonts w:hint="eastAsia"/>
                <w:color w:val="000000" w:themeColor="text1"/>
                <w:sz w:val="24"/>
                <w:highlight w:val="none"/>
                <w14:textFill>
                  <w14:solidFill>
                    <w14:schemeClr w14:val="tx1"/>
                  </w14:solidFill>
                </w14:textFill>
              </w:rPr>
              <w:t>——收集系统范围内发生事故的一个罐组或一套装置的物料量。</w:t>
            </w:r>
          </w:p>
          <w:p w14:paraId="29416D31">
            <w:pPr>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V</w:t>
            </w:r>
            <w:r>
              <w:rPr>
                <w:color w:val="000000" w:themeColor="text1"/>
                <w:sz w:val="24"/>
                <w:highlight w:val="none"/>
                <w:vertAlign w:val="subscript"/>
                <w14:textFill>
                  <w14:solidFill>
                    <w14:schemeClr w14:val="tx1"/>
                  </w14:solidFill>
                </w14:textFill>
              </w:rPr>
              <w:t>2</w:t>
            </w:r>
            <w:r>
              <w:rPr>
                <w:rFonts w:hint="eastAsia"/>
                <w:color w:val="000000" w:themeColor="text1"/>
                <w:sz w:val="24"/>
                <w:highlight w:val="none"/>
                <w14:textFill>
                  <w14:solidFill>
                    <w14:schemeClr w14:val="tx1"/>
                  </w14:solidFill>
                </w14:textFill>
              </w:rPr>
              <w:t>——发生事故的储罐或装置的消防水量，</w:t>
            </w:r>
            <w:r>
              <w:rPr>
                <w:color w:val="000000" w:themeColor="text1"/>
                <w:sz w:val="24"/>
                <w:highlight w:val="none"/>
                <w14:textFill>
                  <w14:solidFill>
                    <w14:schemeClr w14:val="tx1"/>
                  </w14:solidFill>
                </w14:textFill>
              </w:rPr>
              <w:t>m</w:t>
            </w:r>
            <w:r>
              <w:rPr>
                <w:color w:val="000000" w:themeColor="text1"/>
                <w:sz w:val="24"/>
                <w:highlight w:val="none"/>
                <w:vertAlign w:val="superscript"/>
                <w14:textFill>
                  <w14:solidFill>
                    <w14:schemeClr w14:val="tx1"/>
                  </w14:solidFill>
                </w14:textFill>
              </w:rPr>
              <w:t>3</w:t>
            </w:r>
            <w:r>
              <w:rPr>
                <w:rFonts w:hint="eastAsia"/>
                <w:color w:val="000000" w:themeColor="text1"/>
                <w:sz w:val="24"/>
                <w:highlight w:val="none"/>
                <w14:textFill>
                  <w14:solidFill>
                    <w14:schemeClr w14:val="tx1"/>
                  </w14:solidFill>
                </w14:textFill>
              </w:rPr>
              <w:t>；</w:t>
            </w:r>
          </w:p>
          <w:p w14:paraId="4E06A70C">
            <w:pPr>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V</w:t>
            </w:r>
            <w:r>
              <w:rPr>
                <w:color w:val="000000" w:themeColor="text1"/>
                <w:sz w:val="24"/>
                <w:highlight w:val="none"/>
                <w:vertAlign w:val="subscript"/>
                <w14:textFill>
                  <w14:solidFill>
                    <w14:schemeClr w14:val="tx1"/>
                  </w14:solidFill>
                </w14:textFill>
              </w:rPr>
              <w:t>3</w:t>
            </w:r>
            <w:r>
              <w:rPr>
                <w:rFonts w:hint="eastAsia"/>
                <w:color w:val="000000" w:themeColor="text1"/>
                <w:sz w:val="24"/>
                <w:highlight w:val="none"/>
                <w14:textFill>
                  <w14:solidFill>
                    <w14:schemeClr w14:val="tx1"/>
                  </w14:solidFill>
                </w14:textFill>
              </w:rPr>
              <w:t>——发生事故时可以转输到其他储存或处理设施的物料量，</w:t>
            </w:r>
            <w:r>
              <w:rPr>
                <w:color w:val="000000" w:themeColor="text1"/>
                <w:sz w:val="24"/>
                <w:highlight w:val="none"/>
                <w14:textFill>
                  <w14:solidFill>
                    <w14:schemeClr w14:val="tx1"/>
                  </w14:solidFill>
                </w14:textFill>
              </w:rPr>
              <w:t>m</w:t>
            </w:r>
            <w:r>
              <w:rPr>
                <w:color w:val="000000" w:themeColor="text1"/>
                <w:sz w:val="24"/>
                <w:highlight w:val="none"/>
                <w:vertAlign w:val="superscript"/>
                <w14:textFill>
                  <w14:solidFill>
                    <w14:schemeClr w14:val="tx1"/>
                  </w14:solidFill>
                </w14:textFill>
              </w:rPr>
              <w:t>3</w:t>
            </w:r>
            <w:r>
              <w:rPr>
                <w:rFonts w:hint="eastAsia"/>
                <w:color w:val="000000" w:themeColor="text1"/>
                <w:sz w:val="24"/>
                <w:highlight w:val="none"/>
                <w14:textFill>
                  <w14:solidFill>
                    <w14:schemeClr w14:val="tx1"/>
                  </w14:solidFill>
                </w14:textFill>
              </w:rPr>
              <w:t>；</w:t>
            </w:r>
          </w:p>
          <w:p w14:paraId="704364AD">
            <w:pPr>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V</w:t>
            </w:r>
            <w:r>
              <w:rPr>
                <w:color w:val="000000" w:themeColor="text1"/>
                <w:sz w:val="24"/>
                <w:highlight w:val="none"/>
                <w:vertAlign w:val="subscript"/>
                <w14:textFill>
                  <w14:solidFill>
                    <w14:schemeClr w14:val="tx1"/>
                  </w14:solidFill>
                </w14:textFill>
              </w:rPr>
              <w:t>4</w:t>
            </w:r>
            <w:r>
              <w:rPr>
                <w:rFonts w:hint="eastAsia"/>
                <w:color w:val="000000" w:themeColor="text1"/>
                <w:sz w:val="24"/>
                <w:highlight w:val="none"/>
                <w14:textFill>
                  <w14:solidFill>
                    <w14:schemeClr w14:val="tx1"/>
                  </w14:solidFill>
                </w14:textFill>
              </w:rPr>
              <w:t>——发生事故时仍必须进入该收集系统的生产废水量，</w:t>
            </w:r>
            <w:r>
              <w:rPr>
                <w:color w:val="000000" w:themeColor="text1"/>
                <w:sz w:val="24"/>
                <w:highlight w:val="none"/>
                <w14:textFill>
                  <w14:solidFill>
                    <w14:schemeClr w14:val="tx1"/>
                  </w14:solidFill>
                </w14:textFill>
              </w:rPr>
              <w:t>m</w:t>
            </w:r>
            <w:r>
              <w:rPr>
                <w:color w:val="000000" w:themeColor="text1"/>
                <w:sz w:val="24"/>
                <w:highlight w:val="none"/>
                <w:vertAlign w:val="superscript"/>
                <w14:textFill>
                  <w14:solidFill>
                    <w14:schemeClr w14:val="tx1"/>
                  </w14:solidFill>
                </w14:textFill>
              </w:rPr>
              <w:t>3</w:t>
            </w:r>
            <w:r>
              <w:rPr>
                <w:rFonts w:hint="eastAsia"/>
                <w:color w:val="000000" w:themeColor="text1"/>
                <w:sz w:val="24"/>
                <w:highlight w:val="none"/>
                <w14:textFill>
                  <w14:solidFill>
                    <w14:schemeClr w14:val="tx1"/>
                  </w14:solidFill>
                </w14:textFill>
              </w:rPr>
              <w:t>；</w:t>
            </w:r>
          </w:p>
          <w:p w14:paraId="647A4193">
            <w:pPr>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V</w:t>
            </w:r>
            <w:r>
              <w:rPr>
                <w:color w:val="000000" w:themeColor="text1"/>
                <w:sz w:val="24"/>
                <w:highlight w:val="none"/>
                <w:vertAlign w:val="subscript"/>
                <w14:textFill>
                  <w14:solidFill>
                    <w14:schemeClr w14:val="tx1"/>
                  </w14:solidFill>
                </w14:textFill>
              </w:rPr>
              <w:t>5</w:t>
            </w:r>
            <w:r>
              <w:rPr>
                <w:rFonts w:hint="eastAsia"/>
                <w:color w:val="000000" w:themeColor="text1"/>
                <w:sz w:val="24"/>
                <w:highlight w:val="none"/>
                <w14:textFill>
                  <w14:solidFill>
                    <w14:schemeClr w14:val="tx1"/>
                  </w14:solidFill>
                </w14:textFill>
              </w:rPr>
              <w:t>——发生事故时可能进入该收集系统的降雨量，</w:t>
            </w:r>
            <w:r>
              <w:rPr>
                <w:color w:val="000000" w:themeColor="text1"/>
                <w:sz w:val="24"/>
                <w:highlight w:val="none"/>
                <w14:textFill>
                  <w14:solidFill>
                    <w14:schemeClr w14:val="tx1"/>
                  </w14:solidFill>
                </w14:textFill>
              </w:rPr>
              <w:t>m</w:t>
            </w:r>
            <w:r>
              <w:rPr>
                <w:color w:val="000000" w:themeColor="text1"/>
                <w:sz w:val="24"/>
                <w:highlight w:val="none"/>
                <w:vertAlign w:val="superscript"/>
                <w14:textFill>
                  <w14:solidFill>
                    <w14:schemeClr w14:val="tx1"/>
                  </w14:solidFill>
                </w14:textFill>
              </w:rPr>
              <w:t>3</w:t>
            </w:r>
            <w:r>
              <w:rPr>
                <w:rFonts w:hint="eastAsia"/>
                <w:color w:val="000000" w:themeColor="text1"/>
                <w:sz w:val="24"/>
                <w:highlight w:val="none"/>
                <w14:textFill>
                  <w14:solidFill>
                    <w14:schemeClr w14:val="tx1"/>
                  </w14:solidFill>
                </w14:textFill>
              </w:rPr>
              <w:t>。</w:t>
            </w:r>
          </w:p>
          <w:p w14:paraId="413280A4">
            <w:pPr>
              <w:spacing w:line="440" w:lineRule="exact"/>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V</w:t>
            </w:r>
            <w:r>
              <w:rPr>
                <w:color w:val="000000" w:themeColor="text1"/>
                <w:sz w:val="24"/>
                <w:highlight w:val="none"/>
                <w:vertAlign w:val="subscript"/>
                <w14:textFill>
                  <w14:solidFill>
                    <w14:schemeClr w14:val="tx1"/>
                  </w14:solidFill>
                </w14:textFill>
              </w:rPr>
              <w:t>5</w:t>
            </w:r>
            <w:r>
              <w:rPr>
                <w:color w:val="000000" w:themeColor="text1"/>
                <w:sz w:val="24"/>
                <w:highlight w:val="none"/>
                <w14:textFill>
                  <w14:solidFill>
                    <w14:schemeClr w14:val="tx1"/>
                  </w14:solidFill>
                </w14:textFill>
              </w:rPr>
              <w:t>=10qF</w:t>
            </w:r>
          </w:p>
          <w:p w14:paraId="497DDE0E">
            <w:pPr>
              <w:spacing w:line="440" w:lineRule="exact"/>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q=qn/n</w:t>
            </w:r>
          </w:p>
          <w:p w14:paraId="7CBCAE0D">
            <w:pPr>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q</w:t>
            </w:r>
            <w:r>
              <w:rPr>
                <w:rFonts w:hint="eastAsia"/>
                <w:color w:val="000000" w:themeColor="text1"/>
                <w:sz w:val="24"/>
                <w:highlight w:val="none"/>
                <w14:textFill>
                  <w14:solidFill>
                    <w14:schemeClr w14:val="tx1"/>
                  </w14:solidFill>
                </w14:textFill>
              </w:rPr>
              <w:t>——降雨强度，</w:t>
            </w:r>
            <w:r>
              <w:rPr>
                <w:color w:val="000000" w:themeColor="text1"/>
                <w:sz w:val="24"/>
                <w:highlight w:val="none"/>
                <w14:textFill>
                  <w14:solidFill>
                    <w14:schemeClr w14:val="tx1"/>
                  </w14:solidFill>
                </w14:textFill>
              </w:rPr>
              <w:t>mm</w:t>
            </w:r>
            <w:r>
              <w:rPr>
                <w:rFonts w:hint="eastAsia"/>
                <w:color w:val="000000" w:themeColor="text1"/>
                <w:sz w:val="24"/>
                <w:highlight w:val="none"/>
                <w14:textFill>
                  <w14:solidFill>
                    <w14:schemeClr w14:val="tx1"/>
                  </w14:solidFill>
                </w14:textFill>
              </w:rPr>
              <w:t>；</w:t>
            </w:r>
          </w:p>
          <w:p w14:paraId="6D6E294C">
            <w:pPr>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qn</w:t>
            </w:r>
            <w:r>
              <w:rPr>
                <w:rFonts w:hint="eastAsia"/>
                <w:color w:val="000000" w:themeColor="text1"/>
                <w:sz w:val="24"/>
                <w:highlight w:val="none"/>
                <w14:textFill>
                  <w14:solidFill>
                    <w14:schemeClr w14:val="tx1"/>
                  </w14:solidFill>
                </w14:textFill>
              </w:rPr>
              <w:t>——年平均降雨量，南京市江宁区年平均降雨量为1105mm；</w:t>
            </w:r>
          </w:p>
          <w:p w14:paraId="36333D20">
            <w:pPr>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n</w:t>
            </w:r>
            <w:r>
              <w:rPr>
                <w:rFonts w:hint="eastAsia"/>
                <w:color w:val="000000" w:themeColor="text1"/>
                <w:sz w:val="24"/>
                <w:highlight w:val="none"/>
                <w14:textFill>
                  <w14:solidFill>
                    <w14:schemeClr w14:val="tx1"/>
                  </w14:solidFill>
                </w14:textFill>
              </w:rPr>
              <w:t>——年平均降雨日数，南京市年平均降雨天数为117</w:t>
            </w:r>
            <w:r>
              <w:rPr>
                <w:color w:val="000000" w:themeColor="text1"/>
                <w:sz w:val="24"/>
                <w:highlight w:val="none"/>
                <w14:textFill>
                  <w14:solidFill>
                    <w14:schemeClr w14:val="tx1"/>
                  </w14:solidFill>
                </w14:textFill>
              </w:rPr>
              <w:t>d</w:t>
            </w:r>
          </w:p>
          <w:p w14:paraId="66BCB97B">
            <w:pPr>
              <w:spacing w:line="44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F——必须进入事故废水收集系统的雨水汇水面积，ha。厂区产生较大量事故排水单元有事故排水量，取其中较大值</w:t>
            </w:r>
            <w:r>
              <w:rPr>
                <w:rFonts w:hint="eastAsia" w:cs="宋体"/>
                <w:color w:val="000000" w:themeColor="text1"/>
                <w:sz w:val="24"/>
                <w:highlight w:val="none"/>
                <w:lang w:val="en-US" w:eastAsia="zh-CN"/>
                <w14:textFill>
                  <w14:solidFill>
                    <w14:schemeClr w14:val="tx1"/>
                  </w14:solidFill>
                </w14:textFill>
              </w:rPr>
              <w:t>0.0825</w:t>
            </w:r>
            <w:r>
              <w:rPr>
                <w:rFonts w:hint="eastAsia"/>
                <w:color w:val="000000" w:themeColor="text1"/>
                <w:sz w:val="24"/>
                <w:highlight w:val="none"/>
                <w14:textFill>
                  <w14:solidFill>
                    <w14:schemeClr w14:val="tx1"/>
                  </w14:solidFill>
                </w14:textFill>
              </w:rPr>
              <w:t>ha。</w:t>
            </w:r>
          </w:p>
          <w:p w14:paraId="7124A11C">
            <w:pPr>
              <w:spacing w:line="440" w:lineRule="exact"/>
              <w:ind w:firstLine="480" w:firstLineChars="200"/>
              <w:rPr>
                <w:rFonts w:cs="宋体"/>
                <w:color w:val="000000" w:themeColor="text1"/>
                <w:sz w:val="24"/>
                <w:highlight w:val="none"/>
                <w14:textFill>
                  <w14:solidFill>
                    <w14:schemeClr w14:val="tx1"/>
                  </w14:solidFill>
                </w14:textFill>
              </w:rPr>
            </w:pPr>
            <w:r>
              <w:rPr>
                <w:rFonts w:hint="eastAsia" w:cs="宋体"/>
                <w:color w:val="000000" w:themeColor="text1"/>
                <w:sz w:val="24"/>
                <w:highlight w:val="none"/>
                <w14:textFill>
                  <w14:solidFill>
                    <w14:schemeClr w14:val="tx1"/>
                  </w14:solidFill>
                </w14:textFill>
              </w:rPr>
              <w:t>假定生产车间发生火灾。</w:t>
            </w:r>
          </w:p>
          <w:p w14:paraId="2545B1EC">
            <w:pPr>
              <w:spacing w:line="440" w:lineRule="exact"/>
              <w:ind w:firstLine="480" w:firstLineChars="200"/>
              <w:rPr>
                <w:rFonts w:cs="宋体"/>
                <w:color w:val="000000" w:themeColor="text1"/>
                <w:sz w:val="24"/>
                <w:highlight w:val="none"/>
                <w14:textFill>
                  <w14:solidFill>
                    <w14:schemeClr w14:val="tx1"/>
                  </w14:solidFill>
                </w14:textFill>
              </w:rPr>
            </w:pPr>
            <w:r>
              <w:rPr>
                <w:rFonts w:hint="eastAsia" w:cs="宋体"/>
                <w:color w:val="000000" w:themeColor="text1"/>
                <w:sz w:val="24"/>
                <w:highlight w:val="none"/>
                <w14:textFill>
                  <w14:solidFill>
                    <w14:schemeClr w14:val="tx1"/>
                  </w14:solidFill>
                </w14:textFill>
              </w:rPr>
              <w:t>V</w:t>
            </w:r>
            <w:r>
              <w:rPr>
                <w:rFonts w:hint="eastAsia" w:cs="宋体"/>
                <w:color w:val="000000" w:themeColor="text1"/>
                <w:sz w:val="24"/>
                <w:highlight w:val="none"/>
                <w:vertAlign w:val="subscript"/>
                <w14:textFill>
                  <w14:solidFill>
                    <w14:schemeClr w14:val="tx1"/>
                  </w14:solidFill>
                </w14:textFill>
              </w:rPr>
              <w:t>1</w:t>
            </w:r>
            <w:r>
              <w:rPr>
                <w:rFonts w:hint="eastAsia" w:cs="宋体"/>
                <w:color w:val="000000" w:themeColor="text1"/>
                <w:sz w:val="24"/>
                <w:highlight w:val="none"/>
                <w14:textFill>
                  <w14:solidFill>
                    <w14:schemeClr w14:val="tx1"/>
                  </w14:solidFill>
                </w14:textFill>
              </w:rPr>
              <w:t>：本项目无液体</w:t>
            </w:r>
            <w:r>
              <w:rPr>
                <w:rFonts w:hint="eastAsia" w:cs="宋体"/>
                <w:color w:val="000000" w:themeColor="text1"/>
                <w:sz w:val="24"/>
                <w:highlight w:val="none"/>
                <w:lang w:val="en-US" w:eastAsia="zh-CN"/>
                <w14:textFill>
                  <w14:solidFill>
                    <w14:schemeClr w14:val="tx1"/>
                  </w14:solidFill>
                </w14:textFill>
              </w:rPr>
              <w:t>原料</w:t>
            </w:r>
            <w:r>
              <w:rPr>
                <w:rFonts w:hint="eastAsia" w:cs="宋体"/>
                <w:color w:val="000000" w:themeColor="text1"/>
                <w:sz w:val="24"/>
                <w:highlight w:val="none"/>
                <w14:textFill>
                  <w14:solidFill>
                    <w14:schemeClr w14:val="tx1"/>
                  </w14:solidFill>
                </w14:textFill>
              </w:rPr>
              <w:t>，V</w:t>
            </w:r>
            <w:r>
              <w:rPr>
                <w:rFonts w:hint="eastAsia" w:cs="宋体"/>
                <w:color w:val="000000" w:themeColor="text1"/>
                <w:sz w:val="24"/>
                <w:highlight w:val="none"/>
                <w:vertAlign w:val="subscript"/>
                <w14:textFill>
                  <w14:solidFill>
                    <w14:schemeClr w14:val="tx1"/>
                  </w14:solidFill>
                </w14:textFill>
              </w:rPr>
              <w:t>1</w:t>
            </w:r>
            <w:r>
              <w:rPr>
                <w:rFonts w:hint="eastAsia" w:cs="宋体"/>
                <w:color w:val="000000" w:themeColor="text1"/>
                <w:sz w:val="24"/>
                <w:highlight w:val="none"/>
                <w14:textFill>
                  <w14:solidFill>
                    <w14:schemeClr w14:val="tx1"/>
                  </w14:solidFill>
                </w14:textFill>
              </w:rPr>
              <w:t>=0m</w:t>
            </w:r>
            <w:r>
              <w:rPr>
                <w:rFonts w:hint="eastAsia" w:cs="宋体"/>
                <w:color w:val="000000" w:themeColor="text1"/>
                <w:sz w:val="24"/>
                <w:highlight w:val="none"/>
                <w:vertAlign w:val="superscript"/>
                <w14:textFill>
                  <w14:solidFill>
                    <w14:schemeClr w14:val="tx1"/>
                  </w14:solidFill>
                </w14:textFill>
              </w:rPr>
              <w:t>3</w:t>
            </w:r>
            <w:r>
              <w:rPr>
                <w:rFonts w:hint="eastAsia" w:cs="宋体"/>
                <w:color w:val="000000" w:themeColor="text1"/>
                <w:sz w:val="24"/>
                <w:highlight w:val="none"/>
                <w14:textFill>
                  <w14:solidFill>
                    <w14:schemeClr w14:val="tx1"/>
                  </w14:solidFill>
                </w14:textFill>
              </w:rPr>
              <w:t>；</w:t>
            </w:r>
          </w:p>
          <w:p w14:paraId="7DC78339">
            <w:pPr>
              <w:spacing w:line="440" w:lineRule="exact"/>
              <w:ind w:firstLine="480" w:firstLineChars="200"/>
              <w:rPr>
                <w:rFonts w:cs="宋体"/>
                <w:color w:val="000000" w:themeColor="text1"/>
                <w:sz w:val="24"/>
                <w:highlight w:val="none"/>
                <w14:textFill>
                  <w14:solidFill>
                    <w14:schemeClr w14:val="tx1"/>
                  </w14:solidFill>
                </w14:textFill>
              </w:rPr>
            </w:pPr>
            <w:r>
              <w:rPr>
                <w:rFonts w:hint="eastAsia" w:cs="宋体"/>
                <w:color w:val="000000" w:themeColor="text1"/>
                <w:sz w:val="24"/>
                <w:highlight w:val="none"/>
                <w14:textFill>
                  <w14:solidFill>
                    <w14:schemeClr w14:val="tx1"/>
                  </w14:solidFill>
                </w14:textFill>
              </w:rPr>
              <w:t>V</w:t>
            </w:r>
            <w:r>
              <w:rPr>
                <w:rFonts w:hint="eastAsia" w:cs="宋体"/>
                <w:color w:val="000000" w:themeColor="text1"/>
                <w:sz w:val="24"/>
                <w:highlight w:val="none"/>
                <w:vertAlign w:val="subscript"/>
                <w14:textFill>
                  <w14:solidFill>
                    <w14:schemeClr w14:val="tx1"/>
                  </w14:solidFill>
                </w14:textFill>
              </w:rPr>
              <w:t>2</w:t>
            </w:r>
            <w:r>
              <w:rPr>
                <w:rFonts w:hint="eastAsia" w:cs="宋体"/>
                <w:color w:val="000000" w:themeColor="text1"/>
                <w:sz w:val="24"/>
                <w:highlight w:val="none"/>
                <w14:textFill>
                  <w14:solidFill>
                    <w14:schemeClr w14:val="tx1"/>
                  </w14:solidFill>
                </w14:textFill>
              </w:rPr>
              <w:t>：根据《消防给水及消火栓系统技术规范》（GB50974-2014），甲、乙、丙类厂房、仓库火灾延续时间为3h，丁、戊类厂房、仓库火灾延续时间为2h。事故状态下消防用水量约为20L/s，本项目厂房为丁类厂房，火灾持续时间按</w:t>
            </w:r>
            <w:r>
              <w:rPr>
                <w:rFonts w:hint="eastAsia" w:cs="宋体"/>
                <w:color w:val="000000" w:themeColor="text1"/>
                <w:sz w:val="24"/>
                <w:highlight w:val="none"/>
                <w:lang w:val="en-US" w:eastAsia="zh-CN"/>
                <w14:textFill>
                  <w14:solidFill>
                    <w14:schemeClr w14:val="tx1"/>
                  </w14:solidFill>
                </w14:textFill>
              </w:rPr>
              <w:t>2</w:t>
            </w:r>
            <w:r>
              <w:rPr>
                <w:rFonts w:hint="eastAsia" w:cs="宋体"/>
                <w:color w:val="000000" w:themeColor="text1"/>
                <w:sz w:val="24"/>
                <w:highlight w:val="none"/>
                <w14:textFill>
                  <w14:solidFill>
                    <w14:schemeClr w14:val="tx1"/>
                  </w14:solidFill>
                </w14:textFill>
              </w:rPr>
              <w:t>h计，则最大消防用水量约</w:t>
            </w:r>
            <w:r>
              <w:rPr>
                <w:rFonts w:hint="eastAsia" w:cs="宋体"/>
                <w:color w:val="000000" w:themeColor="text1"/>
                <w:sz w:val="24"/>
                <w:highlight w:val="none"/>
                <w:lang w:val="en-US" w:eastAsia="zh-CN"/>
                <w14:textFill>
                  <w14:solidFill>
                    <w14:schemeClr w14:val="tx1"/>
                  </w14:solidFill>
                </w14:textFill>
              </w:rPr>
              <w:t>144</w:t>
            </w:r>
            <w:r>
              <w:rPr>
                <w:rFonts w:hint="eastAsia" w:cs="宋体"/>
                <w:color w:val="000000" w:themeColor="text1"/>
                <w:sz w:val="24"/>
                <w:highlight w:val="none"/>
                <w14:textFill>
                  <w14:solidFill>
                    <w14:schemeClr w14:val="tx1"/>
                  </w14:solidFill>
                </w14:textFill>
              </w:rPr>
              <w:t>m</w:t>
            </w:r>
            <w:r>
              <w:rPr>
                <w:rFonts w:hint="eastAsia" w:cs="宋体"/>
                <w:color w:val="000000" w:themeColor="text1"/>
                <w:sz w:val="24"/>
                <w:highlight w:val="none"/>
                <w:vertAlign w:val="superscript"/>
                <w14:textFill>
                  <w14:solidFill>
                    <w14:schemeClr w14:val="tx1"/>
                  </w14:solidFill>
                </w14:textFill>
              </w:rPr>
              <w:t>3</w:t>
            </w:r>
            <w:r>
              <w:rPr>
                <w:rFonts w:hint="eastAsia" w:cs="宋体"/>
                <w:color w:val="000000" w:themeColor="text1"/>
                <w:sz w:val="24"/>
                <w:highlight w:val="none"/>
                <w14:textFill>
                  <w14:solidFill>
                    <w14:schemeClr w14:val="tx1"/>
                  </w14:solidFill>
                </w14:textFill>
              </w:rPr>
              <w:t>；</w:t>
            </w:r>
          </w:p>
          <w:p w14:paraId="6A020F66">
            <w:pPr>
              <w:spacing w:line="440" w:lineRule="exact"/>
              <w:ind w:firstLine="480" w:firstLineChars="200"/>
              <w:rPr>
                <w:rFonts w:cs="宋体"/>
                <w:color w:val="000000" w:themeColor="text1"/>
                <w:sz w:val="24"/>
                <w:highlight w:val="none"/>
                <w14:textFill>
                  <w14:solidFill>
                    <w14:schemeClr w14:val="tx1"/>
                  </w14:solidFill>
                </w14:textFill>
              </w:rPr>
            </w:pPr>
            <w:r>
              <w:rPr>
                <w:rFonts w:hint="eastAsia" w:cs="宋体"/>
                <w:color w:val="000000" w:themeColor="text1"/>
                <w:sz w:val="24"/>
                <w:highlight w:val="none"/>
                <w14:textFill>
                  <w14:solidFill>
                    <w14:schemeClr w14:val="tx1"/>
                  </w14:solidFill>
                </w14:textFill>
              </w:rPr>
              <w:t>V</w:t>
            </w:r>
            <w:r>
              <w:rPr>
                <w:rFonts w:hint="eastAsia" w:cs="宋体"/>
                <w:color w:val="000000" w:themeColor="text1"/>
                <w:sz w:val="24"/>
                <w:highlight w:val="none"/>
                <w:vertAlign w:val="subscript"/>
                <w14:textFill>
                  <w14:solidFill>
                    <w14:schemeClr w14:val="tx1"/>
                  </w14:solidFill>
                </w14:textFill>
              </w:rPr>
              <w:t>3</w:t>
            </w:r>
            <w:r>
              <w:rPr>
                <w:rFonts w:hint="eastAsia" w:cs="宋体"/>
                <w:color w:val="000000" w:themeColor="text1"/>
                <w:sz w:val="24"/>
                <w:highlight w:val="none"/>
                <w14:textFill>
                  <w14:solidFill>
                    <w14:schemeClr w14:val="tx1"/>
                  </w14:solidFill>
                </w14:textFill>
              </w:rPr>
              <w:t>：</w:t>
            </w:r>
            <w:r>
              <w:rPr>
                <w:rFonts w:hint="eastAsia" w:cs="宋体"/>
                <w:color w:val="000000" w:themeColor="text1"/>
                <w:sz w:val="24"/>
                <w:highlight w:val="none"/>
                <w:lang w:val="en-US" w:eastAsia="zh-CN"/>
                <w14:textFill>
                  <w14:solidFill>
                    <w14:schemeClr w14:val="tx1"/>
                  </w14:solidFill>
                </w14:textFill>
              </w:rPr>
              <w:t>本项目不考虑</w:t>
            </w:r>
            <w:r>
              <w:rPr>
                <w:rFonts w:hint="eastAsia" w:cs="宋体"/>
                <w:color w:val="000000" w:themeColor="text1"/>
                <w:sz w:val="24"/>
                <w:highlight w:val="none"/>
                <w14:textFill>
                  <w14:solidFill>
                    <w14:schemeClr w14:val="tx1"/>
                  </w14:solidFill>
                </w14:textFill>
              </w:rPr>
              <w:t>，V</w:t>
            </w:r>
            <w:r>
              <w:rPr>
                <w:rFonts w:hint="eastAsia" w:cs="宋体"/>
                <w:color w:val="000000" w:themeColor="text1"/>
                <w:sz w:val="24"/>
                <w:highlight w:val="none"/>
                <w:vertAlign w:val="subscript"/>
                <w14:textFill>
                  <w14:solidFill>
                    <w14:schemeClr w14:val="tx1"/>
                  </w14:solidFill>
                </w14:textFill>
              </w:rPr>
              <w:t>3</w:t>
            </w:r>
            <w:r>
              <w:rPr>
                <w:rFonts w:hint="eastAsia" w:cs="宋体"/>
                <w:color w:val="000000" w:themeColor="text1"/>
                <w:sz w:val="24"/>
                <w:highlight w:val="none"/>
                <w14:textFill>
                  <w14:solidFill>
                    <w14:schemeClr w14:val="tx1"/>
                  </w14:solidFill>
                </w14:textFill>
              </w:rPr>
              <w:t>=</w:t>
            </w:r>
            <w:r>
              <w:rPr>
                <w:rFonts w:hint="eastAsia" w:cs="宋体"/>
                <w:color w:val="000000" w:themeColor="text1"/>
                <w:sz w:val="24"/>
                <w:highlight w:val="none"/>
                <w:lang w:val="en-US" w:eastAsia="zh-CN"/>
                <w14:textFill>
                  <w14:solidFill>
                    <w14:schemeClr w14:val="tx1"/>
                  </w14:solidFill>
                </w14:textFill>
              </w:rPr>
              <w:t>0</w:t>
            </w:r>
            <w:r>
              <w:rPr>
                <w:rFonts w:hint="eastAsia" w:cs="宋体"/>
                <w:color w:val="000000" w:themeColor="text1"/>
                <w:sz w:val="24"/>
                <w:highlight w:val="none"/>
                <w14:textFill>
                  <w14:solidFill>
                    <w14:schemeClr w14:val="tx1"/>
                  </w14:solidFill>
                </w14:textFill>
              </w:rPr>
              <w:t>m</w:t>
            </w:r>
            <w:r>
              <w:rPr>
                <w:rFonts w:hint="eastAsia" w:cs="宋体"/>
                <w:color w:val="000000" w:themeColor="text1"/>
                <w:sz w:val="24"/>
                <w:highlight w:val="none"/>
                <w:vertAlign w:val="superscript"/>
                <w14:textFill>
                  <w14:solidFill>
                    <w14:schemeClr w14:val="tx1"/>
                  </w14:solidFill>
                </w14:textFill>
              </w:rPr>
              <w:t>3</w:t>
            </w:r>
            <w:r>
              <w:rPr>
                <w:rFonts w:hint="eastAsia" w:cs="宋体"/>
                <w:color w:val="000000" w:themeColor="text1"/>
                <w:sz w:val="24"/>
                <w:highlight w:val="none"/>
                <w14:textFill>
                  <w14:solidFill>
                    <w14:schemeClr w14:val="tx1"/>
                  </w14:solidFill>
                </w14:textFill>
              </w:rPr>
              <w:t>；</w:t>
            </w:r>
          </w:p>
          <w:p w14:paraId="6C15B942">
            <w:pPr>
              <w:spacing w:line="440" w:lineRule="exact"/>
              <w:ind w:firstLine="480" w:firstLineChars="200"/>
              <w:rPr>
                <w:rFonts w:cs="宋体"/>
                <w:color w:val="000000" w:themeColor="text1"/>
                <w:sz w:val="24"/>
                <w:highlight w:val="none"/>
                <w14:textFill>
                  <w14:solidFill>
                    <w14:schemeClr w14:val="tx1"/>
                  </w14:solidFill>
                </w14:textFill>
              </w:rPr>
            </w:pPr>
            <w:r>
              <w:rPr>
                <w:rFonts w:hint="eastAsia" w:cs="宋体"/>
                <w:color w:val="000000" w:themeColor="text1"/>
                <w:sz w:val="24"/>
                <w:highlight w:val="none"/>
                <w14:textFill>
                  <w14:solidFill>
                    <w14:schemeClr w14:val="tx1"/>
                  </w14:solidFill>
                </w14:textFill>
              </w:rPr>
              <w:t>V</w:t>
            </w:r>
            <w:r>
              <w:rPr>
                <w:rFonts w:hint="eastAsia" w:cs="宋体"/>
                <w:color w:val="000000" w:themeColor="text1"/>
                <w:sz w:val="24"/>
                <w:highlight w:val="none"/>
                <w:vertAlign w:val="subscript"/>
                <w14:textFill>
                  <w14:solidFill>
                    <w14:schemeClr w14:val="tx1"/>
                  </w14:solidFill>
                </w14:textFill>
              </w:rPr>
              <w:t>4</w:t>
            </w:r>
            <w:r>
              <w:rPr>
                <w:rFonts w:hint="eastAsia" w:cs="宋体"/>
                <w:color w:val="000000" w:themeColor="text1"/>
                <w:sz w:val="24"/>
                <w:highlight w:val="none"/>
                <w14:textFill>
                  <w14:solidFill>
                    <w14:schemeClr w14:val="tx1"/>
                  </w14:solidFill>
                </w14:textFill>
              </w:rPr>
              <w:t>：</w:t>
            </w:r>
            <w:r>
              <w:rPr>
                <w:rFonts w:hint="eastAsia" w:cs="宋体"/>
                <w:color w:val="000000" w:themeColor="text1"/>
                <w:sz w:val="24"/>
                <w:highlight w:val="none"/>
                <w:lang w:val="en-US" w:eastAsia="zh-CN"/>
                <w14:textFill>
                  <w14:solidFill>
                    <w14:schemeClr w14:val="tx1"/>
                  </w14:solidFill>
                </w14:textFill>
              </w:rPr>
              <w:t>本项目不考虑</w:t>
            </w:r>
            <w:r>
              <w:rPr>
                <w:rFonts w:hint="eastAsia" w:cs="宋体"/>
                <w:color w:val="000000" w:themeColor="text1"/>
                <w:sz w:val="24"/>
                <w:highlight w:val="none"/>
                <w14:textFill>
                  <w14:solidFill>
                    <w14:schemeClr w14:val="tx1"/>
                  </w14:solidFill>
                </w14:textFill>
              </w:rPr>
              <w:t>，V</w:t>
            </w:r>
            <w:r>
              <w:rPr>
                <w:rFonts w:hint="eastAsia" w:cs="宋体"/>
                <w:color w:val="000000" w:themeColor="text1"/>
                <w:sz w:val="24"/>
                <w:highlight w:val="none"/>
                <w:vertAlign w:val="subscript"/>
                <w14:textFill>
                  <w14:solidFill>
                    <w14:schemeClr w14:val="tx1"/>
                  </w14:solidFill>
                </w14:textFill>
              </w:rPr>
              <w:t>4</w:t>
            </w:r>
            <w:r>
              <w:rPr>
                <w:rFonts w:hint="eastAsia" w:cs="宋体"/>
                <w:color w:val="000000" w:themeColor="text1"/>
                <w:sz w:val="24"/>
                <w:highlight w:val="none"/>
                <w14:textFill>
                  <w14:solidFill>
                    <w14:schemeClr w14:val="tx1"/>
                  </w14:solidFill>
                </w14:textFill>
              </w:rPr>
              <w:t>=0m</w:t>
            </w:r>
            <w:r>
              <w:rPr>
                <w:rFonts w:hint="eastAsia" w:cs="宋体"/>
                <w:color w:val="000000" w:themeColor="text1"/>
                <w:sz w:val="24"/>
                <w:highlight w:val="none"/>
                <w:vertAlign w:val="superscript"/>
                <w14:textFill>
                  <w14:solidFill>
                    <w14:schemeClr w14:val="tx1"/>
                  </w14:solidFill>
                </w14:textFill>
              </w:rPr>
              <w:t>3</w:t>
            </w:r>
            <w:r>
              <w:rPr>
                <w:rFonts w:hint="eastAsia" w:cs="宋体"/>
                <w:color w:val="000000" w:themeColor="text1"/>
                <w:sz w:val="24"/>
                <w:highlight w:val="none"/>
                <w14:textFill>
                  <w14:solidFill>
                    <w14:schemeClr w14:val="tx1"/>
                  </w14:solidFill>
                </w14:textFill>
              </w:rPr>
              <w:t>；</w:t>
            </w:r>
          </w:p>
          <w:p w14:paraId="187106D3">
            <w:pPr>
              <w:spacing w:line="440" w:lineRule="exact"/>
              <w:ind w:firstLine="480" w:firstLineChars="200"/>
              <w:rPr>
                <w:rFonts w:cs="宋体"/>
                <w:color w:val="000000" w:themeColor="text1"/>
                <w:sz w:val="24"/>
                <w:highlight w:val="none"/>
                <w14:textFill>
                  <w14:solidFill>
                    <w14:schemeClr w14:val="tx1"/>
                  </w14:solidFill>
                </w14:textFill>
              </w:rPr>
            </w:pPr>
            <w:r>
              <w:rPr>
                <w:rFonts w:hint="eastAsia" w:cs="宋体"/>
                <w:color w:val="000000" w:themeColor="text1"/>
                <w:sz w:val="24"/>
                <w:highlight w:val="none"/>
                <w14:textFill>
                  <w14:solidFill>
                    <w14:schemeClr w14:val="tx1"/>
                  </w14:solidFill>
                </w14:textFill>
              </w:rPr>
              <w:t>V</w:t>
            </w:r>
            <w:r>
              <w:rPr>
                <w:rFonts w:hint="eastAsia" w:cs="宋体"/>
                <w:color w:val="000000" w:themeColor="text1"/>
                <w:sz w:val="24"/>
                <w:highlight w:val="none"/>
                <w:vertAlign w:val="subscript"/>
                <w14:textFill>
                  <w14:solidFill>
                    <w14:schemeClr w14:val="tx1"/>
                  </w14:solidFill>
                </w14:textFill>
              </w:rPr>
              <w:t>5</w:t>
            </w:r>
            <w:r>
              <w:rPr>
                <w:rFonts w:hint="eastAsia" w:cs="宋体"/>
                <w:color w:val="000000" w:themeColor="text1"/>
                <w:sz w:val="24"/>
                <w:highlight w:val="none"/>
                <w14:textFill>
                  <w14:solidFill>
                    <w14:schemeClr w14:val="tx1"/>
                  </w14:solidFill>
                </w14:textFill>
              </w:rPr>
              <w:t>=10*9.4*</w:t>
            </w:r>
            <w:r>
              <w:rPr>
                <w:rFonts w:hint="eastAsia" w:cs="宋体"/>
                <w:color w:val="000000" w:themeColor="text1"/>
                <w:sz w:val="24"/>
                <w:highlight w:val="none"/>
                <w:lang w:val="en-US" w:eastAsia="zh-CN"/>
                <w14:textFill>
                  <w14:solidFill>
                    <w14:schemeClr w14:val="tx1"/>
                  </w14:solidFill>
                </w14:textFill>
              </w:rPr>
              <w:t>0.0825</w:t>
            </w:r>
            <w:r>
              <w:rPr>
                <w:rFonts w:hint="eastAsia" w:cs="宋体"/>
                <w:color w:val="000000" w:themeColor="text1"/>
                <w:sz w:val="24"/>
                <w:highlight w:val="none"/>
                <w14:textFill>
                  <w14:solidFill>
                    <w14:schemeClr w14:val="tx1"/>
                  </w14:solidFill>
                </w14:textFill>
              </w:rPr>
              <w:t>=</w:t>
            </w:r>
            <w:r>
              <w:rPr>
                <w:rFonts w:hint="eastAsia" w:cs="宋体"/>
                <w:color w:val="000000" w:themeColor="text1"/>
                <w:sz w:val="24"/>
                <w:highlight w:val="none"/>
                <w:lang w:val="en-US" w:eastAsia="zh-CN"/>
                <w14:textFill>
                  <w14:solidFill>
                    <w14:schemeClr w14:val="tx1"/>
                  </w14:solidFill>
                </w14:textFill>
              </w:rPr>
              <w:t>8</w:t>
            </w:r>
            <w:r>
              <w:rPr>
                <w:rFonts w:hint="eastAsia" w:cs="宋体"/>
                <w:color w:val="000000" w:themeColor="text1"/>
                <w:sz w:val="24"/>
                <w:highlight w:val="none"/>
                <w14:textFill>
                  <w14:solidFill>
                    <w14:schemeClr w14:val="tx1"/>
                  </w14:solidFill>
                </w14:textFill>
              </w:rPr>
              <w:t>m</w:t>
            </w:r>
            <w:r>
              <w:rPr>
                <w:rFonts w:hint="eastAsia" w:cs="宋体"/>
                <w:color w:val="000000" w:themeColor="text1"/>
                <w:sz w:val="24"/>
                <w:highlight w:val="none"/>
                <w:vertAlign w:val="superscript"/>
                <w14:textFill>
                  <w14:solidFill>
                    <w14:schemeClr w14:val="tx1"/>
                  </w14:solidFill>
                </w14:textFill>
              </w:rPr>
              <w:t>3</w:t>
            </w:r>
            <w:r>
              <w:rPr>
                <w:rFonts w:hint="eastAsia" w:cs="宋体"/>
                <w:color w:val="000000" w:themeColor="text1"/>
                <w:sz w:val="24"/>
                <w:highlight w:val="none"/>
                <w14:textFill>
                  <w14:solidFill>
                    <w14:schemeClr w14:val="tx1"/>
                  </w14:solidFill>
                </w14:textFill>
              </w:rPr>
              <w:t>；</w:t>
            </w:r>
          </w:p>
          <w:p w14:paraId="152A95A2">
            <w:pPr>
              <w:adjustRightInd w:val="0"/>
              <w:snapToGrid w:val="0"/>
              <w:spacing w:line="460" w:lineRule="exact"/>
              <w:ind w:firstLine="480" w:firstLineChars="200"/>
              <w:rPr>
                <w:rFonts w:hint="eastAsia"/>
                <w:color w:val="000000" w:themeColor="text1"/>
                <w:sz w:val="24"/>
                <w:highlight w:val="none"/>
                <w14:textFill>
                  <w14:solidFill>
                    <w14:schemeClr w14:val="tx1"/>
                  </w14:solidFill>
                </w14:textFill>
              </w:rPr>
            </w:pPr>
            <w:r>
              <w:rPr>
                <w:rFonts w:hint="eastAsia" w:cs="宋体"/>
                <w:color w:val="000000" w:themeColor="text1"/>
                <w:sz w:val="24"/>
                <w:highlight w:val="none"/>
                <w14:textFill>
                  <w14:solidFill>
                    <w14:schemeClr w14:val="tx1"/>
                  </w14:solidFill>
                </w14:textFill>
              </w:rPr>
              <w:t>V</w:t>
            </w:r>
            <w:r>
              <w:rPr>
                <w:rFonts w:hint="eastAsia" w:cs="宋体"/>
                <w:color w:val="000000" w:themeColor="text1"/>
                <w:sz w:val="24"/>
                <w:highlight w:val="none"/>
                <w:vertAlign w:val="subscript"/>
                <w14:textFill>
                  <w14:solidFill>
                    <w14:schemeClr w14:val="tx1"/>
                  </w14:solidFill>
                </w14:textFill>
              </w:rPr>
              <w:t>总</w:t>
            </w:r>
            <w:r>
              <w:rPr>
                <w:rFonts w:hint="eastAsia" w:cs="宋体"/>
                <w:color w:val="000000" w:themeColor="text1"/>
                <w:sz w:val="24"/>
                <w:highlight w:val="none"/>
                <w14:textFill>
                  <w14:solidFill>
                    <w14:schemeClr w14:val="tx1"/>
                  </w14:solidFill>
                </w14:textFill>
              </w:rPr>
              <w:t>=（</w:t>
            </w:r>
            <w:r>
              <w:rPr>
                <w:rFonts w:hint="eastAsia" w:cs="宋体"/>
                <w:color w:val="000000" w:themeColor="text1"/>
                <w:sz w:val="24"/>
                <w:highlight w:val="none"/>
                <w:lang w:val="en-US" w:eastAsia="zh-CN"/>
                <w14:textFill>
                  <w14:solidFill>
                    <w14:schemeClr w14:val="tx1"/>
                  </w14:solidFill>
                </w14:textFill>
              </w:rPr>
              <w:t>0</w:t>
            </w:r>
            <w:r>
              <w:rPr>
                <w:rFonts w:hint="eastAsia" w:cs="宋体"/>
                <w:color w:val="000000" w:themeColor="text1"/>
                <w:sz w:val="24"/>
                <w:highlight w:val="none"/>
                <w14:textFill>
                  <w14:solidFill>
                    <w14:schemeClr w14:val="tx1"/>
                  </w14:solidFill>
                </w14:textFill>
              </w:rPr>
              <w:t>+</w:t>
            </w:r>
            <w:r>
              <w:rPr>
                <w:rFonts w:hint="eastAsia" w:cs="宋体"/>
                <w:color w:val="000000" w:themeColor="text1"/>
                <w:sz w:val="24"/>
                <w:highlight w:val="none"/>
                <w:lang w:val="en-US" w:eastAsia="zh-CN"/>
                <w14:textFill>
                  <w14:solidFill>
                    <w14:schemeClr w14:val="tx1"/>
                  </w14:solidFill>
                </w14:textFill>
              </w:rPr>
              <w:t>144</w:t>
            </w:r>
            <w:r>
              <w:rPr>
                <w:rFonts w:hint="eastAsia" w:cs="宋体"/>
                <w:color w:val="000000" w:themeColor="text1"/>
                <w:sz w:val="24"/>
                <w:highlight w:val="none"/>
                <w14:textFill>
                  <w14:solidFill>
                    <w14:schemeClr w14:val="tx1"/>
                  </w14:solidFill>
                </w14:textFill>
              </w:rPr>
              <w:t>-</w:t>
            </w:r>
            <w:r>
              <w:rPr>
                <w:rFonts w:hint="eastAsia" w:cs="宋体"/>
                <w:color w:val="000000" w:themeColor="text1"/>
                <w:sz w:val="24"/>
                <w:highlight w:val="none"/>
                <w:lang w:val="en-US" w:eastAsia="zh-CN"/>
                <w14:textFill>
                  <w14:solidFill>
                    <w14:schemeClr w14:val="tx1"/>
                  </w14:solidFill>
                </w14:textFill>
              </w:rPr>
              <w:t>0</w:t>
            </w:r>
            <w:r>
              <w:rPr>
                <w:rFonts w:hint="eastAsia" w:cs="宋体"/>
                <w:color w:val="000000" w:themeColor="text1"/>
                <w:sz w:val="24"/>
                <w:highlight w:val="none"/>
                <w14:textFill>
                  <w14:solidFill>
                    <w14:schemeClr w14:val="tx1"/>
                  </w14:solidFill>
                </w14:textFill>
              </w:rPr>
              <w:t>）+0+</w:t>
            </w:r>
            <w:r>
              <w:rPr>
                <w:rFonts w:hint="eastAsia" w:cs="宋体"/>
                <w:color w:val="000000" w:themeColor="text1"/>
                <w:sz w:val="24"/>
                <w:highlight w:val="none"/>
                <w:lang w:val="en-US" w:eastAsia="zh-CN"/>
                <w14:textFill>
                  <w14:solidFill>
                    <w14:schemeClr w14:val="tx1"/>
                  </w14:solidFill>
                </w14:textFill>
              </w:rPr>
              <w:t>8</w:t>
            </w:r>
            <w:r>
              <w:rPr>
                <w:rFonts w:hint="eastAsia" w:cs="宋体"/>
                <w:color w:val="000000" w:themeColor="text1"/>
                <w:sz w:val="24"/>
                <w:highlight w:val="none"/>
                <w14:textFill>
                  <w14:solidFill>
                    <w14:schemeClr w14:val="tx1"/>
                  </w14:solidFill>
                </w14:textFill>
              </w:rPr>
              <w:t>=</w:t>
            </w:r>
            <w:r>
              <w:rPr>
                <w:rFonts w:hint="eastAsia" w:cs="宋体"/>
                <w:color w:val="000000" w:themeColor="text1"/>
                <w:sz w:val="24"/>
                <w:highlight w:val="none"/>
                <w:lang w:val="en-US" w:eastAsia="zh-CN"/>
                <w14:textFill>
                  <w14:solidFill>
                    <w14:schemeClr w14:val="tx1"/>
                  </w14:solidFill>
                </w14:textFill>
              </w:rPr>
              <w:t>152</w:t>
            </w:r>
            <w:r>
              <w:rPr>
                <w:rFonts w:hint="eastAsia" w:cs="宋体"/>
                <w:color w:val="000000" w:themeColor="text1"/>
                <w:sz w:val="24"/>
                <w:highlight w:val="none"/>
                <w14:textFill>
                  <w14:solidFill>
                    <w14:schemeClr w14:val="tx1"/>
                  </w14:solidFill>
                </w14:textFill>
              </w:rPr>
              <w:t>m</w:t>
            </w:r>
            <w:r>
              <w:rPr>
                <w:rFonts w:hint="eastAsia" w:cs="宋体"/>
                <w:color w:val="000000" w:themeColor="text1"/>
                <w:sz w:val="24"/>
                <w:highlight w:val="none"/>
                <w:vertAlign w:val="superscript"/>
                <w14:textFill>
                  <w14:solidFill>
                    <w14:schemeClr w14:val="tx1"/>
                  </w14:solidFill>
                </w14:textFill>
              </w:rPr>
              <w:t>3</w:t>
            </w:r>
            <w:r>
              <w:rPr>
                <w:rFonts w:hint="eastAsia"/>
                <w:color w:val="000000" w:themeColor="text1"/>
                <w:sz w:val="24"/>
                <w:highlight w:val="none"/>
                <w14:textFill>
                  <w14:solidFill>
                    <w14:schemeClr w14:val="tx1"/>
                  </w14:solidFill>
                </w14:textFill>
              </w:rPr>
              <w:t>。</w:t>
            </w:r>
          </w:p>
          <w:p w14:paraId="1C805655">
            <w:pPr>
              <w:pStyle w:val="104"/>
              <w:spacing w:line="440" w:lineRule="exact"/>
              <w:ind w:firstLine="480" w:firstLineChars="200"/>
              <w:rPr>
                <w:rFonts w:hint="default" w:ascii="Times New Roman" w:hAnsi="Times New Roman" w:cs="Times New Roman"/>
                <w:bCs/>
                <w:i w:val="0"/>
                <w:iCs w:val="0"/>
                <w:color w:val="000000" w:themeColor="text1"/>
                <w:sz w:val="24"/>
                <w:highlight w:val="none"/>
                <w:lang w:val="en-US"/>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由于企业租赁现有厂房，</w:t>
            </w:r>
            <w:r>
              <w:rPr>
                <w:rFonts w:hint="eastAsia" w:cs="Times New Roman"/>
                <w:color w:val="000000" w:themeColor="text1"/>
                <w:sz w:val="24"/>
                <w:highlight w:val="none"/>
                <w:lang w:val="en-US" w:eastAsia="zh-CN"/>
                <w14:textFill>
                  <w14:solidFill>
                    <w14:schemeClr w14:val="tx1"/>
                  </w14:solidFill>
                </w14:textFill>
              </w:rPr>
              <w:t>厂</w:t>
            </w:r>
            <w:r>
              <w:rPr>
                <w:rFonts w:hint="default" w:ascii="Times New Roman" w:hAnsi="Times New Roman" w:cs="Times New Roman"/>
                <w:i w:val="0"/>
                <w:iCs w:val="0"/>
                <w:color w:val="000000" w:themeColor="text1"/>
                <w:sz w:val="24"/>
                <w:highlight w:val="none"/>
                <w:lang w:val="en-US" w:eastAsia="zh-CN"/>
                <w14:textFill>
                  <w14:solidFill>
                    <w14:schemeClr w14:val="tx1"/>
                  </w14:solidFill>
                </w14:textFill>
              </w:rPr>
              <w:t>区</w:t>
            </w:r>
            <w:r>
              <w:rPr>
                <w:rFonts w:hint="default" w:ascii="Times New Roman" w:hAnsi="Times New Roman" w:eastAsia="宋体" w:cs="Times New Roman"/>
                <w:i w:val="0"/>
                <w:iCs w:val="0"/>
                <w:color w:val="000000" w:themeColor="text1"/>
                <w:sz w:val="24"/>
                <w:highlight w:val="none"/>
                <w:lang w:val="en-US" w:eastAsia="zh-CN"/>
                <w14:textFill>
                  <w14:solidFill>
                    <w14:schemeClr w14:val="tx1"/>
                  </w14:solidFill>
                </w14:textFill>
              </w:rPr>
              <w:t>现有1个</w:t>
            </w:r>
            <w:r>
              <w:rPr>
                <w:rFonts w:hint="default" w:ascii="Times New Roman" w:hAnsi="Times New Roman" w:cs="Times New Roman"/>
                <w:i w:val="0"/>
                <w:iCs w:val="0"/>
                <w:color w:val="000000" w:themeColor="text1"/>
                <w:sz w:val="24"/>
                <w:highlight w:val="none"/>
                <w:lang w:val="en-US" w:eastAsia="zh-CN"/>
                <w14:textFill>
                  <w14:solidFill>
                    <w14:schemeClr w14:val="tx1"/>
                  </w14:solidFill>
                </w14:textFill>
              </w:rPr>
              <w:t>20</w:t>
            </w:r>
            <w:r>
              <w:rPr>
                <w:rFonts w:hint="default" w:ascii="Times New Roman" w:hAnsi="Times New Roman" w:eastAsia="宋体" w:cs="Times New Roman"/>
                <w:i w:val="0"/>
                <w:iCs w:val="0"/>
                <w:color w:val="000000" w:themeColor="text1"/>
                <w:sz w:val="24"/>
                <w:highlight w:val="none"/>
                <w:lang w:val="en-US" w:eastAsia="zh-CN"/>
                <w14:textFill>
                  <w14:solidFill>
                    <w14:schemeClr w14:val="tx1"/>
                  </w14:solidFill>
                </w14:textFill>
              </w:rPr>
              <w:t>0m</w:t>
            </w:r>
            <w:r>
              <w:rPr>
                <w:rFonts w:hint="default" w:ascii="Times New Roman" w:hAnsi="Times New Roman" w:eastAsia="宋体" w:cs="Times New Roman"/>
                <w:i w:val="0"/>
                <w:iCs w:val="0"/>
                <w:color w:val="000000" w:themeColor="text1"/>
                <w:sz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i w:val="0"/>
                <w:iCs w:val="0"/>
                <w:color w:val="000000" w:themeColor="text1"/>
                <w:sz w:val="24"/>
                <w:highlight w:val="none"/>
                <w:lang w:val="en-US" w:eastAsia="zh-CN"/>
                <w14:textFill>
                  <w14:solidFill>
                    <w14:schemeClr w14:val="tx1"/>
                  </w14:solidFill>
                </w14:textFill>
              </w:rPr>
              <w:t>的</w:t>
            </w:r>
            <w:r>
              <w:rPr>
                <w:rFonts w:hint="default" w:ascii="Times New Roman" w:hAnsi="Times New Roman" w:cs="Times New Roman"/>
                <w:i w:val="0"/>
                <w:iCs w:val="0"/>
                <w:color w:val="000000" w:themeColor="text1"/>
                <w:sz w:val="24"/>
                <w:highlight w:val="none"/>
                <w:lang w:val="en-US" w:eastAsia="zh-CN"/>
                <w14:textFill>
                  <w14:solidFill>
                    <w14:schemeClr w14:val="tx1"/>
                  </w14:solidFill>
                </w14:textFill>
              </w:rPr>
              <w:t>应急事故池</w:t>
            </w:r>
            <w:r>
              <w:rPr>
                <w:rFonts w:hint="default" w:ascii="Times New Roman" w:hAnsi="Times New Roman" w:eastAsia="宋体" w:cs="Times New Roman"/>
                <w:i w:val="0"/>
                <w:iCs w:val="0"/>
                <w:color w:val="000000" w:themeColor="text1"/>
                <w:sz w:val="24"/>
                <w:highlight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sz w:val="24"/>
                <w:highlight w:val="none"/>
                <w:lang w:eastAsia="zh-CN"/>
                <w14:textFill>
                  <w14:solidFill>
                    <w14:schemeClr w14:val="tx1"/>
                  </w14:solidFill>
                </w14:textFill>
              </w:rPr>
              <w:t>企业雨水、污水排放依托</w:t>
            </w:r>
            <w:r>
              <w:rPr>
                <w:rFonts w:hint="default" w:ascii="Times New Roman" w:hAnsi="Times New Roman" w:cs="Times New Roman"/>
                <w:i w:val="0"/>
                <w:iCs w:val="0"/>
                <w:color w:val="000000" w:themeColor="text1"/>
                <w:sz w:val="24"/>
                <w:highlight w:val="none"/>
                <w:lang w:val="en-US" w:eastAsia="zh-CN"/>
                <w14:textFill>
                  <w14:solidFill>
                    <w14:schemeClr w14:val="tx1"/>
                  </w14:solidFill>
                </w14:textFill>
              </w:rPr>
              <w:t>厂区</w:t>
            </w:r>
            <w:r>
              <w:rPr>
                <w:rFonts w:hint="default" w:ascii="Times New Roman" w:hAnsi="Times New Roman" w:eastAsia="宋体" w:cs="Times New Roman"/>
                <w:i w:val="0"/>
                <w:iCs w:val="0"/>
                <w:color w:val="000000" w:themeColor="text1"/>
                <w:sz w:val="24"/>
                <w:highlight w:val="none"/>
                <w:lang w:eastAsia="zh-CN"/>
                <w14:textFill>
                  <w14:solidFill>
                    <w14:schemeClr w14:val="tx1"/>
                  </w14:solidFill>
                </w14:textFill>
              </w:rPr>
              <w:t>设置的1个雨水排放口和1个污水排放口。</w:t>
            </w:r>
            <w:r>
              <w:rPr>
                <w:rFonts w:hint="default" w:ascii="Times New Roman" w:hAnsi="Times New Roman" w:cs="Times New Roman"/>
                <w:i w:val="0"/>
                <w:iCs w:val="0"/>
                <w:color w:val="000000" w:themeColor="text1"/>
                <w:sz w:val="24"/>
                <w:highlight w:val="none"/>
                <w14:textFill>
                  <w14:solidFill>
                    <w14:schemeClr w14:val="tx1"/>
                  </w14:solidFill>
                </w14:textFill>
              </w:rPr>
              <w:t>雨水排放口、废水排污口均设截止阀，发生废水事故时及时关闭雨污排口截止阀，</w:t>
            </w:r>
            <w:r>
              <w:rPr>
                <w:rFonts w:hint="default" w:ascii="Times New Roman" w:hAnsi="Times New Roman" w:eastAsia="宋体" w:cs="Times New Roman"/>
                <w:bCs/>
                <w:i w:val="0"/>
                <w:iCs w:val="0"/>
                <w:color w:val="000000" w:themeColor="text1"/>
                <w:sz w:val="24"/>
                <w:highlight w:val="none"/>
                <w:lang w:val="en-US" w:eastAsia="zh-CN"/>
                <w14:textFill>
                  <w14:solidFill>
                    <w14:schemeClr w14:val="tx1"/>
                  </w14:solidFill>
                </w14:textFill>
              </w:rPr>
              <w:t>可以满足事故状态下全厂废水暂存需要。</w:t>
            </w:r>
          </w:p>
          <w:p w14:paraId="7A8015A8">
            <w:pPr>
              <w:keepNext w:val="0"/>
              <w:keepLines w:val="0"/>
              <w:pageBreakBefore w:val="0"/>
              <w:wordWrap/>
              <w:topLinePunct w:val="0"/>
              <w:bidi w:val="0"/>
              <w:adjustRightInd/>
              <w:snapToGrid/>
              <w:spacing w:line="460" w:lineRule="exact"/>
              <w:ind w:right="0" w:firstLine="482"/>
              <w:textAlignment w:val="auto"/>
              <w:rPr>
                <w:rFonts w:hint="default" w:ascii="Times New Roman" w:hAnsi="Times New Roman" w:eastAsia="宋体" w:cs="Times New Roman"/>
                <w:i w:val="0"/>
                <w:i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4"/>
                <w:szCs w:val="24"/>
                <w:highlight w:val="none"/>
                <w:lang w:val="en-US" w:eastAsia="zh-CN"/>
                <w14:textFill>
                  <w14:solidFill>
                    <w14:schemeClr w14:val="tx1"/>
                  </w14:solidFill>
                </w14:textFill>
              </w:rPr>
              <w:t>企业现有的雨水排口</w:t>
            </w:r>
            <w:r>
              <w:rPr>
                <w:rFonts w:hint="default" w:ascii="Times New Roman" w:hAnsi="Times New Roman" w:cs="Times New Roman"/>
                <w:i w:val="0"/>
                <w:iCs w:val="0"/>
                <w:color w:val="000000" w:themeColor="text1"/>
                <w:sz w:val="24"/>
                <w:szCs w:val="24"/>
                <w:highlight w:val="none"/>
                <w:lang w:val="en-US" w:eastAsia="zh-CN"/>
                <w14:textFill>
                  <w14:solidFill>
                    <w14:schemeClr w14:val="tx1"/>
                  </w14:solidFill>
                </w14:textFill>
              </w:rPr>
              <w:t>、污水排口</w:t>
            </w:r>
            <w:r>
              <w:rPr>
                <w:rFonts w:hint="default" w:ascii="Times New Roman" w:hAnsi="Times New Roman" w:eastAsia="宋体" w:cs="Times New Roman"/>
                <w:i w:val="0"/>
                <w:iCs w:val="0"/>
                <w:color w:val="000000" w:themeColor="text1"/>
                <w:sz w:val="24"/>
                <w:szCs w:val="24"/>
                <w:highlight w:val="none"/>
                <w:lang w:val="en-US" w:eastAsia="zh-CN"/>
                <w14:textFill>
                  <w14:solidFill>
                    <w14:schemeClr w14:val="tx1"/>
                  </w14:solidFill>
                </w14:textFill>
              </w:rPr>
              <w:t>在</w:t>
            </w:r>
            <w:r>
              <w:rPr>
                <w:rFonts w:hint="default" w:ascii="Times New Roman" w:hAnsi="Times New Roman" w:cs="Times New Roman"/>
                <w:i w:val="0"/>
                <w:iCs w:val="0"/>
                <w:color w:val="000000" w:themeColor="text1"/>
                <w:sz w:val="24"/>
                <w:szCs w:val="24"/>
                <w:highlight w:val="none"/>
                <w:lang w:val="en-US" w:eastAsia="zh-CN"/>
                <w14:textFill>
                  <w14:solidFill>
                    <w14:schemeClr w14:val="tx1"/>
                  </w14:solidFill>
                </w14:textFill>
              </w:rPr>
              <w:t>厂区北侧</w:t>
            </w:r>
            <w:r>
              <w:rPr>
                <w:rFonts w:hint="default" w:ascii="Times New Roman" w:hAnsi="Times New Roman" w:eastAsia="宋体" w:cs="Times New Roman"/>
                <w:i w:val="0"/>
                <w:iCs w:val="0"/>
                <w:color w:val="000000" w:themeColor="text1"/>
                <w:sz w:val="24"/>
                <w:szCs w:val="24"/>
                <w:highlight w:val="none"/>
                <w:lang w:val="en-US" w:eastAsia="zh-CN"/>
                <w14:textFill>
                  <w14:solidFill>
                    <w14:schemeClr w14:val="tx1"/>
                  </w14:solidFill>
                </w14:textFill>
              </w:rPr>
              <w:t>，企业应配套应急水泵等设施，通过雨水管道连接至厂区主应急管网，确保事故水</w:t>
            </w:r>
            <w:r>
              <w:rPr>
                <w:rFonts w:hint="default" w:ascii="Times New Roman" w:hAnsi="Times New Roman" w:cs="Times New Roman"/>
                <w:i w:val="0"/>
                <w:iCs w:val="0"/>
                <w:color w:val="000000" w:themeColor="text1"/>
                <w:sz w:val="24"/>
                <w:szCs w:val="24"/>
                <w:highlight w:val="none"/>
                <w:lang w:val="en-US" w:eastAsia="zh-CN"/>
                <w14:textFill>
                  <w14:solidFill>
                    <w14:schemeClr w14:val="tx1"/>
                  </w14:solidFill>
                </w14:textFill>
              </w:rPr>
              <w:t>通过</w:t>
            </w:r>
            <w:r>
              <w:rPr>
                <w:rFonts w:hint="default" w:ascii="Times New Roman" w:hAnsi="Times New Roman" w:eastAsia="宋体" w:cs="Times New Roman"/>
                <w:i w:val="0"/>
                <w:iCs w:val="0"/>
                <w:color w:val="000000" w:themeColor="text1"/>
                <w:sz w:val="24"/>
                <w:szCs w:val="24"/>
                <w:highlight w:val="none"/>
                <w:lang w:val="en-US" w:eastAsia="zh-CN"/>
                <w14:textFill>
                  <w14:solidFill>
                    <w14:schemeClr w14:val="tx1"/>
                  </w14:solidFill>
                </w14:textFill>
              </w:rPr>
              <w:t>泵送进入</w:t>
            </w:r>
            <w:r>
              <w:rPr>
                <w:rFonts w:hint="default" w:ascii="Times New Roman" w:hAnsi="Times New Roman" w:cs="Times New Roman"/>
                <w:i w:val="0"/>
                <w:iCs w:val="0"/>
                <w:color w:val="000000" w:themeColor="text1"/>
                <w:sz w:val="24"/>
                <w:highlight w:val="none"/>
                <w:lang w:val="en-US" w:eastAsia="zh-CN"/>
                <w14:textFill>
                  <w14:solidFill>
                    <w14:schemeClr w14:val="tx1"/>
                  </w14:solidFill>
                </w14:textFill>
              </w:rPr>
              <w:t>应急事故池</w:t>
            </w:r>
            <w:r>
              <w:rPr>
                <w:rFonts w:hint="default" w:ascii="Times New Roman" w:hAnsi="Times New Roman" w:eastAsia="宋体" w:cs="Times New Roman"/>
                <w:i w:val="0"/>
                <w:iCs w:val="0"/>
                <w:color w:val="000000" w:themeColor="text1"/>
                <w:sz w:val="24"/>
                <w:szCs w:val="24"/>
                <w:highlight w:val="none"/>
                <w:lang w:val="en-US" w:eastAsia="zh-CN"/>
                <w14:textFill>
                  <w14:solidFill>
                    <w14:schemeClr w14:val="tx1"/>
                  </w14:solidFill>
                </w14:textFill>
              </w:rPr>
              <w:t>。</w:t>
            </w:r>
          </w:p>
          <w:p w14:paraId="785DE8A7">
            <w:pPr>
              <w:adjustRightInd w:val="0"/>
              <w:snapToGrid w:val="0"/>
              <w:spacing w:line="440" w:lineRule="exact"/>
              <w:ind w:firstLine="480" w:firstLineChars="200"/>
              <w:rPr>
                <w:rFonts w:hint="default" w:ascii="Times New Roman" w:hAnsi="Times New Roman" w:cs="Times New Roman"/>
                <w:bCs/>
                <w:i w:val="0"/>
                <w:i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Cs/>
                <w:i w:val="0"/>
                <w:iCs w:val="0"/>
                <w:color w:val="000000" w:themeColor="text1"/>
                <w:sz w:val="24"/>
                <w:highlight w:val="none"/>
                <w:lang w:val="en-US"/>
                <w14:textFill>
                  <w14:solidFill>
                    <w14:schemeClr w14:val="tx1"/>
                  </w14:solidFill>
                </w14:textFill>
              </w:rPr>
              <w:t>综上，根据上述分析，本公司</w:t>
            </w:r>
            <w:r>
              <w:rPr>
                <w:rFonts w:hint="default" w:ascii="Times New Roman" w:hAnsi="Times New Roman" w:cs="Times New Roman"/>
                <w:bCs/>
                <w:i w:val="0"/>
                <w:iCs w:val="0"/>
                <w:color w:val="000000" w:themeColor="text1"/>
                <w:sz w:val="24"/>
                <w:highlight w:val="none"/>
                <w:lang w:val="en-US" w:eastAsia="zh-CN"/>
                <w14:textFill>
                  <w14:solidFill>
                    <w14:schemeClr w14:val="tx1"/>
                  </w14:solidFill>
                </w14:textFill>
              </w:rPr>
              <w:t>依托现有1个200m</w:t>
            </w:r>
            <w:r>
              <w:rPr>
                <w:rFonts w:hint="default" w:ascii="Times New Roman" w:hAnsi="Times New Roman" w:eastAsia="宋体" w:cs="Times New Roman"/>
                <w:bCs/>
                <w:i w:val="0"/>
                <w:iCs w:val="0"/>
                <w:color w:val="000000" w:themeColor="text1"/>
                <w:sz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Cs/>
                <w:i w:val="0"/>
                <w:iCs w:val="0"/>
                <w:color w:val="000000" w:themeColor="text1"/>
                <w:sz w:val="24"/>
                <w:highlight w:val="none"/>
                <w:lang w:val="en-US" w:eastAsia="zh-CN"/>
                <w14:textFill>
                  <w14:solidFill>
                    <w14:schemeClr w14:val="tx1"/>
                  </w14:solidFill>
                </w14:textFill>
              </w:rPr>
              <w:t>的</w:t>
            </w:r>
            <w:r>
              <w:rPr>
                <w:rFonts w:hint="default" w:ascii="Times New Roman" w:hAnsi="Times New Roman" w:cs="Times New Roman"/>
                <w:i w:val="0"/>
                <w:iCs w:val="0"/>
                <w:color w:val="000000" w:themeColor="text1"/>
                <w:sz w:val="24"/>
                <w:highlight w:val="none"/>
                <w:lang w:val="en-US" w:eastAsia="zh-CN"/>
                <w14:textFill>
                  <w14:solidFill>
                    <w14:schemeClr w14:val="tx1"/>
                  </w14:solidFill>
                </w14:textFill>
              </w:rPr>
              <w:t>应急事故池</w:t>
            </w:r>
            <w:r>
              <w:rPr>
                <w:rFonts w:hint="default" w:ascii="Times New Roman" w:hAnsi="Times New Roman" w:cs="Times New Roman"/>
                <w:bCs/>
                <w:i w:val="0"/>
                <w:iCs w:val="0"/>
                <w:color w:val="000000" w:themeColor="text1"/>
                <w:sz w:val="24"/>
                <w:highlight w:val="none"/>
                <w:lang w:val="en-US"/>
                <w14:textFill>
                  <w14:solidFill>
                    <w14:schemeClr w14:val="tx1"/>
                  </w14:solidFill>
                </w14:textFill>
              </w:rPr>
              <w:t>，可以满足事故状态下废水暂存需要，因此本项目可行</w:t>
            </w:r>
            <w:r>
              <w:rPr>
                <w:rFonts w:hint="default" w:ascii="Times New Roman" w:hAnsi="Times New Roman" w:cs="Times New Roman"/>
                <w:bCs/>
                <w:i w:val="0"/>
                <w:iCs w:val="0"/>
                <w:color w:val="000000" w:themeColor="text1"/>
                <w:sz w:val="24"/>
                <w:highlight w:val="none"/>
                <w:lang w:val="en-US" w:eastAsia="zh-CN"/>
                <w14:textFill>
                  <w14:solidFill>
                    <w14:schemeClr w14:val="tx1"/>
                  </w14:solidFill>
                </w14:textFill>
              </w:rPr>
              <w:t>。</w:t>
            </w:r>
          </w:p>
          <w:p w14:paraId="1B5C68C7">
            <w:pPr>
              <w:spacing w:line="46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6</w:t>
            </w:r>
            <w:r>
              <w:rPr>
                <w:color w:val="000000" w:themeColor="text1"/>
                <w:sz w:val="24"/>
                <w:highlight w:val="none"/>
                <w14:textFill>
                  <w14:solidFill>
                    <w14:schemeClr w14:val="tx1"/>
                  </w14:solidFill>
                </w14:textFill>
              </w:rPr>
              <w:t>）地下水、土壤环境风险防范措施</w:t>
            </w:r>
          </w:p>
          <w:p w14:paraId="53ECBF6E">
            <w:pPr>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本项目在实施过程中，‌特别是在地下水、‌土壤环境保护方面，‌需要采取一系列措施来防范环境风险，‌确保项目不会对周边环境造成负面影响。‌</w:t>
            </w:r>
          </w:p>
          <w:p w14:paraId="1B41D12F">
            <w:pPr>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国家和地方环境管理法律法规，‌实施环境管理计划，‌防范施工过程中的二次污染。项目运营期间应编制运行维护方案，‌包括设备操作、‌维护保养、‌安全管理制度建立等，‌确保设施设备的正常运行和环境安全。</w:t>
            </w:r>
          </w:p>
          <w:p w14:paraId="635971A8">
            <w:pPr>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采取以上污染防治措施后，建设项目对周围地下水环境影响可得到有效控制。</w:t>
            </w:r>
          </w:p>
          <w:p w14:paraId="3CC3E7A8">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rFonts w:hint="eastAsia"/>
                <w:color w:val="000000" w:themeColor="text1"/>
                <w:sz w:val="24"/>
                <w:highlight w:val="none"/>
                <w14:textFill>
                  <w14:solidFill>
                    <w14:schemeClr w14:val="tx1"/>
                  </w14:solidFill>
                </w14:textFill>
              </w:rPr>
              <w:t>7</w:t>
            </w:r>
            <w:r>
              <w:rPr>
                <w:color w:val="000000" w:themeColor="text1"/>
                <w:sz w:val="24"/>
                <w:highlight w:val="none"/>
                <w:lang w:val="zh-CN"/>
                <w14:textFill>
                  <w14:solidFill>
                    <w14:schemeClr w14:val="tx1"/>
                  </w14:solidFill>
                </w14:textFill>
              </w:rPr>
              <w:t>）危废贮存、运输过程风险防范措施</w:t>
            </w:r>
          </w:p>
          <w:p w14:paraId="4B8D1FC2">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本次环评要求危废仓库须满足《危险废物贮存污染控制标准》（GB18597-2023）、《省生态环境厅〈关于印发江苏省固体废物全过程环境监管工作意见〉的通知》（苏环办〔2024〕16号）等要求。危险废物的运输应由危险废物处置单位安排专人专车运送，同时注意运输工具的密封，采取相应的安全防护和污染防治措施，包括防爆、防火、防中毒、防泄漏、防飞扬、防雨或其他防治污染环境的措施等，防止造成二次污染。</w:t>
            </w:r>
          </w:p>
          <w:p w14:paraId="2010E040">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同时在环境管理中注意以下内容：建设单位应通过江苏省危险废物全生命周期监控系统进行危险废物申报登记，将危险废物的实际产生、贮存、利用、处置等情况纳入生产记录，建立危险废物管理台账和企业内部产生和收集、贮存、转移等部门危险废物交接制度；必须明确企业为固体废物污染防治的责任主体，要求企业建立风险管理及应急救援体系，执行环境监测计划、转移联单管理制度及国家和省有关转移管理的相关规定、处置过程安全操作规程、人员培训考核制度、档案管理制度、处置全过程管理制度等。</w:t>
            </w:r>
          </w:p>
          <w:p w14:paraId="016AF04D">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做好雨、污水排放口水质监测工作，发现超标及时排查事故原因。</w:t>
            </w:r>
          </w:p>
          <w:p w14:paraId="17A027A3">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建设单位应依据相关法律法规履行安全生产“三同时”手续</w:t>
            </w:r>
          </w:p>
          <w:p w14:paraId="7EB6E58F">
            <w:pPr>
              <w:pStyle w:val="125"/>
              <w:numPr>
                <w:ilvl w:val="0"/>
                <w:numId w:val="0"/>
              </w:numPr>
              <w:spacing w:line="460" w:lineRule="exact"/>
              <w:rPr>
                <w:rFonts w:hint="default"/>
                <w:color w:val="000000" w:themeColor="text1"/>
                <w:sz w:val="24"/>
                <w:highlight w:val="none"/>
                <w:lang w:val="zh-CN"/>
                <w14:textFill>
                  <w14:solidFill>
                    <w14:schemeClr w14:val="tx1"/>
                  </w14:solidFill>
                </w14:textFill>
              </w:rPr>
            </w:pPr>
            <w:r>
              <w:rPr>
                <w:rFonts w:hint="default"/>
                <w:color w:val="000000" w:themeColor="text1"/>
                <w:sz w:val="24"/>
                <w:highlight w:val="none"/>
                <w:lang w:val="zh-CN"/>
                <w14:textFill>
                  <w14:solidFill>
                    <w14:schemeClr w14:val="tx1"/>
                  </w14:solidFill>
                </w14:textFill>
              </w:rPr>
              <w:t>表4-</w:t>
            </w:r>
            <w:r>
              <w:rPr>
                <w:rFonts w:hint="default"/>
                <w:color w:val="000000" w:themeColor="text1"/>
                <w:sz w:val="24"/>
                <w:highlight w:val="none"/>
                <w14:textFill>
                  <w14:solidFill>
                    <w14:schemeClr w14:val="tx1"/>
                  </w14:solidFill>
                </w14:textFill>
              </w:rPr>
              <w:t>3</w:t>
            </w:r>
            <w:r>
              <w:rPr>
                <w:rFonts w:hint="eastAsia"/>
                <w:color w:val="000000" w:themeColor="text1"/>
                <w:sz w:val="24"/>
                <w:highlight w:val="none"/>
                <w:lang w:val="en-US" w:eastAsia="zh-CN"/>
                <w14:textFill>
                  <w14:solidFill>
                    <w14:schemeClr w14:val="tx1"/>
                  </w14:solidFill>
                </w14:textFill>
              </w:rPr>
              <w:t xml:space="preserve">7  </w:t>
            </w:r>
            <w:r>
              <w:rPr>
                <w:rFonts w:hint="default"/>
                <w:color w:val="000000" w:themeColor="text1"/>
                <w:sz w:val="24"/>
                <w:highlight w:val="none"/>
                <w:lang w:val="zh-CN"/>
                <w14:textFill>
                  <w14:solidFill>
                    <w14:schemeClr w14:val="tx1"/>
                  </w14:solidFill>
                </w14:textFill>
              </w:rPr>
              <w:t>预防机制详情</w:t>
            </w:r>
          </w:p>
          <w:tbl>
            <w:tblPr>
              <w:tblStyle w:val="38"/>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38"/>
              <w:gridCol w:w="6884"/>
            </w:tblGrid>
            <w:tr w14:paraId="32BA09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961" w:type="pct"/>
                  <w:vAlign w:val="center"/>
                </w:tcPr>
                <w:p w14:paraId="7CBFB026">
                  <w:pPr>
                    <w:snapToGrid w:val="0"/>
                    <w:spacing w:line="240" w:lineRule="exact"/>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突发环境事件</w:t>
                  </w:r>
                </w:p>
              </w:tc>
              <w:tc>
                <w:tcPr>
                  <w:tcW w:w="4038" w:type="pct"/>
                  <w:vAlign w:val="center"/>
                </w:tcPr>
                <w:p w14:paraId="2FC9F914">
                  <w:pPr>
                    <w:snapToGrid w:val="0"/>
                    <w:spacing w:line="240" w:lineRule="exact"/>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预防机制</w:t>
                  </w:r>
                </w:p>
              </w:tc>
            </w:tr>
            <w:tr w14:paraId="0F1247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1" w:type="pct"/>
                  <w:vAlign w:val="center"/>
                </w:tcPr>
                <w:p w14:paraId="708408CF">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物料泄漏</w:t>
                  </w:r>
                </w:p>
              </w:tc>
              <w:tc>
                <w:tcPr>
                  <w:tcW w:w="4038" w:type="pct"/>
                  <w:vAlign w:val="center"/>
                </w:tcPr>
                <w:p w14:paraId="5E0FE4F7">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1.加强对仓库的巡视工作，重点检测包装有无破裂，阀门是否失灵等；</w:t>
                  </w:r>
                </w:p>
                <w:p w14:paraId="30AC31AF">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2.做好危废仓库地面防渗防腐处理。发生泄漏时，用</w:t>
                  </w:r>
                  <w:r>
                    <w:rPr>
                      <w:rFonts w:hint="eastAsia"/>
                      <w:color w:val="000000" w:themeColor="text1"/>
                      <w:szCs w:val="21"/>
                      <w:highlight w:val="none"/>
                      <w:lang w:val="zh-CN"/>
                      <w14:textFill>
                        <w14:solidFill>
                          <w14:schemeClr w14:val="tx1"/>
                        </w14:solidFill>
                      </w14:textFill>
                    </w:rPr>
                    <w:t>沙土</w:t>
                  </w:r>
                  <w:r>
                    <w:rPr>
                      <w:color w:val="000000" w:themeColor="text1"/>
                      <w:szCs w:val="21"/>
                      <w:highlight w:val="none"/>
                      <w:lang w:val="zh-CN"/>
                      <w14:textFill>
                        <w14:solidFill>
                          <w14:schemeClr w14:val="tx1"/>
                        </w14:solidFill>
                      </w14:textFill>
                    </w:rPr>
                    <w:t>或其他不燃材料吸附或吸收，采用密闭的包装物收集储存，委托有资质单位处置。</w:t>
                  </w:r>
                </w:p>
              </w:tc>
            </w:tr>
            <w:tr w14:paraId="46D7E8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1" w:type="pct"/>
                  <w:vAlign w:val="center"/>
                </w:tcPr>
                <w:p w14:paraId="22425256">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暴雨、雷电等自然灾害</w:t>
                  </w:r>
                </w:p>
              </w:tc>
              <w:tc>
                <w:tcPr>
                  <w:tcW w:w="4038" w:type="pct"/>
                  <w:vAlign w:val="center"/>
                </w:tcPr>
                <w:p w14:paraId="310F0A22">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1.密切注意天气变化，在暴雨等天气来临前对现场的物品进行收拾，对厂棚进行加固，对外露的设备进行保护，对可能积水的部位进行检查。</w:t>
                  </w:r>
                </w:p>
              </w:tc>
            </w:tr>
            <w:tr w14:paraId="7A8440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1" w:type="pct"/>
                  <w:vAlign w:val="center"/>
                </w:tcPr>
                <w:p w14:paraId="59EB5AE6">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火灾</w:t>
                  </w:r>
                </w:p>
              </w:tc>
              <w:tc>
                <w:tcPr>
                  <w:tcW w:w="4038" w:type="pct"/>
                  <w:vAlign w:val="center"/>
                </w:tcPr>
                <w:p w14:paraId="669B26FE">
                  <w:pPr>
                    <w:snapToGri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1</w:t>
                  </w:r>
                  <w:r>
                    <w:rPr>
                      <w:rFonts w:hint="eastAsia"/>
                      <w:color w:val="000000" w:themeColor="text1"/>
                      <w:szCs w:val="21"/>
                      <w:highlight w:val="none"/>
                      <w:lang w:val="zh-CN"/>
                      <w14:textFill>
                        <w14:solidFill>
                          <w14:schemeClr w14:val="tx1"/>
                        </w14:solidFill>
                      </w14:textFill>
                    </w:rPr>
                    <w:t>.对</w:t>
                  </w:r>
                  <w:r>
                    <w:rPr>
                      <w:color w:val="000000" w:themeColor="text1"/>
                      <w:szCs w:val="21"/>
                      <w:highlight w:val="none"/>
                      <w:lang w:val="zh-CN"/>
                      <w14:textFill>
                        <w14:solidFill>
                          <w14:schemeClr w14:val="tx1"/>
                        </w14:solidFill>
                      </w14:textFill>
                    </w:rPr>
                    <w:t>易燃物品进行防护保护；对供电线路进行巡检；2.对消防设施进行定期检查。3.火灾时确保消防废水进入污水处理设施。</w:t>
                  </w:r>
                </w:p>
              </w:tc>
            </w:tr>
          </w:tbl>
          <w:p w14:paraId="3F27663D">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w:t>
            </w:r>
            <w:r>
              <w:rPr>
                <w:color w:val="000000" w:themeColor="text1"/>
                <w:sz w:val="24"/>
                <w:highlight w:val="none"/>
                <w14:textFill>
                  <w14:solidFill>
                    <w14:schemeClr w14:val="tx1"/>
                  </w14:solidFill>
                </w14:textFill>
              </w:rPr>
              <w:t>5</w:t>
            </w:r>
            <w:r>
              <w:rPr>
                <w:color w:val="000000" w:themeColor="text1"/>
                <w:sz w:val="24"/>
                <w:highlight w:val="none"/>
                <w:lang w:val="zh-CN"/>
                <w14:textFill>
                  <w14:solidFill>
                    <w14:schemeClr w14:val="tx1"/>
                  </w14:solidFill>
                </w14:textFill>
              </w:rPr>
              <w:t>）厂区与园区的联动预案机制</w:t>
            </w:r>
          </w:p>
          <w:p w14:paraId="7572C75E">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建立全公司、各生产装置突发环境事件的应急预案，应急预案须与</w:t>
            </w:r>
            <w:r>
              <w:rPr>
                <w:rFonts w:hint="eastAsia"/>
                <w:color w:val="000000" w:themeColor="text1"/>
                <w:sz w:val="24"/>
                <w:highlight w:val="none"/>
                <w:lang w:val="zh-CN"/>
                <w14:textFill>
                  <w14:solidFill>
                    <w14:schemeClr w14:val="tx1"/>
                  </w14:solidFill>
                </w14:textFill>
              </w:rPr>
              <w:t>南京江宁经济技术开发区</w:t>
            </w:r>
            <w:r>
              <w:rPr>
                <w:color w:val="000000" w:themeColor="text1"/>
                <w:sz w:val="24"/>
                <w:highlight w:val="none"/>
                <w:lang w:val="zh-CN"/>
                <w14:textFill>
                  <w14:solidFill>
                    <w14:schemeClr w14:val="tx1"/>
                  </w14:solidFill>
                </w14:textFill>
              </w:rPr>
              <w:t>、南京市</w:t>
            </w:r>
            <w:r>
              <w:rPr>
                <w:rFonts w:hint="eastAsia"/>
                <w:color w:val="000000" w:themeColor="text1"/>
                <w:sz w:val="24"/>
                <w:highlight w:val="none"/>
                <w:lang w:val="zh-CN"/>
                <w14:textFill>
                  <w14:solidFill>
                    <w14:schemeClr w14:val="tx1"/>
                  </w14:solidFill>
                </w14:textFill>
              </w:rPr>
              <w:t>突发环境事件</w:t>
            </w:r>
            <w:r>
              <w:rPr>
                <w:color w:val="000000" w:themeColor="text1"/>
                <w:sz w:val="24"/>
                <w:highlight w:val="none"/>
                <w:lang w:val="zh-CN"/>
                <w14:textFill>
                  <w14:solidFill>
                    <w14:schemeClr w14:val="tx1"/>
                  </w14:solidFill>
                </w14:textFill>
              </w:rPr>
              <w:t>应急预案相衔接。按照“企业自救，属地为主”的原则，一旦发生环境污染事件，企业可立即实行自救，采取一切措施控制事态发展，并及时向地方人民政府报告，超出本企业应急处理能力时，将启动上一级预案，由</w:t>
            </w:r>
            <w:r>
              <w:rPr>
                <w:rFonts w:hint="eastAsia"/>
                <w:color w:val="000000" w:themeColor="text1"/>
                <w:sz w:val="24"/>
                <w:highlight w:val="none"/>
                <w:lang w:val="zh-CN"/>
                <w14:textFill>
                  <w14:solidFill>
                    <w14:schemeClr w14:val="tx1"/>
                  </w14:solidFill>
                </w14:textFill>
              </w:rPr>
              <w:t>地方人民政府</w:t>
            </w:r>
            <w:r>
              <w:rPr>
                <w:color w:val="000000" w:themeColor="text1"/>
                <w:sz w:val="24"/>
                <w:highlight w:val="none"/>
                <w:lang w:val="zh-CN"/>
                <w14:textFill>
                  <w14:solidFill>
                    <w14:schemeClr w14:val="tx1"/>
                  </w14:solidFill>
                </w14:textFill>
              </w:rPr>
              <w:t>动用社会应急救援力量，实行分级管理、分级响应和联动，充分发挥</w:t>
            </w:r>
            <w:r>
              <w:rPr>
                <w:rFonts w:hint="eastAsia"/>
                <w:color w:val="000000" w:themeColor="text1"/>
                <w:sz w:val="24"/>
                <w:highlight w:val="none"/>
                <w:lang w:val="zh-CN"/>
                <w14:textFill>
                  <w14:solidFill>
                    <w14:schemeClr w14:val="tx1"/>
                  </w14:solidFill>
                </w14:textFill>
              </w:rPr>
              <w:t>地方人民政府</w:t>
            </w:r>
            <w:r>
              <w:rPr>
                <w:color w:val="000000" w:themeColor="text1"/>
                <w:sz w:val="24"/>
                <w:highlight w:val="none"/>
                <w:lang w:val="zh-CN"/>
                <w14:textFill>
                  <w14:solidFill>
                    <w14:schemeClr w14:val="tx1"/>
                  </w14:solidFill>
                </w14:textFill>
              </w:rPr>
              <w:t>职能作用和各部门的专业优势，加强各部门的</w:t>
            </w:r>
            <w:r>
              <w:rPr>
                <w:rFonts w:hint="eastAsia"/>
                <w:color w:val="000000" w:themeColor="text1"/>
                <w:sz w:val="24"/>
                <w:highlight w:val="none"/>
                <w:lang w:val="zh-CN"/>
                <w14:textFill>
                  <w14:solidFill>
                    <w14:schemeClr w14:val="tx1"/>
                  </w14:solidFill>
                </w14:textFill>
              </w:rPr>
              <w:t>协同</w:t>
            </w:r>
            <w:r>
              <w:rPr>
                <w:color w:val="000000" w:themeColor="text1"/>
                <w:sz w:val="24"/>
                <w:highlight w:val="none"/>
                <w:lang w:val="zh-CN"/>
                <w14:textFill>
                  <w14:solidFill>
                    <w14:schemeClr w14:val="tx1"/>
                  </w14:solidFill>
                </w14:textFill>
              </w:rPr>
              <w:t>合作，提高快速反应能力。使环境风险应急预案适应</w:t>
            </w:r>
            <w:r>
              <w:rPr>
                <w:rFonts w:hint="eastAsia"/>
                <w:color w:val="000000" w:themeColor="text1"/>
                <w:sz w:val="24"/>
                <w:highlight w:val="none"/>
                <w:lang w:val="zh-CN"/>
                <w14:textFill>
                  <w14:solidFill>
                    <w14:schemeClr w14:val="tx1"/>
                  </w14:solidFill>
                </w14:textFill>
              </w:rPr>
              <w:t>本项目</w:t>
            </w:r>
            <w:r>
              <w:rPr>
                <w:color w:val="000000" w:themeColor="text1"/>
                <w:sz w:val="24"/>
                <w:highlight w:val="none"/>
                <w:lang w:val="zh-CN"/>
                <w14:textFill>
                  <w14:solidFill>
                    <w14:schemeClr w14:val="tx1"/>
                  </w14:solidFill>
                </w14:textFill>
              </w:rPr>
              <w:t>各种环境事件的应急需要。</w:t>
            </w:r>
          </w:p>
          <w:p w14:paraId="2E1C560C">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根据《关于做好生态环境和应急管理部门联动工作的意见》（苏环办〔2020〕101号）的相关要求：</w:t>
            </w:r>
          </w:p>
          <w:p w14:paraId="042B63B8">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1）建立危险废物监管联动机制</w:t>
            </w:r>
          </w:p>
          <w:p w14:paraId="6E749B28">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rFonts w:hint="eastAsia"/>
                <w:color w:val="000000" w:themeColor="text1"/>
                <w:sz w:val="24"/>
                <w:highlight w:val="none"/>
                <w:lang w:val="zh-CN"/>
                <w14:textFill>
                  <w14:solidFill>
                    <w14:schemeClr w14:val="tx1"/>
                  </w14:solidFill>
                </w14:textFill>
              </w:rPr>
              <w:t>本项目</w:t>
            </w:r>
            <w:r>
              <w:rPr>
                <w:color w:val="000000" w:themeColor="text1"/>
                <w:sz w:val="24"/>
                <w:highlight w:val="none"/>
                <w:lang w:val="zh-CN"/>
                <w14:textFill>
                  <w14:solidFill>
                    <w14:schemeClr w14:val="tx1"/>
                  </w14:solidFill>
                </w14:textFill>
              </w:rPr>
              <w:t>产生的危废均应分类暂存于危废仓库中，用防渗托盘存放装载液体、半固体的危险废物；不相容的危险废物分开存放，设隔离间隔断。本项目产生的危废废物及时处置，危废进出库都有台账记录，各类固体废物均得到有效处置；且要求企业每年定期制定危废管理计划；建议企业今后切实履行</w:t>
            </w:r>
            <w:r>
              <w:rPr>
                <w:rFonts w:hint="eastAsia"/>
                <w:color w:val="000000" w:themeColor="text1"/>
                <w:sz w:val="24"/>
                <w:highlight w:val="none"/>
                <w:lang w:val="zh-CN"/>
                <w14:textFill>
                  <w14:solidFill>
                    <w14:schemeClr w14:val="tx1"/>
                  </w14:solidFill>
                </w14:textFill>
              </w:rPr>
              <w:t>好</w:t>
            </w:r>
            <w:r>
              <w:rPr>
                <w:color w:val="000000" w:themeColor="text1"/>
                <w:sz w:val="24"/>
                <w:highlight w:val="none"/>
                <w:lang w:val="zh-CN"/>
                <w14:textFill>
                  <w14:solidFill>
                    <w14:schemeClr w14:val="tx1"/>
                  </w14:solidFill>
                </w14:textFill>
              </w:rPr>
              <w:t>危废的产生、收集、贮存等环保和安全责任，申报备案时，对废弃危险化学品、物理危险性尚不确定、根据相关文件</w:t>
            </w:r>
            <w:bookmarkStart w:id="13" w:name="Bookmark198"/>
            <w:r>
              <w:rPr>
                <w:color w:val="000000" w:themeColor="text1"/>
                <w:sz w:val="24"/>
                <w:highlight w:val="none"/>
                <w:lang w:val="zh-CN"/>
                <w14:textFill>
                  <w14:solidFill>
                    <w14:schemeClr w14:val="tx1"/>
                  </w14:solidFill>
                </w14:textFill>
              </w:rPr>
              <w:t>无法认定</w:t>
            </w:r>
            <w:bookmarkEnd w:id="13"/>
            <w:r>
              <w:rPr>
                <w:color w:val="000000" w:themeColor="text1"/>
                <w:sz w:val="24"/>
                <w:highlight w:val="none"/>
                <w:lang w:val="zh-CN"/>
                <w14:textFill>
                  <w14:solidFill>
                    <w14:schemeClr w14:val="tx1"/>
                  </w14:solidFill>
                </w14:textFill>
              </w:rPr>
              <w:t>达到稳定要求的，要提供有资质单位出具的化学品物理危险性报告及其他证明材料。</w:t>
            </w:r>
          </w:p>
          <w:p w14:paraId="13D24657">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2）建立环境治理设施监管联动机制</w:t>
            </w:r>
          </w:p>
          <w:p w14:paraId="6F9F4A00">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要求企业定期开展安全风险辨识管控，健全内部污染防治设施稳定运行和管理责任制度，严格依据标准规范建设环境治理设施，确保环境治理设施安全、稳定、有效运行。</w:t>
            </w:r>
          </w:p>
          <w:p w14:paraId="48D751C3">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rFonts w:hint="eastAsia"/>
                <w:color w:val="000000" w:themeColor="text1"/>
                <w:sz w:val="24"/>
                <w:highlight w:val="none"/>
                <w14:textFill>
                  <w14:solidFill>
                    <w14:schemeClr w14:val="tx1"/>
                  </w14:solidFill>
                </w14:textFill>
              </w:rPr>
              <w:t>（6）</w:t>
            </w:r>
            <w:r>
              <w:rPr>
                <w:color w:val="000000" w:themeColor="text1"/>
                <w:sz w:val="24"/>
                <w:highlight w:val="none"/>
                <w:lang w:val="zh-CN"/>
                <w14:textFill>
                  <w14:solidFill>
                    <w14:schemeClr w14:val="tx1"/>
                  </w14:solidFill>
                </w14:textFill>
              </w:rPr>
              <w:t>风险结论</w:t>
            </w:r>
          </w:p>
          <w:p w14:paraId="41541AB9">
            <w:pPr>
              <w:adjustRightInd w:val="0"/>
              <w:snapToGrid w:val="0"/>
              <w:spacing w:line="46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综合以上分析，</w:t>
            </w:r>
            <w:r>
              <w:rPr>
                <w:rFonts w:hint="eastAsia"/>
                <w:color w:val="000000" w:themeColor="text1"/>
                <w:sz w:val="24"/>
                <w:highlight w:val="none"/>
                <w:lang w:val="zh-CN"/>
                <w14:textFill>
                  <w14:solidFill>
                    <w14:schemeClr w14:val="tx1"/>
                  </w14:solidFill>
                </w14:textFill>
              </w:rPr>
              <w:t>在</w:t>
            </w:r>
            <w:r>
              <w:rPr>
                <w:color w:val="000000" w:themeColor="text1"/>
                <w:sz w:val="24"/>
                <w:highlight w:val="none"/>
                <w:lang w:val="zh-CN"/>
                <w14:textFill>
                  <w14:solidFill>
                    <w14:schemeClr w14:val="tx1"/>
                  </w14:solidFill>
                </w14:textFill>
              </w:rPr>
              <w:t>环境风险防范措施落实到位的情况下，将可大大降低建设项目的环境风险，最大程度减少对环境可能造成的危害。在企业落实本评价提出的各项风险防范措施后，本项目的环境风险是可控的。</w:t>
            </w:r>
          </w:p>
          <w:p w14:paraId="4AB48184">
            <w:pPr>
              <w:pStyle w:val="125"/>
              <w:numPr>
                <w:ilvl w:val="0"/>
                <w:numId w:val="0"/>
              </w:numPr>
              <w:spacing w:line="460" w:lineRule="exact"/>
              <w:rPr>
                <w:rFonts w:hint="default"/>
                <w:color w:val="000000" w:themeColor="text1"/>
                <w:sz w:val="24"/>
                <w:highlight w:val="none"/>
                <w:lang w:val="zh-CN"/>
                <w14:textFill>
                  <w14:solidFill>
                    <w14:schemeClr w14:val="tx1"/>
                  </w14:solidFill>
                </w14:textFill>
              </w:rPr>
            </w:pPr>
            <w:r>
              <w:rPr>
                <w:rFonts w:hint="default"/>
                <w:color w:val="000000" w:themeColor="text1"/>
                <w:sz w:val="24"/>
                <w:highlight w:val="none"/>
                <w:lang w:val="zh-CN"/>
                <w14:textFill>
                  <w14:solidFill>
                    <w14:schemeClr w14:val="tx1"/>
                  </w14:solidFill>
                </w14:textFill>
              </w:rPr>
              <w:t>表4-</w:t>
            </w:r>
            <w:r>
              <w:rPr>
                <w:rFonts w:hint="default"/>
                <w:color w:val="000000" w:themeColor="text1"/>
                <w:sz w:val="24"/>
                <w:highlight w:val="none"/>
                <w14:textFill>
                  <w14:solidFill>
                    <w14:schemeClr w14:val="tx1"/>
                  </w14:solidFill>
                </w14:textFill>
              </w:rPr>
              <w:t>3</w:t>
            </w:r>
            <w:r>
              <w:rPr>
                <w:rFonts w:hint="eastAsia"/>
                <w:color w:val="000000" w:themeColor="text1"/>
                <w:sz w:val="24"/>
                <w:highlight w:val="none"/>
                <w:lang w:val="en-US" w:eastAsia="zh-CN"/>
                <w14:textFill>
                  <w14:solidFill>
                    <w14:schemeClr w14:val="tx1"/>
                  </w14:solidFill>
                </w14:textFill>
              </w:rPr>
              <w:t xml:space="preserve">8  </w:t>
            </w:r>
            <w:r>
              <w:rPr>
                <w:rFonts w:hint="default"/>
                <w:color w:val="000000" w:themeColor="text1"/>
                <w:sz w:val="24"/>
                <w:highlight w:val="none"/>
                <w:lang w:val="zh-CN"/>
                <w14:textFill>
                  <w14:solidFill>
                    <w14:schemeClr w14:val="tx1"/>
                  </w14:solidFill>
                </w14:textFill>
              </w:rPr>
              <w:t>本项目环境风险简单分析内容表</w:t>
            </w:r>
          </w:p>
          <w:tbl>
            <w:tblPr>
              <w:tblStyle w:val="38"/>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2439"/>
              <w:gridCol w:w="6081"/>
            </w:tblGrid>
            <w:tr w14:paraId="324EA9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1" w:type="pct"/>
                  <w:vAlign w:val="center"/>
                </w:tcPr>
                <w:p w14:paraId="337773C9">
                  <w:pPr>
                    <w:autoSpaceDE w:val="0"/>
                    <w:autoSpaceDN w:val="0"/>
                    <w:adjustRightInd w:val="0"/>
                    <w:spacing w:line="240" w:lineRule="exact"/>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14:textFill>
                        <w14:solidFill>
                          <w14:schemeClr w14:val="tx1"/>
                        </w14:solidFill>
                      </w14:textFill>
                    </w:rPr>
                    <w:t>建设项目名称</w:t>
                  </w:r>
                </w:p>
              </w:tc>
              <w:tc>
                <w:tcPr>
                  <w:tcW w:w="3568" w:type="pct"/>
                  <w:vAlign w:val="center"/>
                </w:tcPr>
                <w:p w14:paraId="56219D1B">
                  <w:pPr>
                    <w:autoSpaceDE w:val="0"/>
                    <w:autoSpaceDN w:val="0"/>
                    <w:adjustRightInd w:val="0"/>
                    <w:spacing w:line="240" w:lineRule="exact"/>
                    <w:jc w:val="left"/>
                    <w:rPr>
                      <w:rFonts w:hint="eastAsia" w:eastAsia="宋体"/>
                      <w:color w:val="000000" w:themeColor="text1"/>
                      <w:szCs w:val="21"/>
                      <w:highlight w:val="none"/>
                      <w:lang w:val="zh-CN"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汽车连接件生产项目</w:t>
                  </w:r>
                </w:p>
              </w:tc>
            </w:tr>
            <w:tr w14:paraId="333773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1" w:type="pct"/>
                  <w:vAlign w:val="center"/>
                </w:tcPr>
                <w:p w14:paraId="75E0AD41">
                  <w:pPr>
                    <w:autoSpaceDE w:val="0"/>
                    <w:autoSpaceDN w:val="0"/>
                    <w:adjustRightInd w:val="0"/>
                    <w:spacing w:line="240" w:lineRule="exact"/>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14:textFill>
                        <w14:solidFill>
                          <w14:schemeClr w14:val="tx1"/>
                        </w14:solidFill>
                      </w14:textFill>
                    </w:rPr>
                    <w:t>建设地点</w:t>
                  </w:r>
                </w:p>
              </w:tc>
              <w:tc>
                <w:tcPr>
                  <w:tcW w:w="3568" w:type="pct"/>
                  <w:vAlign w:val="center"/>
                </w:tcPr>
                <w:p w14:paraId="02363664">
                  <w:pPr>
                    <w:autoSpaceDE w:val="0"/>
                    <w:autoSpaceDN w:val="0"/>
                    <w:adjustRightInd w:val="0"/>
                    <w:spacing w:line="240" w:lineRule="exact"/>
                    <w:jc w:val="left"/>
                    <w:rPr>
                      <w:rFonts w:hint="eastAsia" w:eastAsia="宋体"/>
                      <w:color w:val="000000" w:themeColor="text1"/>
                      <w:szCs w:val="21"/>
                      <w:highlight w:val="none"/>
                      <w:lang w:val="zh-CN" w:eastAsia="zh-CN"/>
                      <w14:textFill>
                        <w14:solidFill>
                          <w14:schemeClr w14:val="tx1"/>
                        </w14:solidFill>
                      </w14:textFill>
                    </w:rPr>
                  </w:pPr>
                  <w:r>
                    <w:rPr>
                      <w:color w:val="000000" w:themeColor="text1"/>
                      <w:szCs w:val="21"/>
                      <w:highlight w:val="none"/>
                      <w14:textFill>
                        <w14:solidFill>
                          <w14:schemeClr w14:val="tx1"/>
                        </w14:solidFill>
                      </w14:textFill>
                    </w:rPr>
                    <w:t>江苏省</w:t>
                  </w:r>
                  <w:r>
                    <w:rPr>
                      <w:rFonts w:hint="eastAsia"/>
                      <w:color w:val="000000" w:themeColor="text1"/>
                      <w:szCs w:val="21"/>
                      <w:highlight w:val="none"/>
                      <w:lang w:eastAsia="zh-CN"/>
                      <w14:textFill>
                        <w14:solidFill>
                          <w14:schemeClr w14:val="tx1"/>
                        </w14:solidFill>
                      </w14:textFill>
                    </w:rPr>
                    <w:t>南京市江宁区禄口街道蓝天路218号</w:t>
                  </w:r>
                </w:p>
              </w:tc>
            </w:tr>
            <w:tr w14:paraId="5E2378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1" w:type="pct"/>
                  <w:vAlign w:val="center"/>
                </w:tcPr>
                <w:p w14:paraId="1C550803">
                  <w:pPr>
                    <w:autoSpaceDE w:val="0"/>
                    <w:autoSpaceDN w:val="0"/>
                    <w:adjustRightIn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地理坐标</w:t>
                  </w:r>
                </w:p>
              </w:tc>
              <w:tc>
                <w:tcPr>
                  <w:tcW w:w="3568" w:type="pct"/>
                  <w:vAlign w:val="center"/>
                </w:tcPr>
                <w:p w14:paraId="7D2C5D79">
                  <w:pPr>
                    <w:autoSpaceDE w:val="0"/>
                    <w:autoSpaceDN w:val="0"/>
                    <w:adjustRightInd w:val="0"/>
                    <w:spacing w:line="240" w:lineRule="exact"/>
                    <w:jc w:val="left"/>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118度50分23.842秒，31度46分27.151秒</w:t>
                  </w:r>
                  <w:r>
                    <w:rPr>
                      <w:color w:val="000000" w:themeColor="text1"/>
                      <w:szCs w:val="21"/>
                      <w:highlight w:val="none"/>
                      <w14:textFill>
                        <w14:solidFill>
                          <w14:schemeClr w14:val="tx1"/>
                        </w14:solidFill>
                      </w14:textFill>
                    </w:rPr>
                    <w:t>）</w:t>
                  </w:r>
                </w:p>
              </w:tc>
            </w:tr>
            <w:tr w14:paraId="4E14E2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1" w:type="pct"/>
                  <w:vAlign w:val="center"/>
                </w:tcPr>
                <w:p w14:paraId="2D9769F6">
                  <w:pPr>
                    <w:autoSpaceDE w:val="0"/>
                    <w:autoSpaceDN w:val="0"/>
                    <w:adjustRightIn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主要危险物质及分布</w:t>
                  </w:r>
                </w:p>
              </w:tc>
              <w:tc>
                <w:tcPr>
                  <w:tcW w:w="3568" w:type="pct"/>
                  <w:vAlign w:val="center"/>
                </w:tcPr>
                <w:p w14:paraId="5651077F">
                  <w:pPr>
                    <w:autoSpaceDE w:val="0"/>
                    <w:autoSpaceDN w:val="0"/>
                    <w:adjustRightIn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主要风险物</w:t>
                  </w:r>
                  <w:r>
                    <w:rPr>
                      <w:rFonts w:hint="eastAsia"/>
                      <w:color w:val="000000" w:themeColor="text1"/>
                      <w:szCs w:val="21"/>
                      <w:highlight w:val="none"/>
                      <w:lang w:eastAsia="zh-CN"/>
                      <w14:textFill>
                        <w14:solidFill>
                          <w14:schemeClr w14:val="tx1"/>
                        </w14:solidFill>
                      </w14:textFill>
                    </w:rPr>
                    <w:t>质为</w:t>
                  </w:r>
                  <w:r>
                    <w:rPr>
                      <w:rFonts w:hint="eastAsia" w:cs="Times New Roman"/>
                      <w:color w:val="000000" w:themeColor="text1"/>
                      <w:szCs w:val="21"/>
                      <w:highlight w:val="none"/>
                      <w:lang w:val="en-US" w:eastAsia="zh-CN"/>
                      <w14:textFill>
                        <w14:solidFill>
                          <w14:schemeClr w14:val="tx1"/>
                        </w14:solidFill>
                      </w14:textFill>
                    </w:rPr>
                    <w:t>硫化剂</w:t>
                  </w:r>
                  <w:r>
                    <w:rPr>
                      <w:rFonts w:hint="eastAsia"/>
                      <w:color w:val="000000" w:themeColor="text1"/>
                      <w:szCs w:val="21"/>
                      <w:highlight w:val="none"/>
                      <w:lang w:val="en-US" w:eastAsia="zh-CN"/>
                      <w14:textFill>
                        <w14:solidFill>
                          <w14:schemeClr w14:val="tx1"/>
                        </w14:solidFill>
                      </w14:textFill>
                    </w:rPr>
                    <w:t>，位于</w:t>
                  </w:r>
                  <w:r>
                    <w:rPr>
                      <w:rFonts w:hint="eastAsia" w:cs="Times New Roman"/>
                      <w:color w:val="000000" w:themeColor="text1"/>
                      <w:highlight w:val="none"/>
                      <w:lang w:val="en-US" w:eastAsia="zh-CN"/>
                      <w14:textFill>
                        <w14:solidFill>
                          <w14:schemeClr w14:val="tx1"/>
                        </w14:solidFill>
                      </w14:textFill>
                    </w:rPr>
                    <w:t>原料仓库</w:t>
                  </w:r>
                  <w:r>
                    <w:rPr>
                      <w:rFonts w:hint="eastAsia" w:ascii="宋体" w:hAnsi="宋体" w:cs="宋体"/>
                      <w:color w:val="000000" w:themeColor="text1"/>
                      <w:kern w:val="0"/>
                      <w:szCs w:val="21"/>
                      <w:highlight w:val="none"/>
                      <w:lang w:eastAsia="zh-CN" w:bidi="ar"/>
                      <w14:textFill>
                        <w14:solidFill>
                          <w14:schemeClr w14:val="tx1"/>
                        </w14:solidFill>
                      </w14:textFill>
                    </w:rPr>
                    <w:t>；</w:t>
                  </w:r>
                  <w:r>
                    <w:rPr>
                      <w:color w:val="000000" w:themeColor="text1"/>
                      <w:szCs w:val="21"/>
                      <w:highlight w:val="none"/>
                      <w14:textFill>
                        <w14:solidFill>
                          <w14:schemeClr w14:val="tx1"/>
                        </w14:solidFill>
                      </w14:textFill>
                    </w:rPr>
                    <w:t>危险废物位于危废仓库</w:t>
                  </w:r>
                </w:p>
              </w:tc>
            </w:tr>
            <w:tr w14:paraId="6B4925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1" w:type="pct"/>
                  <w:vAlign w:val="center"/>
                </w:tcPr>
                <w:p w14:paraId="49438D15">
                  <w:pPr>
                    <w:autoSpaceDE w:val="0"/>
                    <w:autoSpaceDN w:val="0"/>
                    <w:adjustRightIn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环境影响途径及危害后果</w:t>
                  </w:r>
                </w:p>
              </w:tc>
              <w:tc>
                <w:tcPr>
                  <w:tcW w:w="3568" w:type="pct"/>
                  <w:vAlign w:val="center"/>
                </w:tcPr>
                <w:p w14:paraId="762C8C07">
                  <w:pPr>
                    <w:autoSpaceDE w:val="0"/>
                    <w:autoSpaceDN w:val="0"/>
                    <w:adjustRightIn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泄漏对大气、地表水、土壤造成影响</w:t>
                  </w:r>
                </w:p>
              </w:tc>
            </w:tr>
            <w:tr w14:paraId="1A2684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1" w:type="pct"/>
                  <w:vAlign w:val="center"/>
                </w:tcPr>
                <w:p w14:paraId="746D9F79">
                  <w:pPr>
                    <w:autoSpaceDE w:val="0"/>
                    <w:autoSpaceDN w:val="0"/>
                    <w:adjustRightIn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风险防范措施要求</w:t>
                  </w:r>
                </w:p>
              </w:tc>
              <w:tc>
                <w:tcPr>
                  <w:tcW w:w="3568" w:type="pct"/>
                  <w:vAlign w:val="center"/>
                </w:tcPr>
                <w:p w14:paraId="0D400019">
                  <w:pPr>
                    <w:autoSpaceDE w:val="0"/>
                    <w:autoSpaceDN w:val="0"/>
                    <w:adjustRightInd w:val="0"/>
                    <w:spacing w:line="240" w:lineRule="exact"/>
                    <w:jc w:val="left"/>
                    <w:rPr>
                      <w:rFonts w:hint="eastAsia" w:eastAsia="宋体"/>
                      <w:color w:val="000000" w:themeColor="text1"/>
                      <w:szCs w:val="21"/>
                      <w:highlight w:val="none"/>
                      <w:lang w:eastAsia="zh-CN"/>
                      <w14:textFill>
                        <w14:solidFill>
                          <w14:schemeClr w14:val="tx1"/>
                        </w14:solidFill>
                      </w14:textFill>
                    </w:rPr>
                  </w:pPr>
                  <w:r>
                    <w:rPr>
                      <w:color w:val="000000" w:themeColor="text1"/>
                      <w:szCs w:val="21"/>
                      <w:highlight w:val="none"/>
                      <w14:textFill>
                        <w14:solidFill>
                          <w14:schemeClr w14:val="tx1"/>
                        </w14:solidFill>
                      </w14:textFill>
                    </w:rPr>
                    <w:t>1、加强危险废物管理，建立定期巡查制度；定期对员工进行环境安全培训、岗位操作培训。</w:t>
                  </w:r>
                  <w:r>
                    <w:rPr>
                      <w:rFonts w:hint="eastAsia"/>
                      <w:color w:val="000000" w:themeColor="text1"/>
                      <w:szCs w:val="21"/>
                      <w:highlight w:val="none"/>
                      <w:lang w:val="en-US" w:eastAsia="zh-CN"/>
                      <w14:textFill>
                        <w14:solidFill>
                          <w14:schemeClr w14:val="tx1"/>
                        </w14:solidFill>
                      </w14:textFill>
                    </w:rPr>
                    <w:t>2</w:t>
                  </w:r>
                  <w:r>
                    <w:rPr>
                      <w:color w:val="000000" w:themeColor="text1"/>
                      <w:szCs w:val="21"/>
                      <w:highlight w:val="none"/>
                      <w14:textFill>
                        <w14:solidFill>
                          <w14:schemeClr w14:val="tx1"/>
                        </w14:solidFill>
                      </w14:textFill>
                    </w:rPr>
                    <w:t>、建立应急组织体系，根据应急预案要求，定期演练。</w:t>
                  </w:r>
                  <w:r>
                    <w:rPr>
                      <w:rFonts w:hint="eastAsia"/>
                      <w:color w:val="000000" w:themeColor="text1"/>
                      <w:szCs w:val="21"/>
                      <w:highlight w:val="none"/>
                      <w:lang w:val="en-US" w:eastAsia="zh-CN"/>
                      <w14:textFill>
                        <w14:solidFill>
                          <w14:schemeClr w14:val="tx1"/>
                        </w14:solidFill>
                      </w14:textFill>
                    </w:rPr>
                    <w:t>3</w:t>
                  </w:r>
                  <w:r>
                    <w:rPr>
                      <w:color w:val="000000" w:themeColor="text1"/>
                      <w:szCs w:val="21"/>
                      <w:highlight w:val="none"/>
                      <w14:textFill>
                        <w14:solidFill>
                          <w14:schemeClr w14:val="tx1"/>
                        </w14:solidFill>
                      </w14:textFill>
                    </w:rPr>
                    <w:t>、定期对厂房进行检查，远离明火、静电等，保证正常存放。</w:t>
                  </w:r>
                  <w:r>
                    <w:rPr>
                      <w:rFonts w:hint="eastAsia"/>
                      <w:color w:val="000000" w:themeColor="text1"/>
                      <w:szCs w:val="21"/>
                      <w:highlight w:val="none"/>
                      <w:lang w:val="en-US" w:eastAsia="zh-CN"/>
                      <w14:textFill>
                        <w14:solidFill>
                          <w14:schemeClr w14:val="tx1"/>
                        </w14:solidFill>
                      </w14:textFill>
                    </w:rPr>
                    <w:t>4</w:t>
                  </w:r>
                  <w:r>
                    <w:rPr>
                      <w:color w:val="000000" w:themeColor="text1"/>
                      <w:szCs w:val="21"/>
                      <w:highlight w:val="none"/>
                      <w14:textFill>
                        <w14:solidFill>
                          <w14:schemeClr w14:val="tx1"/>
                        </w14:solidFill>
                      </w14:textFill>
                    </w:rPr>
                    <w:t>、危废仓库地面采取防渗措施，防止污水泄漏对土壤、地下水的污染。</w:t>
                  </w:r>
                  <w:r>
                    <w:rPr>
                      <w:rFonts w:hint="eastAsia"/>
                      <w:color w:val="000000" w:themeColor="text1"/>
                      <w:szCs w:val="21"/>
                      <w:highlight w:val="none"/>
                      <w:lang w:val="en-US" w:eastAsia="zh-CN"/>
                      <w14:textFill>
                        <w14:solidFill>
                          <w14:schemeClr w14:val="tx1"/>
                        </w14:solidFill>
                      </w14:textFill>
                    </w:rPr>
                    <w:t>5</w:t>
                  </w:r>
                  <w:r>
                    <w:rPr>
                      <w:color w:val="000000" w:themeColor="text1"/>
                      <w:szCs w:val="21"/>
                      <w:highlight w:val="none"/>
                      <w14:textFill>
                        <w14:solidFill>
                          <w14:schemeClr w14:val="tx1"/>
                        </w14:solidFill>
                      </w14:textFill>
                    </w:rPr>
                    <w:t>、为了防范事故和减少危害，建设单位应从污染治理系统事故运行机制、水环境的防范措施、事故废水收集截断措施、风险处理应急措施等方面编制详细的风险防范措施，并根据企业的环境突发事件应急预案要求整改内容进行整改。</w:t>
                  </w:r>
                  <w:r>
                    <w:rPr>
                      <w:rFonts w:hint="eastAsia"/>
                      <w:color w:val="000000" w:themeColor="text1"/>
                      <w:szCs w:val="21"/>
                      <w:highlight w:val="none"/>
                      <w:lang w:val="en-US" w:eastAsia="zh-CN"/>
                      <w14:textFill>
                        <w14:solidFill>
                          <w14:schemeClr w14:val="tx1"/>
                        </w14:solidFill>
                      </w14:textFill>
                    </w:rPr>
                    <w:t>6</w:t>
                  </w:r>
                  <w:r>
                    <w:rPr>
                      <w:color w:val="000000" w:themeColor="text1"/>
                      <w:szCs w:val="2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依托现有1个200m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的</w:t>
                  </w:r>
                  <w:r>
                    <w:rPr>
                      <w:rFonts w:hint="eastAsia" w:cs="Times New Roman"/>
                      <w:color w:val="000000" w:themeColor="text1"/>
                      <w:highlight w:val="none"/>
                      <w:lang w:val="en-US" w:eastAsia="zh-CN"/>
                      <w14:textFill>
                        <w14:solidFill>
                          <w14:schemeClr w14:val="tx1"/>
                        </w14:solidFill>
                      </w14:textFill>
                    </w:rPr>
                    <w:t>应急事故池</w:t>
                  </w:r>
                  <w:r>
                    <w:rPr>
                      <w:rFonts w:hint="eastAsia"/>
                      <w:color w:val="000000" w:themeColor="text1"/>
                      <w:highlight w:val="none"/>
                      <w14:textFill>
                        <w14:solidFill>
                          <w14:schemeClr w14:val="tx1"/>
                        </w14:solidFill>
                      </w14:textFill>
                    </w:rPr>
                    <w:t>，雨污排口</w:t>
                  </w:r>
                  <w:r>
                    <w:rPr>
                      <w:rFonts w:hint="eastAsia"/>
                      <w:color w:val="000000" w:themeColor="text1"/>
                      <w:highlight w:val="none"/>
                      <w:lang w:val="en-US" w:eastAsia="zh-CN"/>
                      <w14:textFill>
                        <w14:solidFill>
                          <w14:schemeClr w14:val="tx1"/>
                        </w14:solidFill>
                      </w14:textFill>
                    </w:rPr>
                    <w:t>已</w:t>
                  </w:r>
                  <w:r>
                    <w:rPr>
                      <w:rFonts w:hint="eastAsia"/>
                      <w:color w:val="000000" w:themeColor="text1"/>
                      <w:highlight w:val="none"/>
                      <w14:textFill>
                        <w14:solidFill>
                          <w14:schemeClr w14:val="tx1"/>
                        </w14:solidFill>
                      </w14:textFill>
                    </w:rPr>
                    <w:t>安装截止阀</w:t>
                  </w:r>
                  <w:r>
                    <w:rPr>
                      <w:rFonts w:hint="eastAsia"/>
                      <w:color w:val="000000" w:themeColor="text1"/>
                      <w:highlight w:val="none"/>
                      <w:lang w:eastAsia="zh-CN"/>
                      <w14:textFill>
                        <w14:solidFill>
                          <w14:schemeClr w14:val="tx1"/>
                        </w14:solidFill>
                      </w14:textFill>
                    </w:rPr>
                    <w:t>。</w:t>
                  </w:r>
                </w:p>
              </w:tc>
            </w:tr>
          </w:tbl>
          <w:p w14:paraId="2D3BA86D">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6、土壤、地下水环境影响分析</w:t>
            </w:r>
          </w:p>
          <w:p w14:paraId="18B6C639">
            <w:pPr>
              <w:spacing w:line="440" w:lineRule="exact"/>
              <w:ind w:firstLine="480" w:firstLineChars="200"/>
              <w:rPr>
                <w:color w:val="000000" w:themeColor="text1"/>
                <w:sz w:val="24"/>
                <w:highlight w:val="none"/>
                <w14:textFill>
                  <w14:solidFill>
                    <w14:schemeClr w14:val="tx1"/>
                  </w14:solidFill>
                </w14:textFill>
              </w:rPr>
            </w:pPr>
            <w:bookmarkStart w:id="14" w:name="_Hlk58946322"/>
            <w:r>
              <w:rPr>
                <w:color w:val="000000" w:themeColor="text1"/>
                <w:sz w:val="24"/>
                <w:highlight w:val="none"/>
                <w14:textFill>
                  <w14:solidFill>
                    <w14:schemeClr w14:val="tx1"/>
                  </w14:solidFill>
                </w14:textFill>
              </w:rPr>
              <w:t>（1）地下水、土壤污染源分析</w:t>
            </w:r>
          </w:p>
          <w:p w14:paraId="241AE442">
            <w:pPr>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建设项目地下水、土壤环境影响源及影响途径见</w:t>
            </w:r>
            <w:r>
              <w:rPr>
                <w:rFonts w:hint="eastAsia"/>
                <w:color w:val="000000" w:themeColor="text1"/>
                <w:sz w:val="24"/>
                <w:highlight w:val="none"/>
                <w:lang w:val="en-US" w:eastAsia="zh-CN"/>
                <w14:textFill>
                  <w14:solidFill>
                    <w14:schemeClr w14:val="tx1"/>
                  </w14:solidFill>
                </w14:textFill>
              </w:rPr>
              <w:t>下表</w:t>
            </w:r>
            <w:r>
              <w:rPr>
                <w:color w:val="000000" w:themeColor="text1"/>
                <w:sz w:val="24"/>
                <w:highlight w:val="none"/>
                <w14:textFill>
                  <w14:solidFill>
                    <w14:schemeClr w14:val="tx1"/>
                  </w14:solidFill>
                </w14:textFill>
              </w:rPr>
              <w:t>。</w:t>
            </w:r>
          </w:p>
          <w:p w14:paraId="56878EDD">
            <w:pPr>
              <w:pStyle w:val="125"/>
              <w:numPr>
                <w:ilvl w:val="0"/>
                <w:numId w:val="0"/>
              </w:numPr>
              <w:spacing w:line="440" w:lineRule="exact"/>
              <w:rPr>
                <w:rFonts w:hint="default"/>
                <w:color w:val="000000" w:themeColor="text1"/>
                <w:sz w:val="24"/>
                <w:highlight w:val="none"/>
                <w:lang w:val="zh-CN"/>
                <w14:textFill>
                  <w14:solidFill>
                    <w14:schemeClr w14:val="tx1"/>
                  </w14:solidFill>
                </w14:textFill>
              </w:rPr>
            </w:pPr>
            <w:r>
              <w:rPr>
                <w:rFonts w:hint="default"/>
                <w:color w:val="000000" w:themeColor="text1"/>
                <w:sz w:val="24"/>
                <w:highlight w:val="none"/>
                <w:lang w:val="zh-CN"/>
                <w14:textFill>
                  <w14:solidFill>
                    <w14:schemeClr w14:val="tx1"/>
                  </w14:solidFill>
                </w14:textFill>
              </w:rPr>
              <w:t>表4-</w:t>
            </w:r>
            <w:r>
              <w:rPr>
                <w:rFonts w:hint="eastAsia"/>
                <w:color w:val="000000" w:themeColor="text1"/>
                <w:sz w:val="24"/>
                <w:highlight w:val="none"/>
                <w:lang w:val="en-US" w:eastAsia="zh-CN"/>
                <w14:textFill>
                  <w14:solidFill>
                    <w14:schemeClr w14:val="tx1"/>
                  </w14:solidFill>
                </w14:textFill>
              </w:rPr>
              <w:t xml:space="preserve">39  </w:t>
            </w:r>
            <w:r>
              <w:rPr>
                <w:rFonts w:hint="default"/>
                <w:color w:val="000000" w:themeColor="text1"/>
                <w:sz w:val="24"/>
                <w:highlight w:val="none"/>
                <w14:textFill>
                  <w14:solidFill>
                    <w14:schemeClr w14:val="tx1"/>
                  </w14:solidFill>
                </w14:textFill>
              </w:rPr>
              <w:t>建设项目</w:t>
            </w:r>
            <w:r>
              <w:rPr>
                <w:rFonts w:hint="default"/>
                <w:color w:val="000000" w:themeColor="text1"/>
                <w:sz w:val="24"/>
                <w:highlight w:val="none"/>
                <w:lang w:val="zh-CN"/>
                <w14:textFill>
                  <w14:solidFill>
                    <w14:schemeClr w14:val="tx1"/>
                  </w14:solidFill>
                </w14:textFill>
              </w:rPr>
              <w:t>土壤环境影响源及影响因子识别</w:t>
            </w:r>
          </w:p>
          <w:tbl>
            <w:tblPr>
              <w:tblStyle w:val="38"/>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76"/>
              <w:gridCol w:w="1094"/>
              <w:gridCol w:w="1462"/>
              <w:gridCol w:w="1462"/>
              <w:gridCol w:w="1220"/>
              <w:gridCol w:w="1703"/>
            </w:tblGrid>
            <w:tr w14:paraId="26B36C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5" w:type="pct"/>
                  <w:vAlign w:val="center"/>
                </w:tcPr>
                <w:p w14:paraId="4A86700D">
                  <w:pPr>
                    <w:adjustRightInd w:val="0"/>
                    <w:snapToGrid w:val="0"/>
                    <w:spacing w:line="240" w:lineRule="exact"/>
                    <w:jc w:val="center"/>
                    <w:rPr>
                      <w:b/>
                      <w:snapToGrid w:val="0"/>
                      <w:color w:val="000000" w:themeColor="text1"/>
                      <w:kern w:val="0"/>
                      <w:szCs w:val="21"/>
                      <w:highlight w:val="none"/>
                      <w:lang w:val="zh-CN"/>
                      <w14:textFill>
                        <w14:solidFill>
                          <w14:schemeClr w14:val="tx1"/>
                        </w14:solidFill>
                      </w14:textFill>
                    </w:rPr>
                  </w:pPr>
                  <w:r>
                    <w:rPr>
                      <w:b/>
                      <w:snapToGrid w:val="0"/>
                      <w:color w:val="000000" w:themeColor="text1"/>
                      <w:kern w:val="0"/>
                      <w:szCs w:val="21"/>
                      <w:highlight w:val="none"/>
                      <w:lang w:val="zh-CN"/>
                      <w14:textFill>
                        <w14:solidFill>
                          <w14:schemeClr w14:val="tx1"/>
                        </w14:solidFill>
                      </w14:textFill>
                    </w:rPr>
                    <w:t>污染源</w:t>
                  </w:r>
                </w:p>
              </w:tc>
              <w:tc>
                <w:tcPr>
                  <w:tcW w:w="642" w:type="pct"/>
                  <w:vAlign w:val="center"/>
                </w:tcPr>
                <w:p w14:paraId="69ED2CE7">
                  <w:pPr>
                    <w:adjustRightInd w:val="0"/>
                    <w:snapToGrid w:val="0"/>
                    <w:spacing w:line="240" w:lineRule="exact"/>
                    <w:jc w:val="center"/>
                    <w:rPr>
                      <w:b/>
                      <w:snapToGrid w:val="0"/>
                      <w:color w:val="000000" w:themeColor="text1"/>
                      <w:kern w:val="0"/>
                      <w:szCs w:val="21"/>
                      <w:highlight w:val="none"/>
                      <w:lang w:val="zh-CN"/>
                      <w14:textFill>
                        <w14:solidFill>
                          <w14:schemeClr w14:val="tx1"/>
                        </w14:solidFill>
                      </w14:textFill>
                    </w:rPr>
                  </w:pPr>
                  <w:r>
                    <w:rPr>
                      <w:b/>
                      <w:snapToGrid w:val="0"/>
                      <w:color w:val="000000" w:themeColor="text1"/>
                      <w:kern w:val="0"/>
                      <w:szCs w:val="21"/>
                      <w:highlight w:val="none"/>
                      <w:lang w:val="zh-CN"/>
                      <w14:textFill>
                        <w14:solidFill>
                          <w14:schemeClr w14:val="tx1"/>
                        </w14:solidFill>
                      </w14:textFill>
                    </w:rPr>
                    <w:t>污染工序</w:t>
                  </w:r>
                </w:p>
              </w:tc>
              <w:tc>
                <w:tcPr>
                  <w:tcW w:w="858" w:type="pct"/>
                  <w:vAlign w:val="center"/>
                </w:tcPr>
                <w:p w14:paraId="10195189">
                  <w:pPr>
                    <w:adjustRightInd w:val="0"/>
                    <w:snapToGrid w:val="0"/>
                    <w:spacing w:line="240" w:lineRule="exact"/>
                    <w:jc w:val="center"/>
                    <w:rPr>
                      <w:b/>
                      <w:snapToGrid w:val="0"/>
                      <w:color w:val="000000" w:themeColor="text1"/>
                      <w:kern w:val="0"/>
                      <w:szCs w:val="21"/>
                      <w:highlight w:val="none"/>
                      <w:lang w:val="zh-CN"/>
                      <w14:textFill>
                        <w14:solidFill>
                          <w14:schemeClr w14:val="tx1"/>
                        </w14:solidFill>
                      </w14:textFill>
                    </w:rPr>
                  </w:pPr>
                  <w:r>
                    <w:rPr>
                      <w:b/>
                      <w:snapToGrid w:val="0"/>
                      <w:color w:val="000000" w:themeColor="text1"/>
                      <w:kern w:val="0"/>
                      <w:szCs w:val="21"/>
                      <w:highlight w:val="none"/>
                      <w:lang w:val="zh-CN"/>
                      <w14:textFill>
                        <w14:solidFill>
                          <w14:schemeClr w14:val="tx1"/>
                        </w14:solidFill>
                      </w14:textFill>
                    </w:rPr>
                    <w:t>污染物类型</w:t>
                  </w:r>
                </w:p>
              </w:tc>
              <w:tc>
                <w:tcPr>
                  <w:tcW w:w="858" w:type="pct"/>
                  <w:vAlign w:val="center"/>
                </w:tcPr>
                <w:p w14:paraId="6E83749A">
                  <w:pPr>
                    <w:adjustRightInd w:val="0"/>
                    <w:snapToGrid w:val="0"/>
                    <w:spacing w:line="240" w:lineRule="exact"/>
                    <w:jc w:val="center"/>
                    <w:rPr>
                      <w:b/>
                      <w:snapToGrid w:val="0"/>
                      <w:color w:val="000000" w:themeColor="text1"/>
                      <w:kern w:val="0"/>
                      <w:szCs w:val="21"/>
                      <w:highlight w:val="none"/>
                      <w:lang w:val="zh-CN"/>
                      <w14:textFill>
                        <w14:solidFill>
                          <w14:schemeClr w14:val="tx1"/>
                        </w14:solidFill>
                      </w14:textFill>
                    </w:rPr>
                  </w:pPr>
                  <w:r>
                    <w:rPr>
                      <w:b/>
                      <w:snapToGrid w:val="0"/>
                      <w:color w:val="000000" w:themeColor="text1"/>
                      <w:kern w:val="0"/>
                      <w:szCs w:val="21"/>
                      <w:highlight w:val="none"/>
                      <w:lang w:val="zh-CN"/>
                      <w14:textFill>
                        <w14:solidFill>
                          <w14:schemeClr w14:val="tx1"/>
                        </w14:solidFill>
                      </w14:textFill>
                    </w:rPr>
                    <w:t>污染物名称</w:t>
                  </w:r>
                </w:p>
              </w:tc>
              <w:tc>
                <w:tcPr>
                  <w:tcW w:w="716" w:type="pct"/>
                  <w:vAlign w:val="center"/>
                </w:tcPr>
                <w:p w14:paraId="2CAD2A08">
                  <w:pPr>
                    <w:adjustRightInd w:val="0"/>
                    <w:snapToGrid w:val="0"/>
                    <w:spacing w:line="240" w:lineRule="exact"/>
                    <w:jc w:val="center"/>
                    <w:rPr>
                      <w:b/>
                      <w:snapToGrid w:val="0"/>
                      <w:color w:val="000000" w:themeColor="text1"/>
                      <w:kern w:val="0"/>
                      <w:szCs w:val="21"/>
                      <w:highlight w:val="none"/>
                      <w:lang w:val="zh-CN"/>
                      <w14:textFill>
                        <w14:solidFill>
                          <w14:schemeClr w14:val="tx1"/>
                        </w14:solidFill>
                      </w14:textFill>
                    </w:rPr>
                  </w:pPr>
                  <w:r>
                    <w:rPr>
                      <w:b/>
                      <w:snapToGrid w:val="0"/>
                      <w:color w:val="000000" w:themeColor="text1"/>
                      <w:kern w:val="0"/>
                      <w:szCs w:val="21"/>
                      <w:highlight w:val="none"/>
                      <w:lang w:val="zh-CN"/>
                      <w14:textFill>
                        <w14:solidFill>
                          <w14:schemeClr w14:val="tx1"/>
                        </w14:solidFill>
                      </w14:textFill>
                    </w:rPr>
                    <w:t>污染途径</w:t>
                  </w:r>
                </w:p>
              </w:tc>
              <w:tc>
                <w:tcPr>
                  <w:tcW w:w="999" w:type="pct"/>
                  <w:vAlign w:val="center"/>
                </w:tcPr>
                <w:p w14:paraId="618F3D96">
                  <w:pPr>
                    <w:adjustRightInd w:val="0"/>
                    <w:snapToGrid w:val="0"/>
                    <w:spacing w:line="240" w:lineRule="exact"/>
                    <w:jc w:val="center"/>
                    <w:rPr>
                      <w:b/>
                      <w:snapToGrid w:val="0"/>
                      <w:color w:val="000000" w:themeColor="text1"/>
                      <w:kern w:val="0"/>
                      <w:szCs w:val="21"/>
                      <w:highlight w:val="none"/>
                      <w:lang w:val="zh-CN"/>
                      <w14:textFill>
                        <w14:solidFill>
                          <w14:schemeClr w14:val="tx1"/>
                        </w14:solidFill>
                      </w14:textFill>
                    </w:rPr>
                  </w:pPr>
                  <w:r>
                    <w:rPr>
                      <w:b/>
                      <w:snapToGrid w:val="0"/>
                      <w:color w:val="000000" w:themeColor="text1"/>
                      <w:kern w:val="0"/>
                      <w:szCs w:val="21"/>
                      <w:highlight w:val="none"/>
                      <w:lang w:val="zh-CN"/>
                      <w14:textFill>
                        <w14:solidFill>
                          <w14:schemeClr w14:val="tx1"/>
                        </w14:solidFill>
                      </w14:textFill>
                    </w:rPr>
                    <w:t>备注</w:t>
                  </w:r>
                </w:p>
              </w:tc>
            </w:tr>
            <w:tr w14:paraId="618D1A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5" w:type="pct"/>
                  <w:vAlign w:val="center"/>
                </w:tcPr>
                <w:p w14:paraId="7ADA9C71">
                  <w:pPr>
                    <w:snapToGrid w:val="0"/>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生产车间</w:t>
                  </w:r>
                </w:p>
              </w:tc>
              <w:tc>
                <w:tcPr>
                  <w:tcW w:w="642" w:type="pct"/>
                  <w:vAlign w:val="center"/>
                </w:tcPr>
                <w:p w14:paraId="2AB3AD57">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废气排放</w:t>
                  </w:r>
                </w:p>
              </w:tc>
              <w:tc>
                <w:tcPr>
                  <w:tcW w:w="858" w:type="pct"/>
                  <w:vAlign w:val="center"/>
                </w:tcPr>
                <w:p w14:paraId="1B9ABABD">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非正常排放</w:t>
                  </w:r>
                </w:p>
              </w:tc>
              <w:tc>
                <w:tcPr>
                  <w:tcW w:w="858" w:type="pct"/>
                  <w:vAlign w:val="center"/>
                </w:tcPr>
                <w:p w14:paraId="21B0DF5B">
                  <w:pPr>
                    <w:snapToGrid w:val="0"/>
                    <w:spacing w:line="240" w:lineRule="exact"/>
                    <w:jc w:val="center"/>
                    <w:rPr>
                      <w:rFonts w:hint="eastAsia" w:eastAsia="宋体"/>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颗粒物、</w:t>
                  </w:r>
                  <w:r>
                    <w:rPr>
                      <w:rFonts w:hint="eastAsia"/>
                      <w:color w:val="000000" w:themeColor="text1"/>
                      <w:szCs w:val="21"/>
                      <w:highlight w:val="none"/>
                      <w:lang w:eastAsia="zh-CN"/>
                      <w14:textFill>
                        <w14:solidFill>
                          <w14:schemeClr w14:val="tx1"/>
                        </w14:solidFill>
                      </w14:textFill>
                    </w:rPr>
                    <w:t>非甲烷总烃、乙醛、四氢呋喃</w:t>
                  </w:r>
                </w:p>
              </w:tc>
              <w:tc>
                <w:tcPr>
                  <w:tcW w:w="716" w:type="pct"/>
                  <w:vAlign w:val="center"/>
                </w:tcPr>
                <w:p w14:paraId="40C6639A">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大气沉降</w:t>
                  </w:r>
                </w:p>
              </w:tc>
              <w:tc>
                <w:tcPr>
                  <w:tcW w:w="999" w:type="pct"/>
                  <w:vAlign w:val="center"/>
                </w:tcPr>
                <w:p w14:paraId="42C2FC20">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土壤</w:t>
                  </w:r>
                </w:p>
              </w:tc>
            </w:tr>
            <w:tr w14:paraId="4CA930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925" w:type="pct"/>
                  <w:vAlign w:val="center"/>
                </w:tcPr>
                <w:p w14:paraId="2E5A4F93">
                  <w:pPr>
                    <w:snapToGrid w:val="0"/>
                    <w:spacing w:line="24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原料仓库</w:t>
                  </w:r>
                </w:p>
              </w:tc>
              <w:tc>
                <w:tcPr>
                  <w:tcW w:w="642" w:type="pct"/>
                  <w:vAlign w:val="center"/>
                </w:tcPr>
                <w:p w14:paraId="3F698EE7">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原料储存</w:t>
                  </w:r>
                </w:p>
              </w:tc>
              <w:tc>
                <w:tcPr>
                  <w:tcW w:w="858" w:type="pct"/>
                  <w:vAlign w:val="center"/>
                </w:tcPr>
                <w:p w14:paraId="0D6D659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泄漏</w:t>
                  </w:r>
                </w:p>
              </w:tc>
              <w:tc>
                <w:tcPr>
                  <w:tcW w:w="858" w:type="pct"/>
                  <w:vAlign w:val="center"/>
                </w:tcPr>
                <w:p w14:paraId="10451C80">
                  <w:pPr>
                    <w:snapToGrid w:val="0"/>
                    <w:spacing w:line="240" w:lineRule="exact"/>
                    <w:jc w:val="center"/>
                    <w:rPr>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硫化剂</w:t>
                  </w:r>
                </w:p>
              </w:tc>
              <w:tc>
                <w:tcPr>
                  <w:tcW w:w="716" w:type="pct"/>
                  <w:vAlign w:val="center"/>
                </w:tcPr>
                <w:p w14:paraId="268388E8">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地表漫流</w:t>
                  </w:r>
                  <w:r>
                    <w:rPr>
                      <w:color w:val="000000" w:themeColor="text1"/>
                      <w:szCs w:val="21"/>
                      <w:highlight w:val="none"/>
                      <w:lang w:val="zh-CN"/>
                      <w14:textFill>
                        <w14:solidFill>
                          <w14:schemeClr w14:val="tx1"/>
                        </w14:solidFill>
                      </w14:textFill>
                    </w:rPr>
                    <w:t>、垂直入渗</w:t>
                  </w:r>
                </w:p>
              </w:tc>
              <w:tc>
                <w:tcPr>
                  <w:tcW w:w="999" w:type="pct"/>
                  <w:vAlign w:val="center"/>
                </w:tcPr>
                <w:p w14:paraId="2DD8E077">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地下水、土壤</w:t>
                  </w:r>
                </w:p>
              </w:tc>
            </w:tr>
            <w:tr w14:paraId="652878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5" w:type="pct"/>
                  <w:vAlign w:val="center"/>
                </w:tcPr>
                <w:p w14:paraId="4BEA72B5">
                  <w:pPr>
                    <w:snapToGrid w:val="0"/>
                    <w:spacing w:line="240" w:lineRule="exact"/>
                    <w:jc w:val="center"/>
                    <w:rPr>
                      <w:color w:val="000000" w:themeColor="text1"/>
                      <w:szCs w:val="21"/>
                      <w:highlight w:val="none"/>
                      <w:lang w:val="zh-CN"/>
                      <w14:textFill>
                        <w14:solidFill>
                          <w14:schemeClr w14:val="tx1"/>
                        </w14:solidFill>
                      </w14:textFill>
                    </w:rPr>
                  </w:pPr>
                  <w:r>
                    <w:rPr>
                      <w:rFonts w:hint="eastAsia"/>
                      <w:color w:val="000000" w:themeColor="text1"/>
                      <w:szCs w:val="21"/>
                      <w:highlight w:val="none"/>
                      <w:lang w:val="zh-CN"/>
                      <w14:textFill>
                        <w14:solidFill>
                          <w14:schemeClr w14:val="tx1"/>
                        </w14:solidFill>
                      </w14:textFill>
                    </w:rPr>
                    <w:t>危废仓库</w:t>
                  </w:r>
                </w:p>
              </w:tc>
              <w:tc>
                <w:tcPr>
                  <w:tcW w:w="642" w:type="pct"/>
                  <w:vAlign w:val="center"/>
                </w:tcPr>
                <w:p w14:paraId="7F661FF2">
                  <w:pPr>
                    <w:snapToGrid w:val="0"/>
                    <w:spacing w:line="240" w:lineRule="exact"/>
                    <w:jc w:val="center"/>
                    <w:rPr>
                      <w:color w:val="000000" w:themeColor="text1"/>
                      <w:szCs w:val="21"/>
                      <w:highlight w:val="none"/>
                      <w:lang w:val="zh-CN"/>
                      <w14:textFill>
                        <w14:solidFill>
                          <w14:schemeClr w14:val="tx1"/>
                        </w14:solidFill>
                      </w14:textFill>
                    </w:rPr>
                  </w:pPr>
                  <w:r>
                    <w:rPr>
                      <w:rFonts w:hint="eastAsia"/>
                      <w:color w:val="000000" w:themeColor="text1"/>
                      <w:szCs w:val="21"/>
                      <w:highlight w:val="none"/>
                      <w:lang w:val="zh-CN"/>
                      <w14:textFill>
                        <w14:solidFill>
                          <w14:schemeClr w14:val="tx1"/>
                        </w14:solidFill>
                      </w14:textFill>
                    </w:rPr>
                    <w:t>危废</w:t>
                  </w:r>
                  <w:r>
                    <w:rPr>
                      <w:color w:val="000000" w:themeColor="text1"/>
                      <w:szCs w:val="21"/>
                      <w:highlight w:val="none"/>
                      <w14:textFill>
                        <w14:solidFill>
                          <w14:schemeClr w14:val="tx1"/>
                        </w14:solidFill>
                      </w14:textFill>
                    </w:rPr>
                    <w:t>储存</w:t>
                  </w:r>
                </w:p>
              </w:tc>
              <w:tc>
                <w:tcPr>
                  <w:tcW w:w="858" w:type="pct"/>
                  <w:vAlign w:val="center"/>
                </w:tcPr>
                <w:p w14:paraId="7881B4F0">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泄漏</w:t>
                  </w:r>
                </w:p>
              </w:tc>
              <w:tc>
                <w:tcPr>
                  <w:tcW w:w="858" w:type="pct"/>
                  <w:vAlign w:val="center"/>
                </w:tcPr>
                <w:p w14:paraId="7C6CABF2">
                  <w:pPr>
                    <w:snapToGrid w:val="0"/>
                    <w:spacing w:line="240" w:lineRule="exact"/>
                    <w:jc w:val="center"/>
                    <w:rPr>
                      <w:color w:val="000000" w:themeColor="text1"/>
                      <w:szCs w:val="21"/>
                      <w:highlight w:val="none"/>
                      <w:lang w:val="zh-CN"/>
                      <w14:textFill>
                        <w14:solidFill>
                          <w14:schemeClr w14:val="tx1"/>
                        </w14:solidFill>
                      </w14:textFill>
                    </w:rPr>
                  </w:pPr>
                  <w:r>
                    <w:rPr>
                      <w:rFonts w:hint="eastAsia"/>
                      <w:color w:val="000000" w:themeColor="text1"/>
                      <w:szCs w:val="21"/>
                      <w:highlight w:val="none"/>
                      <w14:textFill>
                        <w14:solidFill>
                          <w14:schemeClr w14:val="tx1"/>
                        </w14:solidFill>
                      </w14:textFill>
                    </w:rPr>
                    <w:t>废</w:t>
                  </w:r>
                  <w:r>
                    <w:rPr>
                      <w:rFonts w:hint="eastAsia"/>
                      <w:color w:val="000000" w:themeColor="text1"/>
                      <w:szCs w:val="21"/>
                      <w:highlight w:val="none"/>
                      <w:lang w:val="en-US" w:eastAsia="zh-CN"/>
                      <w14:textFill>
                        <w14:solidFill>
                          <w14:schemeClr w14:val="tx1"/>
                        </w14:solidFill>
                      </w14:textFill>
                    </w:rPr>
                    <w:t>过滤棉</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废活性炭等</w:t>
                  </w:r>
                  <w:r>
                    <w:rPr>
                      <w:color w:val="000000" w:themeColor="text1"/>
                      <w:szCs w:val="21"/>
                      <w:highlight w:val="none"/>
                      <w:lang w:val="zh-CN"/>
                      <w14:textFill>
                        <w14:solidFill>
                          <w14:schemeClr w14:val="tx1"/>
                        </w14:solidFill>
                      </w14:textFill>
                    </w:rPr>
                    <w:t>危险废物</w:t>
                  </w:r>
                </w:p>
              </w:tc>
              <w:tc>
                <w:tcPr>
                  <w:tcW w:w="716" w:type="pct"/>
                  <w:vAlign w:val="center"/>
                </w:tcPr>
                <w:p w14:paraId="1DD9505F">
                  <w:pPr>
                    <w:snapToGrid w:val="0"/>
                    <w:spacing w:line="240" w:lineRule="exact"/>
                    <w:jc w:val="center"/>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地表漫流</w:t>
                  </w:r>
                  <w:r>
                    <w:rPr>
                      <w:color w:val="000000" w:themeColor="text1"/>
                      <w:szCs w:val="21"/>
                      <w:highlight w:val="none"/>
                      <w:lang w:val="zh-CN"/>
                      <w14:textFill>
                        <w14:solidFill>
                          <w14:schemeClr w14:val="tx1"/>
                        </w14:solidFill>
                      </w14:textFill>
                    </w:rPr>
                    <w:t>、垂直入渗</w:t>
                  </w:r>
                </w:p>
              </w:tc>
              <w:tc>
                <w:tcPr>
                  <w:tcW w:w="999" w:type="pct"/>
                  <w:vAlign w:val="center"/>
                </w:tcPr>
                <w:p w14:paraId="2C445F4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地下水、土壤</w:t>
                  </w:r>
                </w:p>
              </w:tc>
            </w:tr>
          </w:tbl>
          <w:p w14:paraId="166C3731">
            <w:pPr>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由上表可知，</w:t>
            </w:r>
            <w:r>
              <w:rPr>
                <w:rFonts w:hint="eastAsia"/>
                <w:color w:val="000000" w:themeColor="text1"/>
                <w:sz w:val="24"/>
                <w:highlight w:val="none"/>
                <w:lang w:eastAsia="zh-CN"/>
                <w14:textFill>
                  <w14:solidFill>
                    <w14:schemeClr w14:val="tx1"/>
                  </w14:solidFill>
                </w14:textFill>
              </w:rPr>
              <w:t>本项目</w:t>
            </w:r>
            <w:r>
              <w:rPr>
                <w:color w:val="000000" w:themeColor="text1"/>
                <w:sz w:val="24"/>
                <w:highlight w:val="none"/>
                <w14:textFill>
                  <w14:solidFill>
                    <w14:schemeClr w14:val="tx1"/>
                  </w14:solidFill>
                </w14:textFill>
              </w:rPr>
              <w:t>土壤环境影响途径包括大气沉降、地表漫流和垂直入渗，主要污染物包括废气污染物（</w:t>
            </w:r>
            <w:r>
              <w:rPr>
                <w:rFonts w:hint="eastAsia"/>
                <w:color w:val="000000" w:themeColor="text1"/>
                <w:sz w:val="24"/>
                <w:highlight w:val="none"/>
                <w:lang w:eastAsia="zh-CN"/>
                <w14:textFill>
                  <w14:solidFill>
                    <w14:schemeClr w14:val="tx1"/>
                  </w14:solidFill>
                </w14:textFill>
              </w:rPr>
              <w:t>颗粒物、非甲烷总烃、乙醛、四氢呋喃</w:t>
            </w:r>
            <w:r>
              <w:rPr>
                <w:color w:val="000000" w:themeColor="text1"/>
                <w:sz w:val="24"/>
                <w:highlight w:val="none"/>
                <w14:textFill>
                  <w14:solidFill>
                    <w14:schemeClr w14:val="tx1"/>
                  </w14:solidFill>
                </w14:textFill>
              </w:rPr>
              <w:t>）、固体废物以及化学品原辅料等；地下水环境影响途径为地表漫流和垂直入渗，主要污染物包括固体废物以及化学品原辅料等。</w:t>
            </w:r>
          </w:p>
          <w:p w14:paraId="1C78D71A">
            <w:pPr>
              <w:adjustRightInd w:val="0"/>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（2）污染防控措施</w:t>
            </w:r>
          </w:p>
          <w:p w14:paraId="4404DFBE">
            <w:pPr>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针对企业危险废物暂存过程，采取合理有效的工程措施可防止污染物对地下水、土壤的污染。为更好地保护地下水和土壤资源，将项目对环境的影响降至最低限度，建议采取相关措施，具体如下：</w:t>
            </w:r>
          </w:p>
          <w:p w14:paraId="7DCB3BCD">
            <w:pPr>
              <w:snapToGrid w:val="0"/>
              <w:spacing w:line="440" w:lineRule="exact"/>
              <w:ind w:left="48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fldChar w:fldCharType="begin"/>
            </w:r>
            <w:r>
              <w:rPr>
                <w:color w:val="000000" w:themeColor="text1"/>
                <w:sz w:val="24"/>
                <w:highlight w:val="none"/>
                <w14:textFill>
                  <w14:solidFill>
                    <w14:schemeClr w14:val="tx1"/>
                  </w14:solidFill>
                </w14:textFill>
              </w:rPr>
              <w:instrText xml:space="preserve"> = 1 \* GB3 \* MERGEFORMAT </w:instrText>
            </w:r>
            <w:r>
              <w:rPr>
                <w:color w:val="000000" w:themeColor="text1"/>
                <w:sz w:val="24"/>
                <w:highlight w:val="none"/>
                <w14:textFill>
                  <w14:solidFill>
                    <w14:schemeClr w14:val="tx1"/>
                  </w14:solidFill>
                </w14:textFill>
              </w:rPr>
              <w:fldChar w:fldCharType="separate"/>
            </w:r>
            <w:r>
              <w:rPr>
                <w:color w:val="000000" w:themeColor="text1"/>
                <w:sz w:val="24"/>
                <w:highlight w:val="none"/>
                <w14:textFill>
                  <w14:solidFill>
                    <w14:schemeClr w14:val="tx1"/>
                  </w14:solidFill>
                </w14:textFill>
              </w:rPr>
              <w:t>①</w:t>
            </w:r>
            <w:r>
              <w:rPr>
                <w:color w:val="000000" w:themeColor="text1"/>
                <w:sz w:val="24"/>
                <w:highlight w:val="none"/>
                <w14:textFill>
                  <w14:solidFill>
                    <w14:schemeClr w14:val="tx1"/>
                  </w14:solidFill>
                </w14:textFill>
              </w:rPr>
              <w:fldChar w:fldCharType="end"/>
            </w:r>
            <w:r>
              <w:rPr>
                <w:color w:val="000000" w:themeColor="text1"/>
                <w:sz w:val="24"/>
                <w:highlight w:val="none"/>
                <w14:textFill>
                  <w14:solidFill>
                    <w14:schemeClr w14:val="tx1"/>
                  </w14:solidFill>
                </w14:textFill>
              </w:rPr>
              <w:t>源头控制</w:t>
            </w:r>
          </w:p>
          <w:p w14:paraId="1F6A01B3">
            <w:pPr>
              <w:snapToGrid w:val="0"/>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厂区采取雨污分流、清污分流，加强企业管理，定期对废气及废水处理设施等进行维护，避免非正常工况排放。</w:t>
            </w:r>
          </w:p>
          <w:p w14:paraId="70A4EE1A">
            <w:pPr>
              <w:snapToGrid w:val="0"/>
              <w:spacing w:line="440" w:lineRule="exact"/>
              <w:ind w:left="48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fldChar w:fldCharType="begin"/>
            </w:r>
            <w:r>
              <w:rPr>
                <w:color w:val="000000" w:themeColor="text1"/>
                <w:sz w:val="24"/>
                <w:highlight w:val="none"/>
                <w14:textFill>
                  <w14:solidFill>
                    <w14:schemeClr w14:val="tx1"/>
                  </w14:solidFill>
                </w14:textFill>
              </w:rPr>
              <w:instrText xml:space="preserve"> = 2 \* GB3 \* MERGEFORMAT </w:instrText>
            </w:r>
            <w:r>
              <w:rPr>
                <w:color w:val="000000" w:themeColor="text1"/>
                <w:sz w:val="24"/>
                <w:highlight w:val="none"/>
                <w14:textFill>
                  <w14:solidFill>
                    <w14:schemeClr w14:val="tx1"/>
                  </w14:solidFill>
                </w14:textFill>
              </w:rPr>
              <w:fldChar w:fldCharType="separate"/>
            </w:r>
            <w:r>
              <w:rPr>
                <w:color w:val="000000" w:themeColor="text1"/>
                <w:sz w:val="24"/>
                <w:highlight w:val="none"/>
                <w14:textFill>
                  <w14:solidFill>
                    <w14:schemeClr w14:val="tx1"/>
                  </w14:solidFill>
                </w14:textFill>
              </w:rPr>
              <w:t>②</w:t>
            </w:r>
            <w:r>
              <w:rPr>
                <w:color w:val="000000" w:themeColor="text1"/>
                <w:sz w:val="24"/>
                <w:highlight w:val="none"/>
                <w14:textFill>
                  <w14:solidFill>
                    <w14:schemeClr w14:val="tx1"/>
                  </w14:solidFill>
                </w14:textFill>
              </w:rPr>
              <w:fldChar w:fldCharType="end"/>
            </w:r>
            <w:r>
              <w:rPr>
                <w:color w:val="000000" w:themeColor="text1"/>
                <w:sz w:val="24"/>
                <w:highlight w:val="none"/>
                <w14:textFill>
                  <w14:solidFill>
                    <w14:schemeClr w14:val="tx1"/>
                  </w14:solidFill>
                </w14:textFill>
              </w:rPr>
              <w:t>分区防渗</w:t>
            </w:r>
          </w:p>
          <w:p w14:paraId="407E5916">
            <w:pPr>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结合</w:t>
            </w:r>
            <w:r>
              <w:rPr>
                <w:rFonts w:hint="eastAsia"/>
                <w:color w:val="000000" w:themeColor="text1"/>
                <w:sz w:val="24"/>
                <w:highlight w:val="none"/>
                <w:lang w:eastAsia="zh-CN"/>
                <w14:textFill>
                  <w14:solidFill>
                    <w14:schemeClr w14:val="tx1"/>
                  </w14:solidFill>
                </w14:textFill>
              </w:rPr>
              <w:t>本项目</w:t>
            </w:r>
            <w:r>
              <w:rPr>
                <w:color w:val="000000" w:themeColor="text1"/>
                <w:sz w:val="24"/>
                <w:highlight w:val="none"/>
                <w14:textFill>
                  <w14:solidFill>
                    <w14:schemeClr w14:val="tx1"/>
                  </w14:solidFill>
                </w14:textFill>
              </w:rPr>
              <w:t>各生产设备、贮存库等因素，根据场地天然包气带防污性能、污染控制难易程度和污染物特性对全厂进行分区防渗。本次评价要求建设单位采取分区防渗的措施，详见</w:t>
            </w:r>
            <w:r>
              <w:rPr>
                <w:rFonts w:hint="eastAsia"/>
                <w:color w:val="000000" w:themeColor="text1"/>
                <w:sz w:val="24"/>
                <w:highlight w:val="none"/>
                <w:lang w:val="en-US" w:eastAsia="zh-CN"/>
                <w14:textFill>
                  <w14:solidFill>
                    <w14:schemeClr w14:val="tx1"/>
                  </w14:solidFill>
                </w14:textFill>
              </w:rPr>
              <w:t>下表</w:t>
            </w:r>
            <w:r>
              <w:rPr>
                <w:color w:val="000000" w:themeColor="text1"/>
                <w:sz w:val="24"/>
                <w:highlight w:val="none"/>
                <w14:textFill>
                  <w14:solidFill>
                    <w14:schemeClr w14:val="tx1"/>
                  </w14:solidFill>
                </w14:textFill>
              </w:rPr>
              <w:t>。</w:t>
            </w:r>
          </w:p>
          <w:p w14:paraId="727EC43E">
            <w:pPr>
              <w:pStyle w:val="125"/>
              <w:numPr>
                <w:ilvl w:val="0"/>
                <w:numId w:val="0"/>
              </w:numPr>
              <w:spacing w:line="440" w:lineRule="exact"/>
              <w:rPr>
                <w:rFonts w:hint="default"/>
                <w:color w:val="000000" w:themeColor="text1"/>
                <w:sz w:val="24"/>
                <w:highlight w:val="none"/>
                <w:lang w:val="zh-CN"/>
                <w14:textFill>
                  <w14:solidFill>
                    <w14:schemeClr w14:val="tx1"/>
                  </w14:solidFill>
                </w14:textFill>
              </w:rPr>
            </w:pPr>
            <w:r>
              <w:rPr>
                <w:rFonts w:hint="default"/>
                <w:color w:val="000000" w:themeColor="text1"/>
                <w:sz w:val="24"/>
                <w:highlight w:val="none"/>
                <w:lang w:val="zh-CN"/>
                <w14:textFill>
                  <w14:solidFill>
                    <w14:schemeClr w14:val="tx1"/>
                  </w14:solidFill>
                </w14:textFill>
              </w:rPr>
              <w:t>表4-</w:t>
            </w:r>
            <w:r>
              <w:rPr>
                <w:rFonts w:hint="eastAsia"/>
                <w:color w:val="000000" w:themeColor="text1"/>
                <w:sz w:val="24"/>
                <w:highlight w:val="none"/>
                <w:lang w:val="en-US" w:eastAsia="zh-CN"/>
                <w14:textFill>
                  <w14:solidFill>
                    <w14:schemeClr w14:val="tx1"/>
                  </w14:solidFill>
                </w14:textFill>
              </w:rPr>
              <w:t xml:space="preserve">40  </w:t>
            </w:r>
            <w:r>
              <w:rPr>
                <w:rFonts w:hint="default"/>
                <w:color w:val="000000" w:themeColor="text1"/>
                <w:sz w:val="24"/>
                <w:highlight w:val="none"/>
                <w:lang w:val="zh-CN"/>
                <w14:textFill>
                  <w14:solidFill>
                    <w14:schemeClr w14:val="tx1"/>
                  </w14:solidFill>
                </w14:textFill>
              </w:rPr>
              <w:t>全厂分区防渗方案及防渗措施表</w:t>
            </w:r>
          </w:p>
          <w:tbl>
            <w:tblPr>
              <w:tblStyle w:val="38"/>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557"/>
              <w:gridCol w:w="1246"/>
              <w:gridCol w:w="2207"/>
              <w:gridCol w:w="4509"/>
            </w:tblGrid>
            <w:tr w14:paraId="636426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01" w:hRule="atLeast"/>
                <w:jc w:val="center"/>
              </w:trPr>
              <w:tc>
                <w:tcPr>
                  <w:tcW w:w="327" w:type="pct"/>
                  <w:vAlign w:val="center"/>
                </w:tcPr>
                <w:p w14:paraId="21915F5C">
                  <w:pPr>
                    <w:adjustRightInd w:val="0"/>
                    <w:snapToGrid w:val="0"/>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序号</w:t>
                  </w:r>
                </w:p>
              </w:tc>
              <w:tc>
                <w:tcPr>
                  <w:tcW w:w="731" w:type="pct"/>
                  <w:vAlign w:val="center"/>
                </w:tcPr>
                <w:p w14:paraId="705EB79B">
                  <w:pPr>
                    <w:adjustRightInd w:val="0"/>
                    <w:snapToGrid w:val="0"/>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防治分区</w:t>
                  </w:r>
                </w:p>
              </w:tc>
              <w:tc>
                <w:tcPr>
                  <w:tcW w:w="1295" w:type="pct"/>
                  <w:vAlign w:val="center"/>
                </w:tcPr>
                <w:p w14:paraId="7081ECE1">
                  <w:pPr>
                    <w:adjustRightInd w:val="0"/>
                    <w:snapToGrid w:val="0"/>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分区位置</w:t>
                  </w:r>
                </w:p>
              </w:tc>
              <w:tc>
                <w:tcPr>
                  <w:tcW w:w="2645" w:type="pct"/>
                  <w:vAlign w:val="center"/>
                </w:tcPr>
                <w:p w14:paraId="55110F20">
                  <w:pPr>
                    <w:adjustRightInd w:val="0"/>
                    <w:snapToGrid w:val="0"/>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防渗要求</w:t>
                  </w:r>
                </w:p>
              </w:tc>
            </w:tr>
            <w:tr w14:paraId="21E4CE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627" w:hRule="atLeast"/>
                <w:jc w:val="center"/>
              </w:trPr>
              <w:tc>
                <w:tcPr>
                  <w:tcW w:w="327" w:type="pct"/>
                  <w:vAlign w:val="center"/>
                </w:tcPr>
                <w:p w14:paraId="4C1002D6">
                  <w:pPr>
                    <w:adjustRightInd w:val="0"/>
                    <w:snapToGrid w:val="0"/>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1</w:t>
                  </w:r>
                </w:p>
              </w:tc>
              <w:tc>
                <w:tcPr>
                  <w:tcW w:w="731" w:type="pct"/>
                  <w:vAlign w:val="center"/>
                </w:tcPr>
                <w:p w14:paraId="2ADC932F">
                  <w:pPr>
                    <w:adjustRightInd w:val="0"/>
                    <w:snapToGrid w:val="0"/>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重点防渗区</w:t>
                  </w:r>
                </w:p>
              </w:tc>
              <w:tc>
                <w:tcPr>
                  <w:tcW w:w="1295" w:type="pct"/>
                  <w:vAlign w:val="center"/>
                </w:tcPr>
                <w:p w14:paraId="162576C0">
                  <w:pPr>
                    <w:tabs>
                      <w:tab w:val="left" w:pos="0"/>
                    </w:tabs>
                    <w:adjustRightInd w:val="0"/>
                    <w:snapToGrid w:val="0"/>
                    <w:jc w:val="left"/>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kern w:val="0"/>
                      <w:szCs w:val="21"/>
                      <w:highlight w:val="none"/>
                      <w14:textFill>
                        <w14:solidFill>
                          <w14:schemeClr w14:val="tx1"/>
                        </w14:solidFill>
                      </w14:textFill>
                    </w:rPr>
                    <w:t>危废仓库</w:t>
                  </w:r>
                </w:p>
              </w:tc>
              <w:tc>
                <w:tcPr>
                  <w:tcW w:w="2645" w:type="pct"/>
                  <w:vAlign w:val="center"/>
                </w:tcPr>
                <w:p w14:paraId="20D1AB94">
                  <w:pPr>
                    <w:tabs>
                      <w:tab w:val="left" w:pos="0"/>
                    </w:tabs>
                    <w:adjustRightInd w:val="0"/>
                    <w:snapToGrid w:val="0"/>
                    <w:jc w:val="left"/>
                    <w:rPr>
                      <w:color w:val="000000" w:themeColor="text1"/>
                      <w:szCs w:val="21"/>
                      <w:highlight w:val="none"/>
                      <w:lang w:val="zh-CN"/>
                      <w14:textFill>
                        <w14:solidFill>
                          <w14:schemeClr w14:val="tx1"/>
                        </w14:solidFill>
                      </w14:textFill>
                    </w:rPr>
                  </w:pPr>
                  <w:r>
                    <w:rPr>
                      <w:color w:val="000000" w:themeColor="text1"/>
                      <w:kern w:val="0"/>
                      <w:szCs w:val="21"/>
                      <w:highlight w:val="none"/>
                      <w14:textFill>
                        <w14:solidFill>
                          <w14:schemeClr w14:val="tx1"/>
                        </w14:solidFill>
                      </w14:textFill>
                    </w:rPr>
                    <w:t>等效黏土防渗层Mb≥6.0m</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K≤1×10</w:t>
                  </w:r>
                  <w:r>
                    <w:rPr>
                      <w:rFonts w:hint="eastAsia"/>
                      <w:color w:val="000000" w:themeColor="text1"/>
                      <w:kern w:val="0"/>
                      <w:szCs w:val="21"/>
                      <w:highlight w:val="none"/>
                      <w:vertAlign w:val="superscript"/>
                      <w:lang w:val="en-US" w:eastAsia="zh-CN"/>
                      <w14:textFill>
                        <w14:solidFill>
                          <w14:schemeClr w14:val="tx1"/>
                        </w14:solidFill>
                      </w14:textFill>
                    </w:rPr>
                    <w:t>-7</w:t>
                  </w:r>
                  <w:r>
                    <w:rPr>
                      <w:color w:val="000000" w:themeColor="text1"/>
                      <w:kern w:val="0"/>
                      <w:szCs w:val="21"/>
                      <w:highlight w:val="none"/>
                      <w14:textFill>
                        <w14:solidFill>
                          <w14:schemeClr w14:val="tx1"/>
                        </w14:solidFill>
                      </w14:textFill>
                    </w:rPr>
                    <w:t>cm/s；或参照GB18598-2019执行</w:t>
                  </w:r>
                </w:p>
              </w:tc>
            </w:tr>
            <w:tr w14:paraId="1BFAE8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825" w:hRule="atLeast"/>
                <w:jc w:val="center"/>
              </w:trPr>
              <w:tc>
                <w:tcPr>
                  <w:tcW w:w="327" w:type="pct"/>
                  <w:vAlign w:val="center"/>
                </w:tcPr>
                <w:p w14:paraId="65E96CC9">
                  <w:pPr>
                    <w:adjustRightInd w:val="0"/>
                    <w:snapToGrid w:val="0"/>
                    <w:jc w:val="center"/>
                    <w:rPr>
                      <w:color w:val="000000" w:themeColor="text1"/>
                      <w:szCs w:val="21"/>
                      <w:highlight w:val="none"/>
                      <w:lang w:val="zh-CN"/>
                      <w14:textFill>
                        <w14:solidFill>
                          <w14:schemeClr w14:val="tx1"/>
                        </w14:solidFill>
                      </w14:textFill>
                    </w:rPr>
                  </w:pPr>
                  <w:r>
                    <w:rPr>
                      <w:rFonts w:hint="eastAsia"/>
                      <w:color w:val="000000" w:themeColor="text1"/>
                      <w:szCs w:val="21"/>
                      <w:highlight w:val="none"/>
                      <w14:textFill>
                        <w14:solidFill>
                          <w14:schemeClr w14:val="tx1"/>
                        </w14:solidFill>
                      </w14:textFill>
                    </w:rPr>
                    <w:t>2</w:t>
                  </w:r>
                </w:p>
              </w:tc>
              <w:tc>
                <w:tcPr>
                  <w:tcW w:w="731" w:type="pct"/>
                  <w:vAlign w:val="center"/>
                </w:tcPr>
                <w:p w14:paraId="5C95AC6D">
                  <w:pPr>
                    <w:adjustRightInd w:val="0"/>
                    <w:snapToGrid w:val="0"/>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一般防渗区</w:t>
                  </w:r>
                </w:p>
              </w:tc>
              <w:tc>
                <w:tcPr>
                  <w:tcW w:w="1295" w:type="pct"/>
                  <w:vAlign w:val="center"/>
                </w:tcPr>
                <w:p w14:paraId="76D4153F">
                  <w:pPr>
                    <w:tabs>
                      <w:tab w:val="left" w:pos="0"/>
                    </w:tabs>
                    <w:adjustRightInd w:val="0"/>
                    <w:snapToGrid w:val="0"/>
                    <w:jc w:val="left"/>
                    <w:rPr>
                      <w:color w:val="000000" w:themeColor="text1"/>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生产车间、</w:t>
                  </w:r>
                  <w:r>
                    <w:rPr>
                      <w:rFonts w:hint="eastAsia"/>
                      <w:color w:val="000000" w:themeColor="text1"/>
                      <w:kern w:val="0"/>
                      <w:szCs w:val="21"/>
                      <w:highlight w:val="none"/>
                      <w:lang w:val="en-US" w:eastAsia="zh-CN"/>
                      <w14:textFill>
                        <w14:solidFill>
                          <w14:schemeClr w14:val="tx1"/>
                        </w14:solidFill>
                      </w14:textFill>
                    </w:rPr>
                    <w:t>化粪池</w:t>
                  </w:r>
                  <w:r>
                    <w:rPr>
                      <w:rFonts w:hint="eastAsia"/>
                      <w:color w:val="000000" w:themeColor="text1"/>
                      <w:kern w:val="0"/>
                      <w:szCs w:val="21"/>
                      <w:highlight w:val="none"/>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原料仓库</w:t>
                  </w:r>
                  <w:r>
                    <w:rPr>
                      <w:rFonts w:hint="eastAsia"/>
                      <w:color w:val="000000" w:themeColor="text1"/>
                      <w:kern w:val="0"/>
                      <w:szCs w:val="21"/>
                      <w:highlight w:val="none"/>
                      <w14:textFill>
                        <w14:solidFill>
                          <w14:schemeClr w14:val="tx1"/>
                        </w14:solidFill>
                      </w14:textFill>
                    </w:rPr>
                    <w:t>等</w:t>
                  </w:r>
                </w:p>
              </w:tc>
              <w:tc>
                <w:tcPr>
                  <w:tcW w:w="2645" w:type="pct"/>
                  <w:vAlign w:val="center"/>
                </w:tcPr>
                <w:p w14:paraId="79E2E6F7">
                  <w:pPr>
                    <w:tabs>
                      <w:tab w:val="left" w:pos="0"/>
                    </w:tabs>
                    <w:adjustRightInd w:val="0"/>
                    <w:snapToGrid w:val="0"/>
                    <w:jc w:val="left"/>
                    <w:rPr>
                      <w:color w:val="000000" w:themeColor="text1"/>
                      <w:szCs w:val="21"/>
                      <w:highlight w:val="none"/>
                      <w:lang w:val="zh-CN"/>
                      <w14:textFill>
                        <w14:solidFill>
                          <w14:schemeClr w14:val="tx1"/>
                        </w14:solidFill>
                      </w14:textFill>
                    </w:rPr>
                  </w:pPr>
                  <w:r>
                    <w:rPr>
                      <w:color w:val="000000" w:themeColor="text1"/>
                      <w:kern w:val="0"/>
                      <w:szCs w:val="21"/>
                      <w:highlight w:val="none"/>
                      <w:lang w:val="zh-CN"/>
                      <w14:textFill>
                        <w14:solidFill>
                          <w14:schemeClr w14:val="tx1"/>
                        </w14:solidFill>
                      </w14:textFill>
                    </w:rPr>
                    <w:t>地面基础防渗和构筑物防渗等级达到渗透系数≤1.0×10</w:t>
                  </w:r>
                  <w:r>
                    <w:rPr>
                      <w:rFonts w:hint="eastAsia"/>
                      <w:color w:val="000000" w:themeColor="text1"/>
                      <w:kern w:val="0"/>
                      <w:szCs w:val="21"/>
                      <w:highlight w:val="none"/>
                      <w:vertAlign w:val="superscript"/>
                      <w:lang w:val="en-US" w:eastAsia="zh-CN"/>
                      <w14:textFill>
                        <w14:solidFill>
                          <w14:schemeClr w14:val="tx1"/>
                        </w14:solidFill>
                      </w14:textFill>
                    </w:rPr>
                    <w:t>-7</w:t>
                  </w:r>
                  <w:r>
                    <w:rPr>
                      <w:color w:val="000000" w:themeColor="text1"/>
                      <w:kern w:val="0"/>
                      <w:szCs w:val="21"/>
                      <w:highlight w:val="none"/>
                      <w:lang w:val="zh-CN"/>
                      <w14:textFill>
                        <w14:solidFill>
                          <w14:schemeClr w14:val="tx1"/>
                        </w14:solidFill>
                      </w14:textFill>
                    </w:rPr>
                    <w:t>cm/s</w:t>
                  </w:r>
                  <w:r>
                    <w:rPr>
                      <w:rFonts w:hint="eastAsia"/>
                      <w:color w:val="000000" w:themeColor="text1"/>
                      <w:kern w:val="0"/>
                      <w:szCs w:val="21"/>
                      <w:highlight w:val="none"/>
                      <w:lang w:val="zh-CN"/>
                      <w14:textFill>
                        <w14:solidFill>
                          <w14:schemeClr w14:val="tx1"/>
                        </w14:solidFill>
                      </w14:textFill>
                    </w:rPr>
                    <w:t>，</w:t>
                  </w:r>
                  <w:r>
                    <w:rPr>
                      <w:color w:val="000000" w:themeColor="text1"/>
                      <w:kern w:val="0"/>
                      <w:szCs w:val="21"/>
                      <w:highlight w:val="none"/>
                      <w:lang w:val="zh-CN"/>
                      <w14:textFill>
                        <w14:solidFill>
                          <w14:schemeClr w14:val="tx1"/>
                        </w14:solidFill>
                      </w14:textFill>
                    </w:rPr>
                    <w:t>相当于不小于1.5m厚的</w:t>
                  </w:r>
                  <w:r>
                    <w:rPr>
                      <w:rFonts w:hint="eastAsia"/>
                      <w:color w:val="000000" w:themeColor="text1"/>
                      <w:kern w:val="0"/>
                      <w:szCs w:val="21"/>
                      <w:highlight w:val="none"/>
                      <w:lang w:val="zh-CN"/>
                      <w14:textFill>
                        <w14:solidFill>
                          <w14:schemeClr w14:val="tx1"/>
                        </w14:solidFill>
                      </w14:textFill>
                    </w:rPr>
                    <w:t>黏土</w:t>
                  </w:r>
                  <w:r>
                    <w:rPr>
                      <w:color w:val="000000" w:themeColor="text1"/>
                      <w:kern w:val="0"/>
                      <w:szCs w:val="21"/>
                      <w:highlight w:val="none"/>
                      <w:lang w:val="zh-CN"/>
                      <w14:textFill>
                        <w14:solidFill>
                          <w14:schemeClr w14:val="tx1"/>
                        </w14:solidFill>
                      </w14:textFill>
                    </w:rPr>
                    <w:t>防护层。</w:t>
                  </w:r>
                </w:p>
              </w:tc>
            </w:tr>
            <w:tr w14:paraId="2CE99E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82" w:hRule="atLeast"/>
                <w:jc w:val="center"/>
              </w:trPr>
              <w:tc>
                <w:tcPr>
                  <w:tcW w:w="327" w:type="pct"/>
                  <w:vAlign w:val="center"/>
                </w:tcPr>
                <w:p w14:paraId="7D97241A">
                  <w:pPr>
                    <w:adjustRightInd w:val="0"/>
                    <w:snapToGrid w:val="0"/>
                    <w:jc w:val="center"/>
                    <w:rPr>
                      <w:color w:val="000000" w:themeColor="text1"/>
                      <w:szCs w:val="21"/>
                      <w:highlight w:val="none"/>
                      <w:lang w:val="zh-CN"/>
                      <w14:textFill>
                        <w14:solidFill>
                          <w14:schemeClr w14:val="tx1"/>
                        </w14:solidFill>
                      </w14:textFill>
                    </w:rPr>
                  </w:pPr>
                  <w:r>
                    <w:rPr>
                      <w:rFonts w:hint="eastAsia"/>
                      <w:color w:val="000000" w:themeColor="text1"/>
                      <w:szCs w:val="21"/>
                      <w:highlight w:val="none"/>
                      <w14:textFill>
                        <w14:solidFill>
                          <w14:schemeClr w14:val="tx1"/>
                        </w14:solidFill>
                      </w14:textFill>
                    </w:rPr>
                    <w:t>3</w:t>
                  </w:r>
                </w:p>
              </w:tc>
              <w:tc>
                <w:tcPr>
                  <w:tcW w:w="731" w:type="pct"/>
                  <w:vAlign w:val="center"/>
                </w:tcPr>
                <w:p w14:paraId="46890285">
                  <w:pPr>
                    <w:adjustRightInd w:val="0"/>
                    <w:snapToGrid w:val="0"/>
                    <w:jc w:val="center"/>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简单防渗区</w:t>
                  </w:r>
                </w:p>
              </w:tc>
              <w:tc>
                <w:tcPr>
                  <w:tcW w:w="1295" w:type="pct"/>
                  <w:vAlign w:val="center"/>
                </w:tcPr>
                <w:p w14:paraId="13D2A484">
                  <w:pPr>
                    <w:adjustRightInd w:val="0"/>
                    <w:snapToGrid w:val="0"/>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办公楼、厂区道路、停车场等</w:t>
                  </w:r>
                </w:p>
              </w:tc>
              <w:tc>
                <w:tcPr>
                  <w:tcW w:w="2645" w:type="pct"/>
                  <w:vAlign w:val="center"/>
                </w:tcPr>
                <w:p w14:paraId="5611FF0F">
                  <w:pPr>
                    <w:adjustRightInd w:val="0"/>
                    <w:snapToGrid w:val="0"/>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一般地面硬化</w:t>
                  </w:r>
                </w:p>
              </w:tc>
            </w:tr>
          </w:tbl>
          <w:p w14:paraId="3588C488">
            <w:pPr>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采取以上污染防治措施后，建设项目对周围地下水环境影响可得到有效控制。</w:t>
            </w:r>
          </w:p>
          <w:p w14:paraId="79BD0E16">
            <w:pPr>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（3）跟踪监测要求</w:t>
            </w:r>
          </w:p>
          <w:p w14:paraId="2BEEDA29">
            <w:pPr>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本项目危险物质贮存及使用过程不存在土壤和地下水污染途径，在落实好防渗、防污措施后，物料或污染物能得到有效处理，无需对土壤和地下水进行跟踪监测</w:t>
            </w:r>
            <w:r>
              <w:rPr>
                <w:rFonts w:hint="eastAsia"/>
                <w:color w:val="000000" w:themeColor="text1"/>
                <w:sz w:val="24"/>
                <w:highlight w:val="none"/>
                <w14:textFill>
                  <w14:solidFill>
                    <w14:schemeClr w14:val="tx1"/>
                  </w14:solidFill>
                </w14:textFill>
              </w:rPr>
              <w:t>。</w:t>
            </w:r>
          </w:p>
          <w:bookmarkEnd w:id="14"/>
          <w:p w14:paraId="77C83320">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7、环境管理与监测计划</w:t>
            </w:r>
          </w:p>
          <w:p w14:paraId="4BDB69C7">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（1）环境管理计划</w:t>
            </w:r>
          </w:p>
          <w:p w14:paraId="2125F1F8">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①严格执行</w:t>
            </w:r>
            <w:r>
              <w:rPr>
                <w:rFonts w:hint="eastAsia"/>
                <w:color w:val="000000" w:themeColor="text1"/>
                <w:sz w:val="24"/>
                <w:highlight w:val="none"/>
                <w:lang w:val="zh-CN"/>
                <w14:textFill>
                  <w14:solidFill>
                    <w14:schemeClr w14:val="tx1"/>
                  </w14:solidFill>
                </w14:textFill>
              </w:rPr>
              <w:t>“</w:t>
            </w:r>
            <w:r>
              <w:rPr>
                <w:color w:val="000000" w:themeColor="text1"/>
                <w:sz w:val="24"/>
                <w:highlight w:val="none"/>
                <w:lang w:val="zh-CN"/>
                <w14:textFill>
                  <w14:solidFill>
                    <w14:schemeClr w14:val="tx1"/>
                  </w14:solidFill>
                </w14:textFill>
              </w:rPr>
              <w:t>三同时</w:t>
            </w:r>
            <w:r>
              <w:rPr>
                <w:rFonts w:hint="eastAsia"/>
                <w:color w:val="000000" w:themeColor="text1"/>
                <w:sz w:val="24"/>
                <w:highlight w:val="none"/>
                <w:lang w:val="zh-CN"/>
                <w14:textFill>
                  <w14:solidFill>
                    <w14:schemeClr w14:val="tx1"/>
                  </w14:solidFill>
                </w14:textFill>
              </w:rPr>
              <w:t>”</w:t>
            </w:r>
            <w:r>
              <w:rPr>
                <w:color w:val="000000" w:themeColor="text1"/>
                <w:sz w:val="24"/>
                <w:highlight w:val="none"/>
                <w:lang w:val="zh-CN"/>
                <w14:textFill>
                  <w14:solidFill>
                    <w14:schemeClr w14:val="tx1"/>
                  </w14:solidFill>
                </w14:textFill>
              </w:rPr>
              <w:t>制度</w:t>
            </w:r>
          </w:p>
          <w:p w14:paraId="2DC12913">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在项目筹备、设计和施工建设不同阶段，均应严格执行</w:t>
            </w:r>
            <w:r>
              <w:rPr>
                <w:rFonts w:hint="eastAsia"/>
                <w:color w:val="000000" w:themeColor="text1"/>
                <w:sz w:val="24"/>
                <w:highlight w:val="none"/>
                <w:lang w:val="zh-CN"/>
                <w14:textFill>
                  <w14:solidFill>
                    <w14:schemeClr w14:val="tx1"/>
                  </w14:solidFill>
                </w14:textFill>
              </w:rPr>
              <w:t>“</w:t>
            </w:r>
            <w:r>
              <w:rPr>
                <w:color w:val="000000" w:themeColor="text1"/>
                <w:sz w:val="24"/>
                <w:highlight w:val="none"/>
                <w:lang w:val="zh-CN"/>
                <w14:textFill>
                  <w14:solidFill>
                    <w14:schemeClr w14:val="tx1"/>
                  </w14:solidFill>
                </w14:textFill>
              </w:rPr>
              <w:t>三同时</w:t>
            </w:r>
            <w:r>
              <w:rPr>
                <w:rFonts w:hint="eastAsia"/>
                <w:color w:val="000000" w:themeColor="text1"/>
                <w:sz w:val="24"/>
                <w:highlight w:val="none"/>
                <w:lang w:val="zh-CN"/>
                <w14:textFill>
                  <w14:solidFill>
                    <w14:schemeClr w14:val="tx1"/>
                  </w14:solidFill>
                </w14:textFill>
              </w:rPr>
              <w:t>”</w:t>
            </w:r>
            <w:r>
              <w:rPr>
                <w:color w:val="000000" w:themeColor="text1"/>
                <w:sz w:val="24"/>
                <w:highlight w:val="none"/>
                <w:lang w:val="zh-CN"/>
                <w14:textFill>
                  <w14:solidFill>
                    <w14:schemeClr w14:val="tx1"/>
                  </w14:solidFill>
                </w14:textFill>
              </w:rPr>
              <w:t>制度，确保</w:t>
            </w:r>
            <w:r>
              <w:rPr>
                <w:rFonts w:hint="eastAsia"/>
                <w:color w:val="000000" w:themeColor="text1"/>
                <w:sz w:val="24"/>
                <w:highlight w:val="none"/>
                <w:lang w:val="zh-CN"/>
                <w14:textFill>
                  <w14:solidFill>
                    <w14:schemeClr w14:val="tx1"/>
                  </w14:solidFill>
                </w14:textFill>
              </w:rPr>
              <w:t>污染治理设施</w:t>
            </w:r>
            <w:r>
              <w:rPr>
                <w:color w:val="000000" w:themeColor="text1"/>
                <w:sz w:val="24"/>
                <w:highlight w:val="none"/>
                <w:lang w:val="zh-CN"/>
                <w14:textFill>
                  <w14:solidFill>
                    <w14:schemeClr w14:val="tx1"/>
                  </w14:solidFill>
                </w14:textFill>
              </w:rPr>
              <w:t>能够与生产工艺设施</w:t>
            </w:r>
            <w:r>
              <w:rPr>
                <w:rFonts w:hint="eastAsia"/>
                <w:color w:val="000000" w:themeColor="text1"/>
                <w:sz w:val="24"/>
                <w:highlight w:val="none"/>
                <w:lang w:val="zh-CN"/>
                <w14:textFill>
                  <w14:solidFill>
                    <w14:schemeClr w14:val="tx1"/>
                  </w14:solidFill>
                </w14:textFill>
              </w:rPr>
              <w:t>“</w:t>
            </w:r>
            <w:r>
              <w:rPr>
                <w:color w:val="000000" w:themeColor="text1"/>
                <w:sz w:val="24"/>
                <w:highlight w:val="none"/>
                <w:lang w:val="zh-CN"/>
                <w14:textFill>
                  <w14:solidFill>
                    <w14:schemeClr w14:val="tx1"/>
                  </w14:solidFill>
                </w14:textFill>
              </w:rPr>
              <w:t>同时设计、同时施工、同时竣工</w:t>
            </w:r>
            <w:r>
              <w:rPr>
                <w:rFonts w:hint="eastAsia"/>
                <w:color w:val="000000" w:themeColor="text1"/>
                <w:sz w:val="24"/>
                <w:highlight w:val="none"/>
                <w:lang w:val="zh-CN"/>
                <w14:textFill>
                  <w14:solidFill>
                    <w14:schemeClr w14:val="tx1"/>
                  </w14:solidFill>
                </w14:textFill>
              </w:rPr>
              <w:t>”</w:t>
            </w:r>
            <w:r>
              <w:rPr>
                <w:color w:val="000000" w:themeColor="text1"/>
                <w:sz w:val="24"/>
                <w:highlight w:val="none"/>
                <w:lang w:val="zh-CN"/>
                <w14:textFill>
                  <w14:solidFill>
                    <w14:schemeClr w14:val="tx1"/>
                  </w14:solidFill>
                </w14:textFill>
              </w:rPr>
              <w:t>。</w:t>
            </w:r>
          </w:p>
          <w:p w14:paraId="3DEAE4EC">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②建立环境报告制度</w:t>
            </w:r>
          </w:p>
          <w:p w14:paraId="3D25AFA5">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应按有关法规的要求，严格执行排污申报制度；此外，在项目工程排污发生重大变化、污染治理设施发生重大改变或拟实施新、改、扩建项目时必须及时向相关</w:t>
            </w:r>
            <w:r>
              <w:rPr>
                <w:rFonts w:hint="eastAsia"/>
                <w:color w:val="000000" w:themeColor="text1"/>
                <w:sz w:val="24"/>
                <w:highlight w:val="none"/>
                <w:lang w:val="zh-CN"/>
                <w14:textFill>
                  <w14:solidFill>
                    <w14:schemeClr w14:val="tx1"/>
                  </w14:solidFill>
                </w14:textFill>
              </w:rPr>
              <w:t>生态环境主管部门</w:t>
            </w:r>
            <w:r>
              <w:rPr>
                <w:color w:val="000000" w:themeColor="text1"/>
                <w:sz w:val="24"/>
                <w:highlight w:val="none"/>
                <w:lang w:val="zh-CN"/>
                <w14:textFill>
                  <w14:solidFill>
                    <w14:schemeClr w14:val="tx1"/>
                  </w14:solidFill>
                </w14:textFill>
              </w:rPr>
              <w:t>申报。</w:t>
            </w:r>
          </w:p>
          <w:p w14:paraId="111671F7">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③健全污染治理设施管理制度</w:t>
            </w:r>
          </w:p>
          <w:p w14:paraId="4405D66F">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建立健全污染治理设施的运行、检修、维护保养的作业规程和管理制度，将污染治理设施的管理与生产经营管理一同纳入公司日常管理工作的范畴，落实责任人，建立管理台账。避免擅自拆除或闲置现有的</w:t>
            </w:r>
            <w:r>
              <w:rPr>
                <w:rFonts w:hint="eastAsia"/>
                <w:color w:val="000000" w:themeColor="text1"/>
                <w:sz w:val="24"/>
                <w:highlight w:val="none"/>
                <w:lang w:val="zh-CN"/>
                <w14:textFill>
                  <w14:solidFill>
                    <w14:schemeClr w14:val="tx1"/>
                  </w14:solidFill>
                </w14:textFill>
              </w:rPr>
              <w:t>污染治理设施</w:t>
            </w:r>
            <w:r>
              <w:rPr>
                <w:color w:val="000000" w:themeColor="text1"/>
                <w:sz w:val="24"/>
                <w:highlight w:val="none"/>
                <w:lang w:val="zh-CN"/>
                <w14:textFill>
                  <w14:solidFill>
                    <w14:schemeClr w14:val="tx1"/>
                  </w14:solidFill>
                </w14:textFill>
              </w:rPr>
              <w:t>现象的发生，严禁故意不正常使用</w:t>
            </w:r>
            <w:r>
              <w:rPr>
                <w:rFonts w:hint="eastAsia"/>
                <w:color w:val="000000" w:themeColor="text1"/>
                <w:sz w:val="24"/>
                <w:highlight w:val="none"/>
                <w:lang w:val="zh-CN"/>
                <w14:textFill>
                  <w14:solidFill>
                    <w14:schemeClr w14:val="tx1"/>
                  </w14:solidFill>
                </w14:textFill>
              </w:rPr>
              <w:t>污染治理设施</w:t>
            </w:r>
            <w:r>
              <w:rPr>
                <w:color w:val="000000" w:themeColor="text1"/>
                <w:sz w:val="24"/>
                <w:highlight w:val="none"/>
                <w:lang w:val="zh-CN"/>
                <w14:textFill>
                  <w14:solidFill>
                    <w14:schemeClr w14:val="tx1"/>
                  </w14:solidFill>
                </w14:textFill>
              </w:rPr>
              <w:t>。</w:t>
            </w:r>
          </w:p>
          <w:p w14:paraId="5D08B8B6">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④建立环境目标管理责任制和奖惩条例</w:t>
            </w:r>
          </w:p>
          <w:p w14:paraId="5528C5F6">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建立并实施各级人员的环境目标管理责任制，把环境目标责任完成情况与奖惩制度结合起来。设置环境保护奖惩条例，对爱护环保设施、节能降耗、减少污染物排放、改善环境绩效者给予适当的奖励；对环保观念淡薄，不按环保要求管理和操作，造成环保设施非正常损坏、发生污染事故以及浪费资源者予以相应的处罚。在公司内部形成注重环境管理，持续改进环境绩效的氛围。</w:t>
            </w:r>
          </w:p>
          <w:p w14:paraId="43922663">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w:t>
            </w:r>
            <w:r>
              <w:rPr>
                <w:color w:val="000000" w:themeColor="text1"/>
                <w:sz w:val="24"/>
                <w:highlight w:val="none"/>
                <w14:textFill>
                  <w14:solidFill>
                    <w14:schemeClr w14:val="tx1"/>
                  </w14:solidFill>
                </w14:textFill>
              </w:rPr>
              <w:t>2</w:t>
            </w:r>
            <w:r>
              <w:rPr>
                <w:color w:val="000000" w:themeColor="text1"/>
                <w:sz w:val="24"/>
                <w:highlight w:val="none"/>
                <w:lang w:val="zh-CN"/>
                <w14:textFill>
                  <w14:solidFill>
                    <w14:schemeClr w14:val="tx1"/>
                  </w14:solidFill>
                </w14:textFill>
              </w:rPr>
              <w:t>）环境管理制度的建立</w:t>
            </w:r>
          </w:p>
          <w:p w14:paraId="09790EF1">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①排污许可制度</w:t>
            </w:r>
          </w:p>
          <w:p w14:paraId="1383DB3A">
            <w:pPr>
              <w:adjustRightInd w:val="0"/>
              <w:snapToGrid w:val="0"/>
              <w:spacing w:line="440" w:lineRule="exact"/>
              <w:ind w:firstLine="480" w:firstLineChars="200"/>
              <w:rPr>
                <w:rFonts w:ascii="Times New Roman" w:hAnsi="Times New Roman" w:eastAsia="宋体" w:cs="Times New Roman"/>
                <w:color w:val="000000" w:themeColor="text1"/>
                <w:sz w:val="24"/>
                <w:highlight w:val="none"/>
                <w:lang w:val="zh-CN"/>
                <w14:textFill>
                  <w14:solidFill>
                    <w14:schemeClr w14:val="tx1"/>
                  </w14:solidFill>
                </w14:textFill>
              </w:rPr>
            </w:pPr>
            <w:r>
              <w:rPr>
                <w:rFonts w:ascii="Times New Roman" w:hAnsi="Times New Roman" w:eastAsia="宋体" w:cs="Times New Roman"/>
                <w:color w:val="000000" w:themeColor="text1"/>
                <w:sz w:val="24"/>
                <w:highlight w:val="none"/>
                <w:lang w:val="zh-CN"/>
                <w14:textFill>
                  <w14:solidFill>
                    <w14:schemeClr w14:val="tx1"/>
                  </w14:solidFill>
                </w14:textFill>
              </w:rPr>
              <w:t>根据《国民经济行业分类》（GB/T4754-2017</w:t>
            </w:r>
            <w:bookmarkStart w:id="15" w:name="Bookmark200"/>
            <w:r>
              <w:rPr>
                <w:rFonts w:ascii="Times New Roman" w:hAnsi="Times New Roman" w:eastAsia="宋体" w:cs="Times New Roman"/>
                <w:color w:val="000000" w:themeColor="text1"/>
                <w:sz w:val="24"/>
                <w:highlight w:val="none"/>
                <w:lang w:val="zh-CN"/>
                <w14:textFill>
                  <w14:solidFill>
                    <w14:schemeClr w14:val="tx1"/>
                  </w14:solidFill>
                </w14:textFill>
              </w:rPr>
              <w:t>）</w:t>
            </w:r>
            <w:bookmarkEnd w:id="15"/>
            <w:r>
              <w:rPr>
                <w:rFonts w:ascii="Times New Roman" w:hAnsi="Times New Roman" w:eastAsia="宋体" w:cs="Times New Roman"/>
                <w:color w:val="000000" w:themeColor="text1"/>
                <w:sz w:val="24"/>
                <w:highlight w:val="none"/>
                <w:lang w:val="zh-CN"/>
                <w14:textFill>
                  <w14:solidFill>
                    <w14:schemeClr w14:val="tx1"/>
                  </w14:solidFill>
                </w14:textFill>
              </w:rPr>
              <w:t>，本项目行业类别属于</w:t>
            </w:r>
            <w:r>
              <w:rPr>
                <w:rFonts w:hint="eastAsia" w:cs="Times New Roman"/>
                <w:color w:val="000000" w:themeColor="text1"/>
                <w:sz w:val="24"/>
                <w:highlight w:val="none"/>
                <w:lang w:val="zh-CN" w:eastAsia="zh-CN"/>
                <w14:textFill>
                  <w14:solidFill>
                    <w14:schemeClr w14:val="tx1"/>
                  </w14:solidFill>
                </w14:textFill>
              </w:rPr>
              <w:t>C2913橡胶零件制造、C2929塑料零件及其他塑料制品制造、C3670汽车零部件及配件制造，</w:t>
            </w:r>
            <w:r>
              <w:rPr>
                <w:rFonts w:ascii="Times New Roman" w:hAnsi="Times New Roman" w:eastAsia="宋体" w:cs="Times New Roman"/>
                <w:color w:val="000000" w:themeColor="text1"/>
                <w:sz w:val="24"/>
                <w:highlight w:val="none"/>
                <w:lang w:val="zh-CN"/>
                <w14:textFill>
                  <w14:solidFill>
                    <w14:schemeClr w14:val="tx1"/>
                  </w14:solidFill>
                </w14:textFill>
              </w:rPr>
              <w:t>对照《固定污染源排污许可分类管理名录（2019年版）》，该项目类别属于</w:t>
            </w:r>
            <w:r>
              <w:rPr>
                <w:rFonts w:hint="eastAsia" w:ascii="Times New Roman" w:hAnsi="Times New Roman" w:eastAsia="宋体" w:cs="Times New Roman"/>
                <w:color w:val="000000" w:themeColor="text1"/>
                <w:sz w:val="24"/>
                <w:highlight w:val="none"/>
                <w:lang w:val="zh-CN"/>
                <w14:textFill>
                  <w14:solidFill>
                    <w14:schemeClr w14:val="tx1"/>
                  </w14:solidFill>
                </w14:textFill>
              </w:rPr>
              <w:t>“二十四、橡胶和塑料制品业29”</w:t>
            </w:r>
            <w:r>
              <w:rPr>
                <w:rFonts w:ascii="Times New Roman" w:hAnsi="Times New Roman" w:eastAsia="宋体" w:cs="Times New Roman"/>
                <w:color w:val="000000" w:themeColor="text1"/>
                <w:sz w:val="24"/>
                <w:highlight w:val="none"/>
                <w:lang w:val="zh-CN"/>
                <w14:textFill>
                  <w14:solidFill>
                    <w14:schemeClr w14:val="tx1"/>
                  </w14:solidFill>
                </w14:textFill>
              </w:rPr>
              <w:t>中</w:t>
            </w:r>
            <w:r>
              <w:rPr>
                <w:rFonts w:hint="eastAsia" w:ascii="Times New Roman" w:hAnsi="Times New Roman" w:eastAsia="宋体" w:cs="Times New Roman"/>
                <w:color w:val="000000" w:themeColor="text1"/>
                <w:sz w:val="24"/>
                <w:highlight w:val="none"/>
                <w:lang w:val="zh-CN"/>
                <w14:textFill>
                  <w14:solidFill>
                    <w14:schemeClr w14:val="tx1"/>
                  </w14:solidFill>
                </w14:textFill>
              </w:rPr>
              <w:t>“橡胶制品业291</w:t>
            </w:r>
            <w:r>
              <w:rPr>
                <w:rFonts w:ascii="Times New Roman" w:hAnsi="Times New Roman" w:eastAsia="宋体" w:cs="Times New Roman"/>
                <w:color w:val="000000" w:themeColor="text1"/>
                <w:sz w:val="24"/>
                <w:highlight w:val="none"/>
                <w:lang w:val="zh-CN"/>
                <w14:textFill>
                  <w14:solidFill>
                    <w14:schemeClr w14:val="tx1"/>
                  </w14:solidFill>
                </w14:textFill>
              </w:rPr>
              <w:t>-其他</w:t>
            </w:r>
            <w:r>
              <w:rPr>
                <w:rFonts w:hint="eastAsia" w:ascii="Times New Roman" w:hAnsi="Times New Roman" w:eastAsia="宋体" w:cs="Times New Roman"/>
                <w:color w:val="000000" w:themeColor="text1"/>
                <w:sz w:val="24"/>
                <w:highlight w:val="none"/>
                <w:lang w:val="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和</w:t>
            </w:r>
            <w:r>
              <w:rPr>
                <w:rFonts w:hint="eastAsia" w:ascii="Times New Roman" w:hAnsi="Times New Roman" w:eastAsia="宋体" w:cs="Times New Roman"/>
                <w:color w:val="000000" w:themeColor="text1"/>
                <w:sz w:val="24"/>
                <w:highlight w:val="none"/>
                <w:lang w:val="zh-CN"/>
                <w14:textFill>
                  <w14:solidFill>
                    <w14:schemeClr w14:val="tx1"/>
                  </w14:solidFill>
                </w14:textFill>
              </w:rPr>
              <w:t>“塑料制品业292</w:t>
            </w:r>
            <w:r>
              <w:rPr>
                <w:rFonts w:ascii="Times New Roman" w:hAnsi="Times New Roman" w:eastAsia="宋体" w:cs="Times New Roman"/>
                <w:color w:val="000000" w:themeColor="text1"/>
                <w:sz w:val="24"/>
                <w:highlight w:val="none"/>
                <w:lang w:val="zh-CN"/>
                <w14:textFill>
                  <w14:solidFill>
                    <w14:schemeClr w14:val="tx1"/>
                  </w14:solidFill>
                </w14:textFill>
              </w:rPr>
              <w:t>-其他</w:t>
            </w:r>
            <w:r>
              <w:rPr>
                <w:rFonts w:hint="eastAsia" w:ascii="Times New Roman" w:hAnsi="Times New Roman" w:eastAsia="宋体" w:cs="Times New Roman"/>
                <w:color w:val="000000" w:themeColor="text1"/>
                <w:sz w:val="24"/>
                <w:highlight w:val="none"/>
                <w:lang w:val="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和</w:t>
            </w:r>
            <w:r>
              <w:rPr>
                <w:rFonts w:hint="eastAsia"/>
                <w:color w:val="000000" w:themeColor="text1"/>
                <w:sz w:val="24"/>
                <w:highlight w:val="none"/>
                <w:lang w:val="zh-CN"/>
                <w14:textFill>
                  <w14:solidFill>
                    <w14:schemeClr w14:val="tx1"/>
                  </w14:solidFill>
                </w14:textFill>
              </w:rPr>
              <w:t>“三十一、汽车制造业36”中“汽车零部件及配件制造367”</w:t>
            </w:r>
            <w:r>
              <w:rPr>
                <w:rFonts w:ascii="Times New Roman" w:hAnsi="Times New Roman" w:eastAsia="宋体" w:cs="Times New Roman"/>
                <w:color w:val="000000" w:themeColor="text1"/>
                <w:sz w:val="24"/>
                <w:highlight w:val="none"/>
                <w:lang w:val="zh-CN"/>
                <w14:textFill>
                  <w14:solidFill>
                    <w14:schemeClr w14:val="tx1"/>
                  </w14:solidFill>
                </w14:textFill>
              </w:rPr>
              <w:t>，属于登记管理项，排污许可类别判定详见下表。</w:t>
            </w:r>
          </w:p>
          <w:p w14:paraId="7BCF9B7C">
            <w:pPr>
              <w:pStyle w:val="125"/>
              <w:numPr>
                <w:ilvl w:val="0"/>
                <w:numId w:val="0"/>
              </w:numPr>
              <w:spacing w:line="460" w:lineRule="exact"/>
              <w:rPr>
                <w:rFonts w:hint="default"/>
                <w:color w:val="000000" w:themeColor="text1"/>
                <w:sz w:val="24"/>
                <w:highlight w:val="none"/>
                <w:lang w:val="zh-CN"/>
                <w14:textFill>
                  <w14:solidFill>
                    <w14:schemeClr w14:val="tx1"/>
                  </w14:solidFill>
                </w14:textFill>
              </w:rPr>
            </w:pPr>
            <w:r>
              <w:rPr>
                <w:rFonts w:hint="default"/>
                <w:color w:val="000000" w:themeColor="text1"/>
                <w:sz w:val="24"/>
                <w:highlight w:val="none"/>
                <w:lang w:val="zh-CN"/>
                <w14:textFill>
                  <w14:solidFill>
                    <w14:schemeClr w14:val="tx1"/>
                  </w14:solidFill>
                </w14:textFill>
              </w:rPr>
              <w:t>表4-</w:t>
            </w:r>
            <w:r>
              <w:rPr>
                <w:rFonts w:hint="eastAsia"/>
                <w:color w:val="000000" w:themeColor="text1"/>
                <w:sz w:val="24"/>
                <w:highlight w:val="none"/>
                <w:lang w:val="en-US" w:eastAsia="zh-CN"/>
                <w14:textFill>
                  <w14:solidFill>
                    <w14:schemeClr w14:val="tx1"/>
                  </w14:solidFill>
                </w14:textFill>
              </w:rPr>
              <w:t xml:space="preserve">41  </w:t>
            </w:r>
            <w:r>
              <w:rPr>
                <w:rFonts w:hint="default"/>
                <w:color w:val="000000" w:themeColor="text1"/>
                <w:sz w:val="24"/>
                <w:highlight w:val="none"/>
                <w:lang w:val="zh-CN"/>
                <w14:textFill>
                  <w14:solidFill>
                    <w14:schemeClr w14:val="tx1"/>
                  </w14:solidFill>
                </w14:textFill>
              </w:rPr>
              <w:t>排污许可管理类别判定表</w:t>
            </w:r>
          </w:p>
          <w:tbl>
            <w:tblPr>
              <w:tblStyle w:val="38"/>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533"/>
              <w:gridCol w:w="1748"/>
              <w:gridCol w:w="1096"/>
              <w:gridCol w:w="3723"/>
              <w:gridCol w:w="1419"/>
            </w:tblGrid>
            <w:tr w14:paraId="3AC947D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338" w:type="pct"/>
                  <w:gridSpan w:val="2"/>
                  <w:shd w:val="clear" w:color="auto" w:fill="auto"/>
                  <w:tcMar>
                    <w:top w:w="15" w:type="dxa"/>
                    <w:left w:w="15" w:type="dxa"/>
                    <w:right w:w="15" w:type="dxa"/>
                  </w:tcMar>
                  <w:vAlign w:val="center"/>
                </w:tcPr>
                <w:p w14:paraId="7EE91BCB">
                  <w:pPr>
                    <w:snapToGrid w:val="0"/>
                    <w:spacing w:line="240" w:lineRule="exact"/>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行业类别</w:t>
                  </w:r>
                </w:p>
              </w:tc>
              <w:tc>
                <w:tcPr>
                  <w:tcW w:w="643" w:type="pct"/>
                  <w:shd w:val="clear" w:color="auto" w:fill="auto"/>
                  <w:tcMar>
                    <w:top w:w="15" w:type="dxa"/>
                    <w:left w:w="15" w:type="dxa"/>
                    <w:right w:w="15" w:type="dxa"/>
                  </w:tcMar>
                  <w:vAlign w:val="center"/>
                </w:tcPr>
                <w:p w14:paraId="72F5E144">
                  <w:pPr>
                    <w:snapToGrid w:val="0"/>
                    <w:spacing w:line="240" w:lineRule="exact"/>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重点管理</w:t>
                  </w:r>
                </w:p>
              </w:tc>
              <w:tc>
                <w:tcPr>
                  <w:tcW w:w="2185" w:type="pct"/>
                  <w:shd w:val="clear" w:color="auto" w:fill="auto"/>
                  <w:tcMar>
                    <w:top w:w="15" w:type="dxa"/>
                    <w:left w:w="15" w:type="dxa"/>
                    <w:right w:w="15" w:type="dxa"/>
                  </w:tcMar>
                  <w:vAlign w:val="center"/>
                </w:tcPr>
                <w:p w14:paraId="4ADAC67E">
                  <w:pPr>
                    <w:snapToGrid w:val="0"/>
                    <w:spacing w:line="240" w:lineRule="exact"/>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简化管理</w:t>
                  </w:r>
                </w:p>
              </w:tc>
              <w:tc>
                <w:tcPr>
                  <w:tcW w:w="832" w:type="pct"/>
                  <w:shd w:val="clear" w:color="auto" w:fill="FFFFFF"/>
                  <w:tcMar>
                    <w:top w:w="15" w:type="dxa"/>
                    <w:left w:w="15" w:type="dxa"/>
                    <w:right w:w="15" w:type="dxa"/>
                  </w:tcMar>
                  <w:vAlign w:val="center"/>
                </w:tcPr>
                <w:p w14:paraId="08EE0E6B">
                  <w:pPr>
                    <w:snapToGrid w:val="0"/>
                    <w:spacing w:line="240" w:lineRule="exact"/>
                    <w:jc w:val="center"/>
                    <w:rPr>
                      <w:b/>
                      <w:bCs/>
                      <w:color w:val="000000" w:themeColor="text1"/>
                      <w:szCs w:val="21"/>
                      <w:highlight w:val="none"/>
                      <w:lang w:val="zh-CN"/>
                      <w14:textFill>
                        <w14:solidFill>
                          <w14:schemeClr w14:val="tx1"/>
                        </w14:solidFill>
                      </w14:textFill>
                    </w:rPr>
                  </w:pPr>
                  <w:r>
                    <w:rPr>
                      <w:b/>
                      <w:bCs/>
                      <w:color w:val="000000" w:themeColor="text1"/>
                      <w:szCs w:val="21"/>
                      <w:highlight w:val="none"/>
                      <w:lang w:val="zh-CN"/>
                      <w14:textFill>
                        <w14:solidFill>
                          <w14:schemeClr w14:val="tx1"/>
                        </w14:solidFill>
                      </w14:textFill>
                    </w:rPr>
                    <w:t>登记管理</w:t>
                  </w:r>
                </w:p>
              </w:tc>
            </w:tr>
            <w:tr w14:paraId="6AB621F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00" w:type="pct"/>
                  <w:gridSpan w:val="5"/>
                  <w:tcMar>
                    <w:top w:w="15" w:type="dxa"/>
                    <w:left w:w="15" w:type="dxa"/>
                    <w:right w:w="15" w:type="dxa"/>
                  </w:tcMar>
                  <w:vAlign w:val="center"/>
                </w:tcPr>
                <w:p w14:paraId="1200DDB6">
                  <w:pPr>
                    <w:snapToGrid w:val="0"/>
                    <w:spacing w:line="240" w:lineRule="exact"/>
                    <w:rPr>
                      <w:color w:val="000000" w:themeColor="text1"/>
                      <w:szCs w:val="21"/>
                      <w:highlight w:val="none"/>
                      <w:lang w:val="zh-CN"/>
                      <w14:textFill>
                        <w14:solidFill>
                          <w14:schemeClr w14:val="tx1"/>
                        </w14:solidFill>
                      </w14:textFill>
                    </w:rPr>
                  </w:pPr>
                  <w:r>
                    <w:rPr>
                      <w:rFonts w:hint="eastAsia"/>
                      <w:color w:val="000000" w:themeColor="text1"/>
                      <w:szCs w:val="21"/>
                      <w:highlight w:val="none"/>
                      <w:lang w:val="zh-CN"/>
                      <w14:textFill>
                        <w14:solidFill>
                          <w14:schemeClr w14:val="tx1"/>
                        </w14:solidFill>
                      </w14:textFill>
                    </w:rPr>
                    <w:t>二十四、橡胶和塑料制品业29</w:t>
                  </w:r>
                </w:p>
              </w:tc>
            </w:tr>
            <w:tr w14:paraId="305280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12" w:type="pct"/>
                  <w:shd w:val="clear" w:color="auto" w:fill="auto"/>
                  <w:tcMar>
                    <w:top w:w="15" w:type="dxa"/>
                    <w:left w:w="15" w:type="dxa"/>
                    <w:right w:w="15" w:type="dxa"/>
                  </w:tcMar>
                  <w:vAlign w:val="center"/>
                </w:tcPr>
                <w:p w14:paraId="57A9C978">
                  <w:pPr>
                    <w:snapToGrid w:val="0"/>
                    <w:spacing w:line="240" w:lineRule="exact"/>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6</w:t>
                  </w:r>
                  <w:r>
                    <w:rPr>
                      <w:rFonts w:hint="eastAsia"/>
                      <w:color w:val="000000" w:themeColor="text1"/>
                      <w:szCs w:val="21"/>
                      <w:highlight w:val="none"/>
                      <w:lang w:val="en-US" w:eastAsia="zh-CN"/>
                      <w14:textFill>
                        <w14:solidFill>
                          <w14:schemeClr w14:val="tx1"/>
                        </w14:solidFill>
                      </w14:textFill>
                    </w:rPr>
                    <w:t>1</w:t>
                  </w:r>
                </w:p>
              </w:tc>
              <w:tc>
                <w:tcPr>
                  <w:tcW w:w="1025" w:type="pct"/>
                  <w:shd w:val="clear" w:color="auto" w:fill="auto"/>
                  <w:tcMar>
                    <w:top w:w="15" w:type="dxa"/>
                    <w:left w:w="15" w:type="dxa"/>
                    <w:right w:w="15" w:type="dxa"/>
                  </w:tcMar>
                  <w:vAlign w:val="center"/>
                </w:tcPr>
                <w:p w14:paraId="1C3B424A">
                  <w:pPr>
                    <w:snapToGrid w:val="0"/>
                    <w:spacing w:line="240" w:lineRule="exact"/>
                    <w:jc w:val="center"/>
                    <w:rPr>
                      <w:color w:val="000000" w:themeColor="text1"/>
                      <w:szCs w:val="21"/>
                      <w:highlight w:val="none"/>
                      <w:lang w:val="zh-CN"/>
                      <w14:textFill>
                        <w14:solidFill>
                          <w14:schemeClr w14:val="tx1"/>
                        </w14:solidFill>
                      </w14:textFill>
                    </w:rPr>
                  </w:pPr>
                  <w:r>
                    <w:rPr>
                      <w:rFonts w:hint="eastAsia"/>
                      <w:color w:val="000000" w:themeColor="text1"/>
                      <w:szCs w:val="21"/>
                      <w:highlight w:val="none"/>
                      <w14:textFill>
                        <w14:solidFill>
                          <w14:schemeClr w14:val="tx1"/>
                        </w14:solidFill>
                      </w14:textFill>
                    </w:rPr>
                    <w:t>橡胶制品业291</w:t>
                  </w:r>
                </w:p>
              </w:tc>
              <w:tc>
                <w:tcPr>
                  <w:tcW w:w="643" w:type="pct"/>
                  <w:shd w:val="clear" w:color="auto" w:fill="auto"/>
                  <w:tcMar>
                    <w:top w:w="15" w:type="dxa"/>
                    <w:left w:w="15" w:type="dxa"/>
                    <w:right w:w="15" w:type="dxa"/>
                  </w:tcMar>
                  <w:vAlign w:val="center"/>
                </w:tcPr>
                <w:p w14:paraId="20F7BCE3">
                  <w:pPr>
                    <w:snapToGrid w:val="0"/>
                    <w:spacing w:line="240" w:lineRule="exact"/>
                    <w:jc w:val="center"/>
                    <w:rPr>
                      <w:color w:val="000000" w:themeColor="text1"/>
                      <w:szCs w:val="21"/>
                      <w:highlight w:val="none"/>
                      <w:lang w:val="zh-CN"/>
                      <w14:textFill>
                        <w14:solidFill>
                          <w14:schemeClr w14:val="tx1"/>
                        </w14:solidFill>
                      </w14:textFill>
                    </w:rPr>
                  </w:pPr>
                  <w:r>
                    <w:rPr>
                      <w:rFonts w:hint="eastAsia"/>
                      <w:color w:val="000000" w:themeColor="text1"/>
                      <w:szCs w:val="21"/>
                      <w:highlight w:val="none"/>
                      <w14:textFill>
                        <w14:solidFill>
                          <w14:schemeClr w14:val="tx1"/>
                        </w14:solidFill>
                      </w14:textFill>
                    </w:rPr>
                    <w:t>纳入重点排污单位名录的</w:t>
                  </w:r>
                </w:p>
              </w:tc>
              <w:tc>
                <w:tcPr>
                  <w:tcW w:w="2185" w:type="pct"/>
                  <w:shd w:val="clear" w:color="auto" w:fill="auto"/>
                  <w:tcMar>
                    <w:top w:w="15" w:type="dxa"/>
                    <w:left w:w="15" w:type="dxa"/>
                    <w:right w:w="15" w:type="dxa"/>
                  </w:tcMar>
                  <w:vAlign w:val="center"/>
                </w:tcPr>
                <w:p w14:paraId="1F9554F6">
                  <w:pPr>
                    <w:snapToGrid w:val="0"/>
                    <w:spacing w:line="240" w:lineRule="exact"/>
                    <w:jc w:val="center"/>
                    <w:rPr>
                      <w:rFonts w:hint="eastAsia" w:eastAsia="宋体"/>
                      <w:color w:val="000000" w:themeColor="text1"/>
                      <w:szCs w:val="21"/>
                      <w:highlight w:val="none"/>
                      <w:lang w:val="zh-CN" w:eastAsia="zh-CN"/>
                      <w14:textFill>
                        <w14:solidFill>
                          <w14:schemeClr w14:val="tx1"/>
                        </w14:solidFill>
                      </w14:textFill>
                    </w:rPr>
                  </w:pPr>
                  <w:r>
                    <w:rPr>
                      <w:rFonts w:hint="eastAsia"/>
                      <w:color w:val="000000" w:themeColor="text1"/>
                      <w:szCs w:val="21"/>
                      <w:highlight w:val="none"/>
                      <w14:textFill>
                        <w14:solidFill>
                          <w14:schemeClr w14:val="tx1"/>
                        </w14:solidFill>
                      </w14:textFill>
                    </w:rPr>
                    <w:t>除重点管理以外的轮胎制造2911、年耗胶量2000吨及以上的橡胶板、管、带制造2912、橡胶零件制造2913、再生橡胶制造2914、日用及医用橡胶制品制造2915、运动场地用塑胶制造2916、其他橡胶制品制造2919</w:t>
                  </w:r>
                </w:p>
              </w:tc>
              <w:tc>
                <w:tcPr>
                  <w:tcW w:w="832" w:type="pct"/>
                  <w:shd w:val="clear" w:color="auto" w:fill="FFFFFF"/>
                  <w:tcMar>
                    <w:top w:w="15" w:type="dxa"/>
                    <w:left w:w="15" w:type="dxa"/>
                    <w:right w:w="15" w:type="dxa"/>
                  </w:tcMar>
                  <w:vAlign w:val="center"/>
                </w:tcPr>
                <w:p w14:paraId="7A9D90E0">
                  <w:pPr>
                    <w:snapToGrid w:val="0"/>
                    <w:spacing w:line="240" w:lineRule="exact"/>
                    <w:jc w:val="center"/>
                    <w:rPr>
                      <w:rFonts w:ascii="Times New Roman" w:hAnsi="Times New Roman" w:eastAsia="宋体" w:cs="Times New Roman"/>
                      <w:color w:val="000000" w:themeColor="text1"/>
                      <w:szCs w:val="21"/>
                      <w:highlight w:val="none"/>
                      <w:lang w:val="zh-CN"/>
                      <w14:textFill>
                        <w14:solidFill>
                          <w14:schemeClr w14:val="tx1"/>
                        </w14:solidFill>
                      </w14:textFill>
                    </w:rPr>
                  </w:pPr>
                  <w:r>
                    <w:rPr>
                      <w:rFonts w:ascii="Times New Roman" w:hAnsi="Times New Roman" w:eastAsia="宋体" w:cs="Times New Roman"/>
                      <w:color w:val="000000" w:themeColor="text1"/>
                      <w:szCs w:val="21"/>
                      <w:highlight w:val="none"/>
                      <w:lang w:val="zh-CN"/>
                      <w14:textFill>
                        <w14:solidFill>
                          <w14:schemeClr w14:val="tx1"/>
                        </w14:solidFill>
                      </w14:textFill>
                    </w:rPr>
                    <w:t>其他</w:t>
                  </w:r>
                </w:p>
              </w:tc>
            </w:tr>
            <w:tr w14:paraId="4AD369C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12" w:type="pct"/>
                  <w:shd w:val="clear" w:color="auto" w:fill="auto"/>
                  <w:tcMar>
                    <w:top w:w="15" w:type="dxa"/>
                    <w:left w:w="15" w:type="dxa"/>
                    <w:right w:w="15" w:type="dxa"/>
                  </w:tcMar>
                  <w:vAlign w:val="center"/>
                </w:tcPr>
                <w:p w14:paraId="25293DC7">
                  <w:pPr>
                    <w:snapToGrid w:val="0"/>
                    <w:spacing w:line="240" w:lineRule="exact"/>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62</w:t>
                  </w:r>
                </w:p>
              </w:tc>
              <w:tc>
                <w:tcPr>
                  <w:tcW w:w="1025" w:type="pct"/>
                  <w:shd w:val="clear" w:color="auto" w:fill="auto"/>
                  <w:tcMar>
                    <w:top w:w="15" w:type="dxa"/>
                    <w:left w:w="15" w:type="dxa"/>
                    <w:right w:w="15" w:type="dxa"/>
                  </w:tcMar>
                  <w:vAlign w:val="center"/>
                </w:tcPr>
                <w:p w14:paraId="253E19D7">
                  <w:pPr>
                    <w:snapToGrid w:val="0"/>
                    <w:spacing w:line="240" w:lineRule="exact"/>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塑料制品业292</w:t>
                  </w:r>
                </w:p>
              </w:tc>
              <w:tc>
                <w:tcPr>
                  <w:tcW w:w="643" w:type="pct"/>
                  <w:shd w:val="clear" w:color="auto" w:fill="auto"/>
                  <w:tcMar>
                    <w:top w:w="15" w:type="dxa"/>
                    <w:left w:w="15" w:type="dxa"/>
                    <w:right w:w="15" w:type="dxa"/>
                  </w:tcMar>
                  <w:vAlign w:val="center"/>
                </w:tcPr>
                <w:p w14:paraId="6A6263BF">
                  <w:pPr>
                    <w:snapToGrid w:val="0"/>
                    <w:spacing w:line="240" w:lineRule="exact"/>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塑料人造革、合成革制造2925</w:t>
                  </w:r>
                </w:p>
              </w:tc>
              <w:tc>
                <w:tcPr>
                  <w:tcW w:w="2185" w:type="pct"/>
                  <w:shd w:val="clear" w:color="auto" w:fill="auto"/>
                  <w:tcMar>
                    <w:top w:w="15" w:type="dxa"/>
                    <w:left w:w="15" w:type="dxa"/>
                    <w:right w:w="15" w:type="dxa"/>
                  </w:tcMar>
                  <w:vAlign w:val="center"/>
                </w:tcPr>
                <w:p w14:paraId="4D242630">
                  <w:pPr>
                    <w:snapToGrid w:val="0"/>
                    <w:spacing w:line="240" w:lineRule="exact"/>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年产1万吨及以上的泡沫塑料制造2924，年产1万吨及以上涉及改性的塑料薄膜制造2921、塑料板、管、型材制造2922、塑料丝、绳和编织品制造2923、塑料包装箱及容器制造2926、日用塑料品制造2927、人造草坪制造2928、塑料零件及其他塑料制品制造2929</w:t>
                  </w:r>
                </w:p>
              </w:tc>
              <w:tc>
                <w:tcPr>
                  <w:tcW w:w="832" w:type="pct"/>
                  <w:shd w:val="clear" w:color="auto" w:fill="FFFFFF"/>
                  <w:tcMar>
                    <w:top w:w="15" w:type="dxa"/>
                    <w:left w:w="15" w:type="dxa"/>
                    <w:right w:w="15" w:type="dxa"/>
                  </w:tcMar>
                  <w:vAlign w:val="center"/>
                </w:tcPr>
                <w:p w14:paraId="69AECC1D">
                  <w:pPr>
                    <w:snapToGrid w:val="0"/>
                    <w:spacing w:line="240" w:lineRule="exact"/>
                    <w:jc w:val="center"/>
                    <w:rPr>
                      <w:rFonts w:ascii="Times New Roman" w:hAnsi="Times New Roman" w:eastAsia="宋体" w:cs="Times New Roman"/>
                      <w:color w:val="000000" w:themeColor="text1"/>
                      <w:szCs w:val="21"/>
                      <w:highlight w:val="none"/>
                      <w:lang w:val="zh-CN"/>
                      <w14:textFill>
                        <w14:solidFill>
                          <w14:schemeClr w14:val="tx1"/>
                        </w14:solidFill>
                      </w14:textFill>
                    </w:rPr>
                  </w:pPr>
                  <w:r>
                    <w:rPr>
                      <w:rFonts w:ascii="Times New Roman" w:hAnsi="Times New Roman" w:eastAsia="宋体" w:cs="Times New Roman"/>
                      <w:color w:val="000000" w:themeColor="text1"/>
                      <w:szCs w:val="21"/>
                      <w:highlight w:val="none"/>
                      <w:lang w:val="zh-CN"/>
                      <w14:textFill>
                        <w14:solidFill>
                          <w14:schemeClr w14:val="tx1"/>
                        </w14:solidFill>
                      </w14:textFill>
                    </w:rPr>
                    <w:t>其他</w:t>
                  </w:r>
                </w:p>
              </w:tc>
            </w:tr>
            <w:tr w14:paraId="7A99D68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00" w:type="pct"/>
                  <w:gridSpan w:val="5"/>
                  <w:shd w:val="clear" w:color="auto" w:fill="auto"/>
                  <w:tcMar>
                    <w:top w:w="15" w:type="dxa"/>
                    <w:left w:w="15" w:type="dxa"/>
                    <w:right w:w="15" w:type="dxa"/>
                  </w:tcMar>
                  <w:vAlign w:val="center"/>
                </w:tcPr>
                <w:p w14:paraId="104ACA04">
                  <w:pPr>
                    <w:snapToGrid w:val="0"/>
                    <w:spacing w:line="240" w:lineRule="exact"/>
                    <w:rPr>
                      <w:color w:val="000000" w:themeColor="text1"/>
                      <w:szCs w:val="21"/>
                      <w:highlight w:val="none"/>
                      <w:lang w:val="zh-CN"/>
                      <w14:textFill>
                        <w14:solidFill>
                          <w14:schemeClr w14:val="tx1"/>
                        </w14:solidFill>
                      </w14:textFill>
                    </w:rPr>
                  </w:pPr>
                  <w:r>
                    <w:rPr>
                      <w:rFonts w:hint="eastAsia"/>
                      <w:color w:val="000000" w:themeColor="text1"/>
                      <w:sz w:val="24"/>
                      <w:highlight w:val="none"/>
                      <w:lang w:val="zh-CN"/>
                      <w14:textFill>
                        <w14:solidFill>
                          <w14:schemeClr w14:val="tx1"/>
                        </w14:solidFill>
                      </w14:textFill>
                    </w:rPr>
                    <w:t>三十一、汽车制造业36</w:t>
                  </w:r>
                </w:p>
              </w:tc>
            </w:tr>
            <w:tr w14:paraId="2DCBFC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12" w:type="pct"/>
                  <w:shd w:val="clear" w:color="auto" w:fill="auto"/>
                  <w:tcMar>
                    <w:top w:w="15" w:type="dxa"/>
                    <w:left w:w="15" w:type="dxa"/>
                    <w:right w:w="15" w:type="dxa"/>
                  </w:tcMar>
                  <w:vAlign w:val="center"/>
                </w:tcPr>
                <w:p w14:paraId="06B9CA7E">
                  <w:pPr>
                    <w:snapToGrid w:val="0"/>
                    <w:spacing w:line="240" w:lineRule="exact"/>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8</w:t>
                  </w:r>
                  <w:r>
                    <w:rPr>
                      <w:rFonts w:hint="eastAsia"/>
                      <w:color w:val="000000" w:themeColor="text1"/>
                      <w:szCs w:val="21"/>
                      <w:highlight w:val="none"/>
                      <w:lang w:val="en-US" w:eastAsia="zh-CN"/>
                      <w14:textFill>
                        <w14:solidFill>
                          <w14:schemeClr w14:val="tx1"/>
                        </w14:solidFill>
                      </w14:textFill>
                    </w:rPr>
                    <w:t>5</w:t>
                  </w:r>
                </w:p>
              </w:tc>
              <w:tc>
                <w:tcPr>
                  <w:tcW w:w="1025" w:type="pct"/>
                  <w:shd w:val="clear" w:color="auto" w:fill="auto"/>
                  <w:tcMar>
                    <w:top w:w="15" w:type="dxa"/>
                    <w:left w:w="15" w:type="dxa"/>
                    <w:right w:w="15" w:type="dxa"/>
                  </w:tcMar>
                  <w:vAlign w:val="center"/>
                </w:tcPr>
                <w:p w14:paraId="76EC07BF">
                  <w:pPr>
                    <w:snapToGrid w:val="0"/>
                    <w:spacing w:line="240" w:lineRule="exact"/>
                    <w:jc w:val="left"/>
                    <w:rPr>
                      <w:rFonts w:hint="eastAsia"/>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汽车整车制造361，汽车用发动机制造362，改装汽车制造363，低速汽车制造364，电车制造365，汽车车身、挂车制造366，汽车零部件及配件制造367</w:t>
                  </w:r>
                </w:p>
              </w:tc>
              <w:tc>
                <w:tcPr>
                  <w:tcW w:w="643" w:type="pct"/>
                  <w:shd w:val="clear" w:color="auto" w:fill="auto"/>
                  <w:tcMar>
                    <w:top w:w="15" w:type="dxa"/>
                    <w:left w:w="15" w:type="dxa"/>
                    <w:right w:w="15" w:type="dxa"/>
                  </w:tcMar>
                  <w:vAlign w:val="center"/>
                </w:tcPr>
                <w:p w14:paraId="044A4EAC">
                  <w:pPr>
                    <w:snapToGrid w:val="0"/>
                    <w:spacing w:line="240" w:lineRule="exact"/>
                    <w:jc w:val="left"/>
                    <w:rPr>
                      <w:rFonts w:hint="eastAsia"/>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纳入重点排污单位名录的</w:t>
                  </w:r>
                </w:p>
              </w:tc>
              <w:tc>
                <w:tcPr>
                  <w:tcW w:w="2185" w:type="pct"/>
                  <w:shd w:val="clear" w:color="auto" w:fill="auto"/>
                  <w:tcMar>
                    <w:top w:w="15" w:type="dxa"/>
                    <w:left w:w="15" w:type="dxa"/>
                    <w:right w:w="15" w:type="dxa"/>
                  </w:tcMar>
                  <w:vAlign w:val="center"/>
                </w:tcPr>
                <w:p w14:paraId="4C80195C">
                  <w:pPr>
                    <w:snapToGrid w:val="0"/>
                    <w:spacing w:line="240" w:lineRule="exact"/>
                    <w:jc w:val="left"/>
                    <w:rPr>
                      <w:rFonts w:hint="eastAsia"/>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除重点管理以外的汽车整车制造361，除重点管理以外的年使用10吨及以上溶剂型涂料或者胶粘剂（含稀释剂、固化剂、清洗溶剂）的汽车用发动机制造362、改装汽车制造363、低速汽车制造364、电车制造365、汽车车身、挂车制造366、汽车零部件及配件制造367</w:t>
                  </w:r>
                </w:p>
              </w:tc>
              <w:tc>
                <w:tcPr>
                  <w:tcW w:w="832" w:type="pct"/>
                  <w:shd w:val="clear" w:color="auto" w:fill="FFFFFF"/>
                  <w:tcMar>
                    <w:top w:w="15" w:type="dxa"/>
                    <w:left w:w="15" w:type="dxa"/>
                    <w:right w:w="15" w:type="dxa"/>
                  </w:tcMar>
                  <w:vAlign w:val="center"/>
                </w:tcPr>
                <w:p w14:paraId="4DFCC3F5">
                  <w:pPr>
                    <w:snapToGrid w:val="0"/>
                    <w:spacing w:line="240" w:lineRule="exact"/>
                    <w:jc w:val="center"/>
                    <w:rPr>
                      <w:color w:val="000000" w:themeColor="text1"/>
                      <w:szCs w:val="21"/>
                      <w:highlight w:val="none"/>
                      <w:lang w:val="zh-CN"/>
                      <w14:textFill>
                        <w14:solidFill>
                          <w14:schemeClr w14:val="tx1"/>
                        </w14:solidFill>
                      </w14:textFill>
                    </w:rPr>
                  </w:pPr>
                  <w:r>
                    <w:rPr>
                      <w:rFonts w:hint="eastAsia" w:ascii="Times New Roman" w:hAnsi="Times New Roman" w:eastAsia="宋体" w:cs="Times New Roman"/>
                      <w:color w:val="000000" w:themeColor="text1"/>
                      <w:szCs w:val="21"/>
                      <w:highlight w:val="none"/>
                      <w:lang w:val="zh-CN"/>
                      <w14:textFill>
                        <w14:solidFill>
                          <w14:schemeClr w14:val="tx1"/>
                        </w14:solidFill>
                      </w14:textFill>
                    </w:rPr>
                    <w:t>其他</w:t>
                  </w:r>
                </w:p>
              </w:tc>
            </w:tr>
          </w:tbl>
          <w:p w14:paraId="088E73F2">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②环境管理体系项目建成后，建立环境管理体系，以便全面系统地对污染物进行控制，进一步提高能源资源的利用率，及时了解有关环保法律法规及其他要求，更好地遵守法律法规及各项制度。</w:t>
            </w:r>
          </w:p>
          <w:p w14:paraId="66EC8B54">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③排污定期报告制度</w:t>
            </w:r>
          </w:p>
          <w:p w14:paraId="2EFBE31A">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要定期向当地</w:t>
            </w:r>
            <w:r>
              <w:rPr>
                <w:rFonts w:hint="eastAsia"/>
                <w:color w:val="000000" w:themeColor="text1"/>
                <w:sz w:val="24"/>
                <w:highlight w:val="none"/>
                <w:lang w:val="zh-CN"/>
                <w14:textFill>
                  <w14:solidFill>
                    <w14:schemeClr w14:val="tx1"/>
                  </w14:solidFill>
                </w14:textFill>
              </w:rPr>
              <w:t>生态环境主管部门</w:t>
            </w:r>
            <w:r>
              <w:rPr>
                <w:color w:val="000000" w:themeColor="text1"/>
                <w:sz w:val="24"/>
                <w:highlight w:val="none"/>
                <w:lang w:val="zh-CN"/>
                <w14:textFill>
                  <w14:solidFill>
                    <w14:schemeClr w14:val="tx1"/>
                  </w14:solidFill>
                </w14:textFill>
              </w:rPr>
              <w:t>报告污染治理设施运行情况、污染物排放情况以及污染事故、污染纠纷等情况。</w:t>
            </w:r>
          </w:p>
          <w:p w14:paraId="50DE71BA">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④</w:t>
            </w:r>
            <w:r>
              <w:rPr>
                <w:rFonts w:hint="eastAsia"/>
                <w:color w:val="000000" w:themeColor="text1"/>
                <w:sz w:val="24"/>
                <w:highlight w:val="none"/>
                <w:lang w:val="zh-CN"/>
                <w14:textFill>
                  <w14:solidFill>
                    <w14:schemeClr w14:val="tx1"/>
                  </w14:solidFill>
                </w14:textFill>
              </w:rPr>
              <w:t>污染治理设施管理制度</w:t>
            </w:r>
          </w:p>
          <w:p w14:paraId="2BB704D0">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对污染治理设施的管理必须与生产经营活动一起纳入企业的日常管理中，要建立岗位责任制，制定操作规程，建立管理台账。</w:t>
            </w:r>
          </w:p>
          <w:p w14:paraId="1B0AC079">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⑤奖惩制度</w:t>
            </w:r>
          </w:p>
          <w:p w14:paraId="324259EA">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企业应设置环境保护奖惩制度，对爱护环保设施，节能降耗，改善环境者实行奖励：对不按环保要求管理，造成环保设施损坏、环境污染和资源、能源浪费者予以处罚。</w:t>
            </w:r>
          </w:p>
          <w:p w14:paraId="51063B45">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⑥社会公开制度</w:t>
            </w:r>
          </w:p>
          <w:p w14:paraId="24DF451B">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向社会公开拟建项目污染物排放清单，明确污染物排放的管理要求。包括工程组成及原辅材料组分要求，建设项目拟采取的环境保护措施及主要运行参数，排放的污染物种类、排放浓度和总量指标，排污口信息，执行的环境标准，环境风险防范措施以及环境监测等。</w:t>
            </w:r>
          </w:p>
          <w:p w14:paraId="1F3ED73A">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8、排污口规范化设置</w:t>
            </w:r>
          </w:p>
          <w:p w14:paraId="7495B226">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（1）废气</w:t>
            </w:r>
          </w:p>
          <w:p w14:paraId="6FF04CA2">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本项目</w:t>
            </w:r>
            <w:r>
              <w:rPr>
                <w:rFonts w:hint="eastAsia"/>
                <w:color w:val="000000" w:themeColor="text1"/>
                <w:sz w:val="24"/>
                <w:highlight w:val="none"/>
                <w:lang w:val="en-US" w:eastAsia="zh-CN"/>
                <w14:textFill>
                  <w14:solidFill>
                    <w14:schemeClr w14:val="tx1"/>
                  </w14:solidFill>
                </w14:textFill>
              </w:rPr>
              <w:t>新增2个排气筒</w:t>
            </w:r>
            <w:r>
              <w:rPr>
                <w:color w:val="000000" w:themeColor="text1"/>
                <w:sz w:val="24"/>
                <w:highlight w:val="none"/>
                <w:lang w:val="zh-CN"/>
                <w14:textFill>
                  <w14:solidFill>
                    <w14:schemeClr w14:val="tx1"/>
                  </w14:solidFill>
                </w14:textFill>
              </w:rPr>
              <w:t>。</w:t>
            </w:r>
          </w:p>
          <w:p w14:paraId="61DE2927">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根据国家标准《环境保护图形标志-排放口（源）》和《排污口规范化整治要求（试行）》的技术要求，企业废气排放口，必须按照</w:t>
            </w:r>
            <w:r>
              <w:rPr>
                <w:rFonts w:hint="eastAsia"/>
                <w:color w:val="000000" w:themeColor="text1"/>
                <w:sz w:val="24"/>
                <w:highlight w:val="none"/>
                <w:lang w:val="zh-CN"/>
                <w14:textFill>
                  <w14:solidFill>
                    <w14:schemeClr w14:val="tx1"/>
                  </w14:solidFill>
                </w14:textFill>
              </w:rPr>
              <w:t>“</w:t>
            </w:r>
            <w:r>
              <w:rPr>
                <w:color w:val="000000" w:themeColor="text1"/>
                <w:sz w:val="24"/>
                <w:highlight w:val="none"/>
                <w:lang w:val="zh-CN"/>
                <w14:textFill>
                  <w14:solidFill>
                    <w14:schemeClr w14:val="tx1"/>
                  </w14:solidFill>
                </w14:textFill>
              </w:rPr>
              <w:t>便于计量监测、便于日常现场监督检查</w:t>
            </w:r>
            <w:r>
              <w:rPr>
                <w:rFonts w:hint="eastAsia"/>
                <w:color w:val="000000" w:themeColor="text1"/>
                <w:sz w:val="24"/>
                <w:highlight w:val="none"/>
                <w:lang w:val="zh-CN"/>
                <w14:textFill>
                  <w14:solidFill>
                    <w14:schemeClr w14:val="tx1"/>
                  </w14:solidFill>
                </w14:textFill>
              </w:rPr>
              <w:t>”</w:t>
            </w:r>
            <w:r>
              <w:rPr>
                <w:color w:val="000000" w:themeColor="text1"/>
                <w:sz w:val="24"/>
                <w:highlight w:val="none"/>
                <w:lang w:val="zh-CN"/>
                <w14:textFill>
                  <w14:solidFill>
                    <w14:schemeClr w14:val="tx1"/>
                  </w14:solidFill>
                </w14:textFill>
              </w:rPr>
              <w:t>的原则和规范化要求，设置与之相适应的环境保护图形标志牌。拟建项目废气排放口必须符合规定的高度和按照《污染源监测技术规范》便于采样、监测的要求，设置直径不小于80mm的采样口。如无法满足要求的，其采样口与环境监测部门共同确认。</w:t>
            </w:r>
          </w:p>
          <w:p w14:paraId="0371874E">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（2）废水</w:t>
            </w:r>
          </w:p>
          <w:p w14:paraId="7F1E0530">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本项目</w:t>
            </w:r>
            <w:r>
              <w:rPr>
                <w:rFonts w:hint="eastAsia"/>
                <w:color w:val="000000" w:themeColor="text1"/>
                <w:sz w:val="24"/>
                <w:highlight w:val="none"/>
                <w:lang w:val="en-US" w:eastAsia="zh-CN"/>
                <w14:textFill>
                  <w14:solidFill>
                    <w14:schemeClr w14:val="tx1"/>
                  </w14:solidFill>
                </w14:textFill>
              </w:rPr>
              <w:t>依托厂区现有</w:t>
            </w:r>
            <w:r>
              <w:rPr>
                <w:color w:val="000000" w:themeColor="text1"/>
                <w:sz w:val="24"/>
                <w:highlight w:val="none"/>
                <w:lang w:val="zh-CN"/>
                <w14:textFill>
                  <w14:solidFill>
                    <w14:schemeClr w14:val="tx1"/>
                  </w14:solidFill>
                </w14:textFill>
              </w:rPr>
              <w:t>废水排口一个，在排口附近，必须留有水质监控和水质采样位置。本项目</w:t>
            </w:r>
            <w:r>
              <w:rPr>
                <w:rFonts w:hint="eastAsia"/>
                <w:color w:val="000000" w:themeColor="text1"/>
                <w:sz w:val="24"/>
                <w:highlight w:val="none"/>
                <w14:textFill>
                  <w14:solidFill>
                    <w14:schemeClr w14:val="tx1"/>
                  </w14:solidFill>
                </w14:textFill>
              </w:rPr>
              <w:t>废水</w:t>
            </w:r>
            <w:r>
              <w:rPr>
                <w:color w:val="000000" w:themeColor="text1"/>
                <w:sz w:val="24"/>
                <w:highlight w:val="none"/>
                <w14:textFill>
                  <w14:solidFill>
                    <w14:schemeClr w14:val="tx1"/>
                  </w14:solidFill>
                </w14:textFill>
              </w:rPr>
              <w:t>接管至</w:t>
            </w:r>
            <w:r>
              <w:rPr>
                <w:rFonts w:hint="eastAsia"/>
                <w:color w:val="000000" w:themeColor="text1"/>
                <w:sz w:val="24"/>
                <w:highlight w:val="none"/>
                <w:lang w:eastAsia="zh-CN"/>
                <w14:textFill>
                  <w14:solidFill>
                    <w14:schemeClr w14:val="tx1"/>
                  </w14:solidFill>
                </w14:textFill>
              </w:rPr>
              <w:t>禄口污水处理厂</w:t>
            </w:r>
            <w:r>
              <w:rPr>
                <w:color w:val="000000" w:themeColor="text1"/>
                <w:sz w:val="24"/>
                <w:highlight w:val="none"/>
                <w:lang w:val="zh-CN"/>
                <w14:textFill>
                  <w14:solidFill>
                    <w14:schemeClr w14:val="tx1"/>
                  </w14:solidFill>
                </w14:textFill>
              </w:rPr>
              <w:t>。</w:t>
            </w:r>
          </w:p>
          <w:p w14:paraId="22710FB9">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（3）噪声</w:t>
            </w:r>
          </w:p>
          <w:p w14:paraId="14DF5FC9">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按有关规定对固定噪声源进行治理，并在对外界影响最大处设置标志牌。</w:t>
            </w:r>
          </w:p>
          <w:p w14:paraId="47BF0DFA">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（4）环保图形标志和监控要求</w:t>
            </w:r>
          </w:p>
          <w:p w14:paraId="481C49C0">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在厂区的噪声排放源和固体废物贮存处置场应设置环境保护图形标志，图形符号分为提示图形和警告图形符号两种，分别按GB15562.1-1995、GB15562.2-1995执行。环境保护图形标志的形状及颜色见表4-</w:t>
            </w:r>
            <w:r>
              <w:rPr>
                <w:rFonts w:hint="eastAsia"/>
                <w:color w:val="000000" w:themeColor="text1"/>
                <w:sz w:val="24"/>
                <w:highlight w:val="none"/>
                <w:lang w:val="en-US" w:eastAsia="zh-CN"/>
                <w14:textFill>
                  <w14:solidFill>
                    <w14:schemeClr w14:val="tx1"/>
                  </w14:solidFill>
                </w14:textFill>
              </w:rPr>
              <w:t>42</w:t>
            </w:r>
            <w:r>
              <w:rPr>
                <w:color w:val="000000" w:themeColor="text1"/>
                <w:sz w:val="24"/>
                <w:highlight w:val="none"/>
                <w:lang w:val="zh-CN"/>
                <w14:textFill>
                  <w14:solidFill>
                    <w14:schemeClr w14:val="tx1"/>
                  </w14:solidFill>
                </w14:textFill>
              </w:rPr>
              <w:t>，环境保护图形符号见表4</w:t>
            </w: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43</w:t>
            </w:r>
            <w:r>
              <w:rPr>
                <w:color w:val="000000" w:themeColor="text1"/>
                <w:sz w:val="24"/>
                <w:highlight w:val="none"/>
                <w:lang w:val="zh-CN"/>
                <w14:textFill>
                  <w14:solidFill>
                    <w14:schemeClr w14:val="tx1"/>
                  </w14:solidFill>
                </w14:textFill>
              </w:rPr>
              <w:t>。</w:t>
            </w:r>
          </w:p>
          <w:p w14:paraId="150214B4">
            <w:pPr>
              <w:adjustRightInd w:val="0"/>
              <w:snapToGrid w:val="0"/>
              <w:spacing w:line="440" w:lineRule="exact"/>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在厂区的</w:t>
            </w:r>
            <w:r>
              <w:rPr>
                <w:rFonts w:hint="eastAsia"/>
                <w:color w:val="000000" w:themeColor="text1"/>
                <w:sz w:val="24"/>
                <w:highlight w:val="none"/>
                <w:lang w:val="zh-CN"/>
                <w14:textFill>
                  <w14:solidFill>
                    <w14:schemeClr w14:val="tx1"/>
                  </w14:solidFill>
                </w14:textFill>
              </w:rPr>
              <w:t>危废仓库</w:t>
            </w:r>
            <w:r>
              <w:rPr>
                <w:color w:val="000000" w:themeColor="text1"/>
                <w:sz w:val="24"/>
                <w:highlight w:val="none"/>
                <w:lang w:val="zh-CN"/>
                <w14:textFill>
                  <w14:solidFill>
                    <w14:schemeClr w14:val="tx1"/>
                  </w14:solidFill>
                </w14:textFill>
              </w:rPr>
              <w:t>应设置危险废物识别标识和危险废物贮存设施视频监控，按《危险废物贮存污染控制标准》（GB18597-2023）、《危险废物收集贮存运输技术规范》（HJ2025-2012）、《环境保护图形标志</w:t>
            </w: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lang w:val="zh-CN"/>
                <w14:textFill>
                  <w14:solidFill>
                    <w14:schemeClr w14:val="tx1"/>
                  </w14:solidFill>
                </w14:textFill>
              </w:rPr>
              <w:t>固体废物贮存（处置）场》（GB15562.2-1995）、《省生态环境厅关于做好江苏省危险废物全生命周期监控系统上线运行工作的通知》（苏环办〔2020〕401号）执行，危险废物识别标识规范化设置要求见表4-</w:t>
            </w:r>
            <w:r>
              <w:rPr>
                <w:rFonts w:hint="eastAsia"/>
                <w:color w:val="000000" w:themeColor="text1"/>
                <w:sz w:val="24"/>
                <w:highlight w:val="none"/>
                <w14:textFill>
                  <w14:solidFill>
                    <w14:schemeClr w14:val="tx1"/>
                  </w14:solidFill>
                </w14:textFill>
              </w:rPr>
              <w:t>4</w:t>
            </w:r>
            <w:r>
              <w:rPr>
                <w:rFonts w:hint="eastAsia"/>
                <w:color w:val="000000" w:themeColor="text1"/>
                <w:sz w:val="24"/>
                <w:highlight w:val="none"/>
                <w:lang w:val="en-US" w:eastAsia="zh-CN"/>
                <w14:textFill>
                  <w14:solidFill>
                    <w14:schemeClr w14:val="tx1"/>
                  </w14:solidFill>
                </w14:textFill>
              </w:rPr>
              <w:t>4</w:t>
            </w:r>
            <w:r>
              <w:rPr>
                <w:color w:val="000000" w:themeColor="text1"/>
                <w:sz w:val="24"/>
                <w:highlight w:val="none"/>
                <w:lang w:val="zh-CN"/>
                <w14:textFill>
                  <w14:solidFill>
                    <w14:schemeClr w14:val="tx1"/>
                  </w14:solidFill>
                </w14:textFill>
              </w:rPr>
              <w:t>，危险废物贮存设施视频监控布设要求见表4-</w:t>
            </w:r>
            <w:r>
              <w:rPr>
                <w:rFonts w:hint="eastAsia"/>
                <w:color w:val="000000" w:themeColor="text1"/>
                <w:sz w:val="24"/>
                <w:highlight w:val="none"/>
                <w:lang w:val="en-US" w:eastAsia="zh-CN"/>
                <w14:textFill>
                  <w14:solidFill>
                    <w14:schemeClr w14:val="tx1"/>
                  </w14:solidFill>
                </w14:textFill>
              </w:rPr>
              <w:t>45</w:t>
            </w:r>
            <w:r>
              <w:rPr>
                <w:color w:val="000000" w:themeColor="text1"/>
                <w:sz w:val="24"/>
                <w:highlight w:val="none"/>
                <w:lang w:val="zh-CN"/>
                <w14:textFill>
                  <w14:solidFill>
                    <w14:schemeClr w14:val="tx1"/>
                  </w14:solidFill>
                </w14:textFill>
              </w:rPr>
              <w:t>。</w:t>
            </w:r>
          </w:p>
          <w:p w14:paraId="58B8B884">
            <w:pPr>
              <w:pStyle w:val="125"/>
              <w:numPr>
                <w:ilvl w:val="0"/>
                <w:numId w:val="0"/>
              </w:numPr>
              <w:spacing w:line="440" w:lineRule="exact"/>
              <w:rPr>
                <w:rFonts w:hint="default"/>
                <w:color w:val="000000" w:themeColor="text1"/>
                <w:sz w:val="24"/>
                <w:highlight w:val="none"/>
                <w:lang w:val="zh-CN"/>
                <w14:textFill>
                  <w14:solidFill>
                    <w14:schemeClr w14:val="tx1"/>
                  </w14:solidFill>
                </w14:textFill>
              </w:rPr>
            </w:pPr>
          </w:p>
          <w:p w14:paraId="7F4A0E57">
            <w:pPr>
              <w:pStyle w:val="125"/>
              <w:numPr>
                <w:ilvl w:val="0"/>
                <w:numId w:val="0"/>
              </w:numPr>
              <w:spacing w:line="440" w:lineRule="exact"/>
              <w:rPr>
                <w:rFonts w:hint="default"/>
                <w:color w:val="000000" w:themeColor="text1"/>
                <w:sz w:val="24"/>
                <w:highlight w:val="none"/>
                <w:lang w:val="zh-CN"/>
                <w14:textFill>
                  <w14:solidFill>
                    <w14:schemeClr w14:val="tx1"/>
                  </w14:solidFill>
                </w14:textFill>
              </w:rPr>
            </w:pPr>
            <w:r>
              <w:rPr>
                <w:rFonts w:hint="default"/>
                <w:color w:val="000000" w:themeColor="text1"/>
                <w:sz w:val="24"/>
                <w:highlight w:val="none"/>
                <w:lang w:val="zh-CN"/>
                <w14:textFill>
                  <w14:solidFill>
                    <w14:schemeClr w14:val="tx1"/>
                  </w14:solidFill>
                </w14:textFill>
              </w:rPr>
              <w:t>表4-</w:t>
            </w:r>
            <w:r>
              <w:rPr>
                <w:rFonts w:hint="eastAsia"/>
                <w:color w:val="000000" w:themeColor="text1"/>
                <w:sz w:val="24"/>
                <w:highlight w:val="none"/>
                <w:lang w:val="en-US" w:eastAsia="zh-CN"/>
                <w14:textFill>
                  <w14:solidFill>
                    <w14:schemeClr w14:val="tx1"/>
                  </w14:solidFill>
                </w14:textFill>
              </w:rPr>
              <w:t xml:space="preserve">42  </w:t>
            </w:r>
            <w:r>
              <w:rPr>
                <w:rFonts w:hint="default"/>
                <w:color w:val="000000" w:themeColor="text1"/>
                <w:sz w:val="24"/>
                <w:highlight w:val="none"/>
                <w:lang w:val="zh-CN"/>
                <w14:textFill>
                  <w14:solidFill>
                    <w14:schemeClr w14:val="tx1"/>
                  </w14:solidFill>
                </w14:textFill>
              </w:rPr>
              <w:t>环境保护图形标志的形状及颜色表</w:t>
            </w:r>
          </w:p>
          <w:tbl>
            <w:tblPr>
              <w:tblStyle w:val="38"/>
              <w:tblW w:w="4959"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0" w:type="dxa"/>
                <w:bottom w:w="0" w:type="dxa"/>
                <w:right w:w="0" w:type="dxa"/>
              </w:tblCellMar>
            </w:tblPr>
            <w:tblGrid>
              <w:gridCol w:w="2112"/>
              <w:gridCol w:w="2113"/>
              <w:gridCol w:w="2113"/>
              <w:gridCol w:w="2114"/>
            </w:tblGrid>
            <w:tr w14:paraId="65717EC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1249" w:type="pct"/>
                  <w:tcMar>
                    <w:left w:w="0" w:type="dxa"/>
                    <w:right w:w="0" w:type="dxa"/>
                  </w:tcMar>
                  <w:vAlign w:val="center"/>
                </w:tcPr>
                <w:p w14:paraId="57007710">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标志名称</w:t>
                  </w:r>
                </w:p>
              </w:tc>
              <w:tc>
                <w:tcPr>
                  <w:tcW w:w="1249" w:type="pct"/>
                  <w:tcMar>
                    <w:left w:w="0" w:type="dxa"/>
                    <w:right w:w="0" w:type="dxa"/>
                  </w:tcMar>
                  <w:vAlign w:val="center"/>
                </w:tcPr>
                <w:p w14:paraId="05481A1F">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形状</w:t>
                  </w:r>
                </w:p>
              </w:tc>
              <w:tc>
                <w:tcPr>
                  <w:tcW w:w="1249" w:type="pct"/>
                  <w:tcMar>
                    <w:left w:w="0" w:type="dxa"/>
                    <w:right w:w="0" w:type="dxa"/>
                  </w:tcMar>
                  <w:vAlign w:val="center"/>
                </w:tcPr>
                <w:p w14:paraId="0F178CC3">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背景颜色</w:t>
                  </w:r>
                </w:p>
              </w:tc>
              <w:tc>
                <w:tcPr>
                  <w:tcW w:w="1250" w:type="pct"/>
                  <w:tcMar>
                    <w:left w:w="0" w:type="dxa"/>
                    <w:right w:w="0" w:type="dxa"/>
                  </w:tcMar>
                  <w:vAlign w:val="center"/>
                </w:tcPr>
                <w:p w14:paraId="33AD3161">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图形颜色</w:t>
                  </w:r>
                </w:p>
              </w:tc>
            </w:tr>
            <w:tr w14:paraId="31A78DE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1249" w:type="pct"/>
                  <w:tcMar>
                    <w:left w:w="0" w:type="dxa"/>
                    <w:right w:w="0" w:type="dxa"/>
                  </w:tcMar>
                  <w:vAlign w:val="center"/>
                </w:tcPr>
                <w:p w14:paraId="57719F68">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警告标志</w:t>
                  </w:r>
                </w:p>
              </w:tc>
              <w:tc>
                <w:tcPr>
                  <w:tcW w:w="1249" w:type="pct"/>
                  <w:tcMar>
                    <w:left w:w="0" w:type="dxa"/>
                    <w:right w:w="0" w:type="dxa"/>
                  </w:tcMar>
                  <w:vAlign w:val="center"/>
                </w:tcPr>
                <w:p w14:paraId="7E1A0214">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三角形边框</w:t>
                  </w:r>
                </w:p>
              </w:tc>
              <w:tc>
                <w:tcPr>
                  <w:tcW w:w="1249" w:type="pct"/>
                  <w:tcMar>
                    <w:left w:w="0" w:type="dxa"/>
                    <w:right w:w="0" w:type="dxa"/>
                  </w:tcMar>
                  <w:vAlign w:val="center"/>
                </w:tcPr>
                <w:p w14:paraId="074BADE0">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黄色</w:t>
                  </w:r>
                </w:p>
              </w:tc>
              <w:tc>
                <w:tcPr>
                  <w:tcW w:w="1250" w:type="pct"/>
                  <w:tcMar>
                    <w:left w:w="0" w:type="dxa"/>
                    <w:right w:w="0" w:type="dxa"/>
                  </w:tcMar>
                  <w:vAlign w:val="center"/>
                </w:tcPr>
                <w:p w14:paraId="3C26DCA3">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黑色</w:t>
                  </w:r>
                </w:p>
              </w:tc>
            </w:tr>
            <w:tr w14:paraId="30FC990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1249" w:type="pct"/>
                  <w:tcMar>
                    <w:left w:w="0" w:type="dxa"/>
                    <w:right w:w="0" w:type="dxa"/>
                  </w:tcMar>
                  <w:vAlign w:val="center"/>
                </w:tcPr>
                <w:p w14:paraId="10180CEB">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提示标志</w:t>
                  </w:r>
                </w:p>
              </w:tc>
              <w:tc>
                <w:tcPr>
                  <w:tcW w:w="1249" w:type="pct"/>
                  <w:tcMar>
                    <w:left w:w="0" w:type="dxa"/>
                    <w:right w:w="0" w:type="dxa"/>
                  </w:tcMar>
                  <w:vAlign w:val="center"/>
                </w:tcPr>
                <w:p w14:paraId="36607121">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正方形边框</w:t>
                  </w:r>
                </w:p>
              </w:tc>
              <w:tc>
                <w:tcPr>
                  <w:tcW w:w="1249" w:type="pct"/>
                  <w:tcMar>
                    <w:left w:w="0" w:type="dxa"/>
                    <w:right w:w="0" w:type="dxa"/>
                  </w:tcMar>
                  <w:vAlign w:val="center"/>
                </w:tcPr>
                <w:p w14:paraId="0EA92822">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绿色</w:t>
                  </w:r>
                </w:p>
              </w:tc>
              <w:tc>
                <w:tcPr>
                  <w:tcW w:w="1250" w:type="pct"/>
                  <w:tcMar>
                    <w:left w:w="0" w:type="dxa"/>
                    <w:right w:w="0" w:type="dxa"/>
                  </w:tcMar>
                  <w:vAlign w:val="center"/>
                </w:tcPr>
                <w:p w14:paraId="4BA295BD">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白色</w:t>
                  </w:r>
                </w:p>
              </w:tc>
            </w:tr>
          </w:tbl>
          <w:p w14:paraId="3C15FE2C">
            <w:pPr>
              <w:pStyle w:val="125"/>
              <w:numPr>
                <w:ilvl w:val="0"/>
                <w:numId w:val="0"/>
              </w:numPr>
              <w:spacing w:line="440" w:lineRule="exact"/>
              <w:rPr>
                <w:rFonts w:hint="default"/>
                <w:color w:val="000000" w:themeColor="text1"/>
                <w:sz w:val="24"/>
                <w:highlight w:val="none"/>
                <w:lang w:val="zh-CN"/>
                <w14:textFill>
                  <w14:solidFill>
                    <w14:schemeClr w14:val="tx1"/>
                  </w14:solidFill>
                </w14:textFill>
              </w:rPr>
            </w:pPr>
            <w:r>
              <w:rPr>
                <w:rFonts w:hint="default"/>
                <w:color w:val="000000" w:themeColor="text1"/>
                <w:sz w:val="24"/>
                <w:highlight w:val="none"/>
                <w:lang w:val="zh-CN"/>
                <w14:textFill>
                  <w14:solidFill>
                    <w14:schemeClr w14:val="tx1"/>
                  </w14:solidFill>
                </w14:textFill>
              </w:rPr>
              <w:t>表4</w:t>
            </w: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 xml:space="preserve">43  </w:t>
            </w:r>
            <w:r>
              <w:rPr>
                <w:rFonts w:hint="default"/>
                <w:color w:val="000000" w:themeColor="text1"/>
                <w:sz w:val="24"/>
                <w:highlight w:val="none"/>
                <w:lang w:val="zh-CN"/>
                <w14:textFill>
                  <w14:solidFill>
                    <w14:schemeClr w14:val="tx1"/>
                  </w14:solidFill>
                </w14:textFill>
              </w:rPr>
              <w:t>环境保护图形符号一览表</w:t>
            </w:r>
          </w:p>
          <w:tbl>
            <w:tblPr>
              <w:tblStyle w:val="38"/>
              <w:tblW w:w="8492"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85" w:type="dxa"/>
                <w:left w:w="85" w:type="dxa"/>
                <w:bottom w:w="85" w:type="dxa"/>
                <w:right w:w="85" w:type="dxa"/>
              </w:tblCellMar>
            </w:tblPr>
            <w:tblGrid>
              <w:gridCol w:w="622"/>
              <w:gridCol w:w="1518"/>
              <w:gridCol w:w="1518"/>
              <w:gridCol w:w="1512"/>
              <w:gridCol w:w="3322"/>
            </w:tblGrid>
            <w:tr w14:paraId="0E35A2E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85" w:type="dxa"/>
                  <w:left w:w="85" w:type="dxa"/>
                  <w:bottom w:w="85" w:type="dxa"/>
                  <w:right w:w="85" w:type="dxa"/>
                </w:tblCellMar>
              </w:tblPrEx>
              <w:trPr>
                <w:trHeight w:val="340" w:hRule="atLeast"/>
                <w:jc w:val="center"/>
              </w:trPr>
              <w:tc>
                <w:tcPr>
                  <w:tcW w:w="622" w:type="dxa"/>
                  <w:vAlign w:val="center"/>
                </w:tcPr>
                <w:p w14:paraId="5E8E04ED">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序号</w:t>
                  </w:r>
                </w:p>
              </w:tc>
              <w:tc>
                <w:tcPr>
                  <w:tcW w:w="1518" w:type="dxa"/>
                  <w:vAlign w:val="center"/>
                </w:tcPr>
                <w:p w14:paraId="7D442117">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提示图形符号</w:t>
                  </w:r>
                </w:p>
              </w:tc>
              <w:tc>
                <w:tcPr>
                  <w:tcW w:w="1518" w:type="dxa"/>
                  <w:vAlign w:val="center"/>
                </w:tcPr>
                <w:p w14:paraId="75CC8AE3">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警告图形符号</w:t>
                  </w:r>
                </w:p>
              </w:tc>
              <w:tc>
                <w:tcPr>
                  <w:tcW w:w="1512" w:type="dxa"/>
                  <w:vAlign w:val="center"/>
                </w:tcPr>
                <w:p w14:paraId="616DAF4F">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名称</w:t>
                  </w:r>
                </w:p>
              </w:tc>
              <w:tc>
                <w:tcPr>
                  <w:tcW w:w="3322" w:type="dxa"/>
                  <w:vAlign w:val="center"/>
                </w:tcPr>
                <w:p w14:paraId="65370E23">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功能</w:t>
                  </w:r>
                </w:p>
              </w:tc>
            </w:tr>
            <w:tr w14:paraId="243C603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85" w:type="dxa"/>
                  <w:left w:w="85" w:type="dxa"/>
                  <w:bottom w:w="85" w:type="dxa"/>
                  <w:right w:w="85" w:type="dxa"/>
                </w:tblCellMar>
              </w:tblPrEx>
              <w:trPr>
                <w:trHeight w:val="340" w:hRule="atLeast"/>
                <w:jc w:val="center"/>
              </w:trPr>
              <w:tc>
                <w:tcPr>
                  <w:tcW w:w="622" w:type="dxa"/>
                  <w:vAlign w:val="center"/>
                </w:tcPr>
                <w:p w14:paraId="2839EB7E">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1518" w:type="dxa"/>
                  <w:vAlign w:val="center"/>
                </w:tcPr>
                <w:p w14:paraId="2768985A">
                  <w:pPr>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drawing>
                      <wp:inline distT="0" distB="0" distL="114300" distR="114300">
                        <wp:extent cx="676910" cy="685800"/>
                        <wp:effectExtent l="0" t="0" r="8890" b="0"/>
                        <wp:docPr id="40" name="图片 102" descr="说明: 说明: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02" descr="说明: 说明: 14001"/>
                                <pic:cNvPicPr>
                                  <a:picLocks noChangeAspect="1"/>
                                </pic:cNvPicPr>
                              </pic:nvPicPr>
                              <pic:blipFill>
                                <a:blip r:embed="rId35"/>
                                <a:stretch>
                                  <a:fillRect/>
                                </a:stretch>
                              </pic:blipFill>
                              <pic:spPr>
                                <a:xfrm>
                                  <a:off x="0" y="0"/>
                                  <a:ext cx="676910" cy="685800"/>
                                </a:xfrm>
                                <a:prstGeom prst="rect">
                                  <a:avLst/>
                                </a:prstGeom>
                                <a:noFill/>
                                <a:ln>
                                  <a:noFill/>
                                </a:ln>
                              </pic:spPr>
                            </pic:pic>
                          </a:graphicData>
                        </a:graphic>
                      </wp:inline>
                    </w:drawing>
                  </w:r>
                </w:p>
              </w:tc>
              <w:tc>
                <w:tcPr>
                  <w:tcW w:w="1518" w:type="dxa"/>
                  <w:vAlign w:val="center"/>
                </w:tcPr>
                <w:p w14:paraId="5FA8BF63">
                  <w:pPr>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drawing>
                      <wp:inline distT="0" distB="0" distL="114300" distR="114300">
                        <wp:extent cx="648970" cy="610235"/>
                        <wp:effectExtent l="0" t="0" r="17780" b="18415"/>
                        <wp:docPr id="41" name="图片 103" descr="说明: 说明: 14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03" descr="说明: 说明: 14002"/>
                                <pic:cNvPicPr>
                                  <a:picLocks noChangeAspect="1"/>
                                </pic:cNvPicPr>
                              </pic:nvPicPr>
                              <pic:blipFill>
                                <a:blip r:embed="rId36"/>
                                <a:stretch>
                                  <a:fillRect/>
                                </a:stretch>
                              </pic:blipFill>
                              <pic:spPr>
                                <a:xfrm>
                                  <a:off x="0" y="0"/>
                                  <a:ext cx="648970" cy="610235"/>
                                </a:xfrm>
                                <a:prstGeom prst="rect">
                                  <a:avLst/>
                                </a:prstGeom>
                                <a:noFill/>
                                <a:ln>
                                  <a:noFill/>
                                </a:ln>
                              </pic:spPr>
                            </pic:pic>
                          </a:graphicData>
                        </a:graphic>
                      </wp:inline>
                    </w:drawing>
                  </w:r>
                </w:p>
              </w:tc>
              <w:tc>
                <w:tcPr>
                  <w:tcW w:w="1512" w:type="dxa"/>
                  <w:vAlign w:val="center"/>
                </w:tcPr>
                <w:p w14:paraId="2E9224A3">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一般固体废物</w:t>
                  </w:r>
                </w:p>
              </w:tc>
              <w:tc>
                <w:tcPr>
                  <w:tcW w:w="3322" w:type="dxa"/>
                  <w:vAlign w:val="center"/>
                </w:tcPr>
                <w:p w14:paraId="45A4677E">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表示一般固体废物贮存、处置场</w:t>
                  </w:r>
                </w:p>
              </w:tc>
            </w:tr>
            <w:tr w14:paraId="78CA9BB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85" w:type="dxa"/>
                  <w:left w:w="85" w:type="dxa"/>
                  <w:bottom w:w="85" w:type="dxa"/>
                  <w:right w:w="85" w:type="dxa"/>
                </w:tblCellMar>
              </w:tblPrEx>
              <w:trPr>
                <w:trHeight w:val="340" w:hRule="atLeast"/>
                <w:jc w:val="center"/>
              </w:trPr>
              <w:tc>
                <w:tcPr>
                  <w:tcW w:w="622" w:type="dxa"/>
                  <w:vAlign w:val="center"/>
                </w:tcPr>
                <w:p w14:paraId="6A4AF121">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1518" w:type="dxa"/>
                  <w:vAlign w:val="center"/>
                </w:tcPr>
                <w:p w14:paraId="33D9E275">
                  <w:pPr>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drawing>
                      <wp:inline distT="0" distB="0" distL="114300" distR="114300">
                        <wp:extent cx="647700" cy="647700"/>
                        <wp:effectExtent l="0" t="0" r="0" b="0"/>
                        <wp:docPr id="42" name="图片 104" descr="说明: 说明: 200602201518049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04" descr="说明: 说明: 200602201518049853"/>
                                <pic:cNvPicPr>
                                  <a:picLocks noChangeAspect="1"/>
                                </pic:cNvPicPr>
                              </pic:nvPicPr>
                              <pic:blipFill>
                                <a:blip r:embed="rId37"/>
                                <a:stretch>
                                  <a:fillRect/>
                                </a:stretch>
                              </pic:blipFill>
                              <pic:spPr>
                                <a:xfrm>
                                  <a:off x="0" y="0"/>
                                  <a:ext cx="647700" cy="647700"/>
                                </a:xfrm>
                                <a:prstGeom prst="rect">
                                  <a:avLst/>
                                </a:prstGeom>
                                <a:noFill/>
                                <a:ln>
                                  <a:noFill/>
                                </a:ln>
                              </pic:spPr>
                            </pic:pic>
                          </a:graphicData>
                        </a:graphic>
                      </wp:inline>
                    </w:drawing>
                  </w:r>
                </w:p>
              </w:tc>
              <w:tc>
                <w:tcPr>
                  <w:tcW w:w="1518" w:type="dxa"/>
                  <w:vAlign w:val="center"/>
                </w:tcPr>
                <w:p w14:paraId="42037F6F">
                  <w:pPr>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drawing>
                      <wp:inline distT="0" distB="0" distL="114300" distR="114300">
                        <wp:extent cx="609600" cy="541020"/>
                        <wp:effectExtent l="0" t="0" r="0" b="11430"/>
                        <wp:docPr id="43" name="图片 105" descr="说明: 说明: 200602201519018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05" descr="说明: 说明: 200602201519018631"/>
                                <pic:cNvPicPr>
                                  <a:picLocks noChangeAspect="1"/>
                                </pic:cNvPicPr>
                              </pic:nvPicPr>
                              <pic:blipFill>
                                <a:blip r:embed="rId38"/>
                                <a:stretch>
                                  <a:fillRect/>
                                </a:stretch>
                              </pic:blipFill>
                              <pic:spPr>
                                <a:xfrm>
                                  <a:off x="0" y="0"/>
                                  <a:ext cx="609600" cy="541020"/>
                                </a:xfrm>
                                <a:prstGeom prst="rect">
                                  <a:avLst/>
                                </a:prstGeom>
                                <a:noFill/>
                                <a:ln>
                                  <a:noFill/>
                                </a:ln>
                              </pic:spPr>
                            </pic:pic>
                          </a:graphicData>
                        </a:graphic>
                      </wp:inline>
                    </w:drawing>
                  </w:r>
                </w:p>
              </w:tc>
              <w:tc>
                <w:tcPr>
                  <w:tcW w:w="1512" w:type="dxa"/>
                  <w:vAlign w:val="center"/>
                </w:tcPr>
                <w:p w14:paraId="6216812F">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噪声排放源</w:t>
                  </w:r>
                </w:p>
              </w:tc>
              <w:tc>
                <w:tcPr>
                  <w:tcW w:w="3322" w:type="dxa"/>
                  <w:vAlign w:val="center"/>
                </w:tcPr>
                <w:p w14:paraId="2D790B00">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表示噪声向外环境排放</w:t>
                  </w:r>
                </w:p>
              </w:tc>
            </w:tr>
            <w:tr w14:paraId="7C09EDD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85" w:type="dxa"/>
                  <w:left w:w="85" w:type="dxa"/>
                  <w:bottom w:w="85" w:type="dxa"/>
                  <w:right w:w="85" w:type="dxa"/>
                </w:tblCellMar>
              </w:tblPrEx>
              <w:trPr>
                <w:trHeight w:val="340" w:hRule="atLeast"/>
                <w:jc w:val="center"/>
              </w:trPr>
              <w:tc>
                <w:tcPr>
                  <w:tcW w:w="622" w:type="dxa"/>
                  <w:vAlign w:val="center"/>
                </w:tcPr>
                <w:p w14:paraId="2243A0F3">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w:t>
                  </w:r>
                </w:p>
              </w:tc>
              <w:tc>
                <w:tcPr>
                  <w:tcW w:w="1518" w:type="dxa"/>
                  <w:vAlign w:val="center"/>
                </w:tcPr>
                <w:p w14:paraId="4533567B">
                  <w:pPr>
                    <w:snapToGrid w:val="0"/>
                    <w:jc w:val="center"/>
                    <w:rPr>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718185" cy="707390"/>
                        <wp:effectExtent l="0" t="0" r="5715" b="16510"/>
                        <wp:docPr id="44"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06"/>
                                <pic:cNvPicPr>
                                  <a:picLocks noChangeAspect="1"/>
                                </pic:cNvPicPr>
                              </pic:nvPicPr>
                              <pic:blipFill>
                                <a:blip r:embed="rId39"/>
                                <a:stretch>
                                  <a:fillRect/>
                                </a:stretch>
                              </pic:blipFill>
                              <pic:spPr>
                                <a:xfrm>
                                  <a:off x="0" y="0"/>
                                  <a:ext cx="718185" cy="707390"/>
                                </a:xfrm>
                                <a:prstGeom prst="rect">
                                  <a:avLst/>
                                </a:prstGeom>
                                <a:noFill/>
                                <a:ln>
                                  <a:noFill/>
                                </a:ln>
                              </pic:spPr>
                            </pic:pic>
                          </a:graphicData>
                        </a:graphic>
                      </wp:inline>
                    </w:drawing>
                  </w:r>
                </w:p>
              </w:tc>
              <w:tc>
                <w:tcPr>
                  <w:tcW w:w="1518" w:type="dxa"/>
                  <w:vAlign w:val="center"/>
                </w:tcPr>
                <w:p w14:paraId="2ED7529E">
                  <w:pPr>
                    <w:snapToGrid w:val="0"/>
                    <w:jc w:val="center"/>
                    <w:rPr>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750570" cy="680720"/>
                        <wp:effectExtent l="0" t="0" r="11430" b="5080"/>
                        <wp:docPr id="45"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07"/>
                                <pic:cNvPicPr>
                                  <a:picLocks noChangeAspect="1"/>
                                </pic:cNvPicPr>
                              </pic:nvPicPr>
                              <pic:blipFill>
                                <a:blip r:embed="rId40"/>
                                <a:stretch>
                                  <a:fillRect/>
                                </a:stretch>
                              </pic:blipFill>
                              <pic:spPr>
                                <a:xfrm>
                                  <a:off x="0" y="0"/>
                                  <a:ext cx="750570" cy="680720"/>
                                </a:xfrm>
                                <a:prstGeom prst="rect">
                                  <a:avLst/>
                                </a:prstGeom>
                                <a:noFill/>
                                <a:ln>
                                  <a:noFill/>
                                </a:ln>
                              </pic:spPr>
                            </pic:pic>
                          </a:graphicData>
                        </a:graphic>
                      </wp:inline>
                    </w:drawing>
                  </w:r>
                </w:p>
              </w:tc>
              <w:tc>
                <w:tcPr>
                  <w:tcW w:w="1512" w:type="dxa"/>
                  <w:vAlign w:val="center"/>
                </w:tcPr>
                <w:p w14:paraId="4E4F9D6E">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污水排放源</w:t>
                  </w:r>
                </w:p>
              </w:tc>
              <w:tc>
                <w:tcPr>
                  <w:tcW w:w="3322" w:type="dxa"/>
                  <w:vAlign w:val="center"/>
                </w:tcPr>
                <w:p w14:paraId="59CE393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表示污水向外环境排放</w:t>
                  </w:r>
                </w:p>
              </w:tc>
            </w:tr>
            <w:tr w14:paraId="27F58BC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85" w:type="dxa"/>
                  <w:left w:w="85" w:type="dxa"/>
                  <w:bottom w:w="85" w:type="dxa"/>
                  <w:right w:w="85" w:type="dxa"/>
                </w:tblCellMar>
              </w:tblPrEx>
              <w:trPr>
                <w:trHeight w:val="340" w:hRule="atLeast"/>
                <w:jc w:val="center"/>
              </w:trPr>
              <w:tc>
                <w:tcPr>
                  <w:tcW w:w="622" w:type="dxa"/>
                  <w:vAlign w:val="center"/>
                </w:tcPr>
                <w:p w14:paraId="119D7CC8">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w:t>
                  </w:r>
                </w:p>
              </w:tc>
              <w:tc>
                <w:tcPr>
                  <w:tcW w:w="1518" w:type="dxa"/>
                  <w:vAlign w:val="center"/>
                </w:tcPr>
                <w:p w14:paraId="426A3EAE">
                  <w:pPr>
                    <w:snapToGrid w:val="0"/>
                    <w:jc w:val="center"/>
                    <w:rPr>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626745" cy="570230"/>
                        <wp:effectExtent l="0" t="0" r="1905" b="1270"/>
                        <wp:docPr id="46"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08"/>
                                <pic:cNvPicPr>
                                  <a:picLocks noChangeAspect="1"/>
                                </pic:cNvPicPr>
                              </pic:nvPicPr>
                              <pic:blipFill>
                                <a:blip r:embed="rId41"/>
                                <a:stretch>
                                  <a:fillRect/>
                                </a:stretch>
                              </pic:blipFill>
                              <pic:spPr>
                                <a:xfrm>
                                  <a:off x="0" y="0"/>
                                  <a:ext cx="626745" cy="570230"/>
                                </a:xfrm>
                                <a:prstGeom prst="rect">
                                  <a:avLst/>
                                </a:prstGeom>
                                <a:noFill/>
                                <a:ln>
                                  <a:noFill/>
                                </a:ln>
                              </pic:spPr>
                            </pic:pic>
                          </a:graphicData>
                        </a:graphic>
                      </wp:inline>
                    </w:drawing>
                  </w:r>
                </w:p>
              </w:tc>
              <w:tc>
                <w:tcPr>
                  <w:tcW w:w="1518" w:type="dxa"/>
                  <w:vAlign w:val="center"/>
                </w:tcPr>
                <w:p w14:paraId="3D850B34">
                  <w:pPr>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1512" w:type="dxa"/>
                  <w:vAlign w:val="center"/>
                </w:tcPr>
                <w:p w14:paraId="657269B2">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雨水排放源</w:t>
                  </w:r>
                </w:p>
              </w:tc>
              <w:tc>
                <w:tcPr>
                  <w:tcW w:w="3322" w:type="dxa"/>
                  <w:vAlign w:val="center"/>
                </w:tcPr>
                <w:p w14:paraId="3B342650">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表示雨水向外环境排放</w:t>
                  </w:r>
                </w:p>
              </w:tc>
            </w:tr>
            <w:tr w14:paraId="44C599C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85" w:type="dxa"/>
                  <w:left w:w="85" w:type="dxa"/>
                  <w:bottom w:w="85" w:type="dxa"/>
                  <w:right w:w="85" w:type="dxa"/>
                </w:tblCellMar>
              </w:tblPrEx>
              <w:trPr>
                <w:trHeight w:val="340" w:hRule="atLeast"/>
                <w:jc w:val="center"/>
              </w:trPr>
              <w:tc>
                <w:tcPr>
                  <w:tcW w:w="622" w:type="dxa"/>
                  <w:vAlign w:val="center"/>
                </w:tcPr>
                <w:p w14:paraId="78056121">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w:t>
                  </w:r>
                </w:p>
              </w:tc>
              <w:tc>
                <w:tcPr>
                  <w:tcW w:w="1518" w:type="dxa"/>
                  <w:vAlign w:val="center"/>
                </w:tcPr>
                <w:p w14:paraId="7CCB1C0B">
                  <w:pPr>
                    <w:snapToGrid w:val="0"/>
                    <w:jc w:val="center"/>
                    <w:rPr>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664845" cy="632460"/>
                        <wp:effectExtent l="0" t="0" r="1905" b="15240"/>
                        <wp:docPr id="4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09"/>
                                <pic:cNvPicPr>
                                  <a:picLocks noChangeAspect="1"/>
                                </pic:cNvPicPr>
                              </pic:nvPicPr>
                              <pic:blipFill>
                                <a:blip r:embed="rId42"/>
                                <a:stretch>
                                  <a:fillRect/>
                                </a:stretch>
                              </pic:blipFill>
                              <pic:spPr>
                                <a:xfrm>
                                  <a:off x="0" y="0"/>
                                  <a:ext cx="664845" cy="632460"/>
                                </a:xfrm>
                                <a:prstGeom prst="rect">
                                  <a:avLst/>
                                </a:prstGeom>
                                <a:noFill/>
                                <a:ln>
                                  <a:noFill/>
                                </a:ln>
                              </pic:spPr>
                            </pic:pic>
                          </a:graphicData>
                        </a:graphic>
                      </wp:inline>
                    </w:drawing>
                  </w:r>
                </w:p>
              </w:tc>
              <w:tc>
                <w:tcPr>
                  <w:tcW w:w="1518" w:type="dxa"/>
                  <w:vAlign w:val="center"/>
                </w:tcPr>
                <w:p w14:paraId="5C297BF8">
                  <w:pPr>
                    <w:snapToGrid w:val="0"/>
                    <w:jc w:val="center"/>
                    <w:rPr>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709295" cy="654050"/>
                        <wp:effectExtent l="0" t="0" r="14605" b="12700"/>
                        <wp:docPr id="48"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10"/>
                                <pic:cNvPicPr>
                                  <a:picLocks noChangeAspect="1"/>
                                </pic:cNvPicPr>
                              </pic:nvPicPr>
                              <pic:blipFill>
                                <a:blip r:embed="rId43"/>
                                <a:stretch>
                                  <a:fillRect/>
                                </a:stretch>
                              </pic:blipFill>
                              <pic:spPr>
                                <a:xfrm>
                                  <a:off x="0" y="0"/>
                                  <a:ext cx="709295" cy="654050"/>
                                </a:xfrm>
                                <a:prstGeom prst="rect">
                                  <a:avLst/>
                                </a:prstGeom>
                                <a:noFill/>
                                <a:ln>
                                  <a:noFill/>
                                </a:ln>
                              </pic:spPr>
                            </pic:pic>
                          </a:graphicData>
                        </a:graphic>
                      </wp:inline>
                    </w:drawing>
                  </w:r>
                </w:p>
              </w:tc>
              <w:tc>
                <w:tcPr>
                  <w:tcW w:w="1512" w:type="dxa"/>
                  <w:vAlign w:val="center"/>
                </w:tcPr>
                <w:p w14:paraId="62CB22C7">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废气排放源</w:t>
                  </w:r>
                </w:p>
              </w:tc>
              <w:tc>
                <w:tcPr>
                  <w:tcW w:w="3322" w:type="dxa"/>
                  <w:vAlign w:val="center"/>
                </w:tcPr>
                <w:p w14:paraId="7A70D250">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表示废气向外环境排放</w:t>
                  </w:r>
                </w:p>
              </w:tc>
            </w:tr>
          </w:tbl>
          <w:p w14:paraId="40997CF4">
            <w:pPr>
              <w:pStyle w:val="125"/>
              <w:numPr>
                <w:ilvl w:val="0"/>
                <w:numId w:val="0"/>
              </w:numPr>
              <w:spacing w:line="440" w:lineRule="exact"/>
              <w:rPr>
                <w:rFonts w:hint="default"/>
                <w:color w:val="000000" w:themeColor="text1"/>
                <w:sz w:val="24"/>
                <w:highlight w:val="none"/>
                <w:lang w:val="zh-CN"/>
                <w14:textFill>
                  <w14:solidFill>
                    <w14:schemeClr w14:val="tx1"/>
                  </w14:solidFill>
                </w14:textFill>
              </w:rPr>
            </w:pPr>
            <w:r>
              <w:rPr>
                <w:rFonts w:hint="default"/>
                <w:color w:val="000000" w:themeColor="text1"/>
                <w:sz w:val="24"/>
                <w:highlight w:val="none"/>
                <w:lang w:val="zh-CN"/>
                <w14:textFill>
                  <w14:solidFill>
                    <w14:schemeClr w14:val="tx1"/>
                  </w14:solidFill>
                </w14:textFill>
              </w:rPr>
              <w:t>表4-</w:t>
            </w:r>
            <w:r>
              <w:rPr>
                <w:color w:val="000000" w:themeColor="text1"/>
                <w:sz w:val="24"/>
                <w:highlight w:val="none"/>
                <w14:textFill>
                  <w14:solidFill>
                    <w14:schemeClr w14:val="tx1"/>
                  </w14:solidFill>
                </w14:textFill>
              </w:rPr>
              <w:t>4</w:t>
            </w:r>
            <w:r>
              <w:rPr>
                <w:rFonts w:hint="eastAsia"/>
                <w:color w:val="000000" w:themeColor="text1"/>
                <w:sz w:val="24"/>
                <w:highlight w:val="none"/>
                <w:lang w:val="en-US" w:eastAsia="zh-CN"/>
                <w14:textFill>
                  <w14:solidFill>
                    <w14:schemeClr w14:val="tx1"/>
                  </w14:solidFill>
                </w14:textFill>
              </w:rPr>
              <w:t xml:space="preserve">4  </w:t>
            </w:r>
            <w:r>
              <w:rPr>
                <w:rFonts w:hint="default"/>
                <w:color w:val="000000" w:themeColor="text1"/>
                <w:sz w:val="24"/>
                <w:highlight w:val="none"/>
                <w:lang w:val="zh-CN"/>
                <w14:textFill>
                  <w14:solidFill>
                    <w14:schemeClr w14:val="tx1"/>
                  </w14:solidFill>
                </w14:textFill>
              </w:rPr>
              <w:t>危险废物识别标识规范化设置要求</w:t>
            </w:r>
          </w:p>
          <w:tbl>
            <w:tblPr>
              <w:tblStyle w:val="38"/>
              <w:tblW w:w="4998"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85" w:type="dxa"/>
                <w:left w:w="85" w:type="dxa"/>
                <w:bottom w:w="85" w:type="dxa"/>
                <w:right w:w="85" w:type="dxa"/>
              </w:tblCellMar>
            </w:tblPr>
            <w:tblGrid>
              <w:gridCol w:w="634"/>
              <w:gridCol w:w="566"/>
              <w:gridCol w:w="813"/>
              <w:gridCol w:w="3491"/>
              <w:gridCol w:w="3015"/>
            </w:tblGrid>
            <w:tr w14:paraId="6AB8373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85" w:type="dxa"/>
                  <w:left w:w="85" w:type="dxa"/>
                  <w:bottom w:w="85" w:type="dxa"/>
                  <w:right w:w="85" w:type="dxa"/>
                </w:tblCellMar>
              </w:tblPrEx>
              <w:trPr>
                <w:trHeight w:val="340" w:hRule="atLeast"/>
                <w:jc w:val="center"/>
              </w:trPr>
              <w:tc>
                <w:tcPr>
                  <w:tcW w:w="372" w:type="pct"/>
                  <w:vAlign w:val="center"/>
                </w:tcPr>
                <w:p w14:paraId="2284112F">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序号</w:t>
                  </w:r>
                </w:p>
              </w:tc>
              <w:tc>
                <w:tcPr>
                  <w:tcW w:w="809" w:type="pct"/>
                  <w:gridSpan w:val="2"/>
                  <w:vAlign w:val="center"/>
                </w:tcPr>
                <w:p w14:paraId="7E55FB77">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标识名称</w:t>
                  </w:r>
                </w:p>
              </w:tc>
              <w:tc>
                <w:tcPr>
                  <w:tcW w:w="2048" w:type="pct"/>
                  <w:vAlign w:val="center"/>
                </w:tcPr>
                <w:p w14:paraId="43CDE7EA">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图案样式</w:t>
                  </w:r>
                </w:p>
              </w:tc>
              <w:tc>
                <w:tcPr>
                  <w:tcW w:w="1769" w:type="pct"/>
                  <w:vAlign w:val="center"/>
                </w:tcPr>
                <w:p w14:paraId="1323A30D">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设置规范</w:t>
                  </w:r>
                </w:p>
              </w:tc>
            </w:tr>
            <w:tr w14:paraId="32006D5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85" w:type="dxa"/>
                  <w:left w:w="85" w:type="dxa"/>
                  <w:bottom w:w="85" w:type="dxa"/>
                  <w:right w:w="85" w:type="dxa"/>
                </w:tblCellMar>
              </w:tblPrEx>
              <w:trPr>
                <w:trHeight w:val="340" w:hRule="atLeast"/>
                <w:jc w:val="center"/>
              </w:trPr>
              <w:tc>
                <w:tcPr>
                  <w:tcW w:w="372" w:type="pct"/>
                  <w:vAlign w:val="center"/>
                </w:tcPr>
                <w:p w14:paraId="3BF82BC4">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809" w:type="pct"/>
                  <w:gridSpan w:val="2"/>
                  <w:vAlign w:val="center"/>
                </w:tcPr>
                <w:p w14:paraId="55B1421B">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危险废物信息公开栏</w:t>
                  </w:r>
                </w:p>
              </w:tc>
              <w:tc>
                <w:tcPr>
                  <w:tcW w:w="2048" w:type="pct"/>
                  <w:vAlign w:val="center"/>
                </w:tcPr>
                <w:p w14:paraId="763F8318">
                  <w:pPr>
                    <w:snapToGrid w:val="0"/>
                    <w:spacing w:line="36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drawing>
                      <wp:inline distT="0" distB="0" distL="114300" distR="114300">
                        <wp:extent cx="1809115" cy="1219200"/>
                        <wp:effectExtent l="0" t="0" r="635" b="0"/>
                        <wp:docPr id="49"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3" descr="IMG_256"/>
                                <pic:cNvPicPr>
                                  <a:picLocks noChangeAspect="1"/>
                                </pic:cNvPicPr>
                              </pic:nvPicPr>
                              <pic:blipFill>
                                <a:blip r:embed="rId44"/>
                                <a:stretch>
                                  <a:fillRect/>
                                </a:stretch>
                              </pic:blipFill>
                              <pic:spPr>
                                <a:xfrm>
                                  <a:off x="0" y="0"/>
                                  <a:ext cx="1809115" cy="1219200"/>
                                </a:xfrm>
                                <a:prstGeom prst="rect">
                                  <a:avLst/>
                                </a:prstGeom>
                                <a:noFill/>
                                <a:ln>
                                  <a:noFill/>
                                </a:ln>
                              </pic:spPr>
                            </pic:pic>
                          </a:graphicData>
                        </a:graphic>
                      </wp:inline>
                    </w:drawing>
                  </w:r>
                </w:p>
              </w:tc>
              <w:tc>
                <w:tcPr>
                  <w:tcW w:w="1769" w:type="pct"/>
                  <w:vAlign w:val="center"/>
                </w:tcPr>
                <w:p w14:paraId="0901B819">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采用立式固定方式固定在危险废物产生单位厂区</w:t>
                  </w:r>
                  <w:r>
                    <w:rPr>
                      <w:rFonts w:hint="eastAsia"/>
                      <w:color w:val="000000" w:themeColor="text1"/>
                      <w:szCs w:val="21"/>
                      <w:highlight w:val="none"/>
                      <w:lang w:val="en-US" w:eastAsia="zh-CN"/>
                      <w14:textFill>
                        <w14:solidFill>
                          <w14:schemeClr w14:val="tx1"/>
                        </w14:solidFill>
                      </w14:textFill>
                    </w:rPr>
                    <w:t>门口</w:t>
                  </w:r>
                  <w:r>
                    <w:rPr>
                      <w:color w:val="000000" w:themeColor="text1"/>
                      <w:szCs w:val="21"/>
                      <w:highlight w:val="none"/>
                      <w14:textFill>
                        <w14:solidFill>
                          <w14:schemeClr w14:val="tx1"/>
                        </w14:solidFill>
                      </w14:textFill>
                    </w:rPr>
                    <w:t>醒目位置，公开栏顶端距离地面200cm处。</w:t>
                  </w:r>
                </w:p>
              </w:tc>
            </w:tr>
            <w:tr w14:paraId="4B17178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85" w:type="dxa"/>
                  <w:left w:w="85" w:type="dxa"/>
                  <w:bottom w:w="85" w:type="dxa"/>
                  <w:right w:w="85" w:type="dxa"/>
                </w:tblCellMar>
              </w:tblPrEx>
              <w:trPr>
                <w:trHeight w:val="340" w:hRule="atLeast"/>
                <w:jc w:val="center"/>
              </w:trPr>
              <w:tc>
                <w:tcPr>
                  <w:tcW w:w="372" w:type="pct"/>
                  <w:vAlign w:val="center"/>
                </w:tcPr>
                <w:p w14:paraId="78691399">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332" w:type="pct"/>
                  <w:vMerge w:val="restart"/>
                  <w:vAlign w:val="center"/>
                </w:tcPr>
                <w:p w14:paraId="11632B91">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危险废物贮存设施警示标识牌</w:t>
                  </w:r>
                </w:p>
              </w:tc>
              <w:tc>
                <w:tcPr>
                  <w:tcW w:w="477" w:type="pct"/>
                  <w:vAlign w:val="center"/>
                </w:tcPr>
                <w:p w14:paraId="651A049B">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危险废物贮存、利用、处置设施标志</w:t>
                  </w:r>
                </w:p>
              </w:tc>
              <w:tc>
                <w:tcPr>
                  <w:tcW w:w="2048" w:type="pct"/>
                  <w:vAlign w:val="center"/>
                </w:tcPr>
                <w:p w14:paraId="546F5BED">
                  <w:pPr>
                    <w:snapToGrid w:val="0"/>
                    <w:spacing w:line="360" w:lineRule="auto"/>
                    <w:jc w:val="center"/>
                    <w:rPr>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1800225" cy="1159510"/>
                        <wp:effectExtent l="0" t="0" r="9525" b="2540"/>
                        <wp:docPr id="5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7"/>
                                <pic:cNvPicPr>
                                  <a:picLocks noChangeAspect="1"/>
                                </pic:cNvPicPr>
                              </pic:nvPicPr>
                              <pic:blipFill>
                                <a:blip r:embed="rId45"/>
                                <a:stretch>
                                  <a:fillRect/>
                                </a:stretch>
                              </pic:blipFill>
                              <pic:spPr>
                                <a:xfrm>
                                  <a:off x="0" y="0"/>
                                  <a:ext cx="1800225" cy="1159510"/>
                                </a:xfrm>
                                <a:prstGeom prst="rect">
                                  <a:avLst/>
                                </a:prstGeom>
                                <a:noFill/>
                                <a:ln>
                                  <a:noFill/>
                                </a:ln>
                              </pic:spPr>
                            </pic:pic>
                          </a:graphicData>
                        </a:graphic>
                      </wp:inline>
                    </w:drawing>
                  </w:r>
                </w:p>
              </w:tc>
              <w:tc>
                <w:tcPr>
                  <w:tcW w:w="1769" w:type="pct"/>
                  <w:vAlign w:val="center"/>
                </w:tcPr>
                <w:p w14:paraId="4888400B">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平面固定在每一处贮存设施外的显著位置，包括全封闭式仓库外墙靠门一侧，围墙或防护栅栏外侧，适合平面固定的储罐、贮槽等，标志牌顶端距离地面200cm处。除无法平面固定警示标志的储罐、贮槽需采取立式固定外，其他贮存设施均采用平面固定式警示标志牌。</w:t>
                  </w:r>
                </w:p>
              </w:tc>
            </w:tr>
            <w:tr w14:paraId="3C0EB62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85" w:type="dxa"/>
                  <w:left w:w="85" w:type="dxa"/>
                  <w:bottom w:w="85" w:type="dxa"/>
                  <w:right w:w="85" w:type="dxa"/>
                </w:tblCellMar>
              </w:tblPrEx>
              <w:trPr>
                <w:trHeight w:val="340" w:hRule="atLeast"/>
                <w:jc w:val="center"/>
              </w:trPr>
              <w:tc>
                <w:tcPr>
                  <w:tcW w:w="372" w:type="pct"/>
                  <w:vAlign w:val="center"/>
                </w:tcPr>
                <w:p w14:paraId="0BC20396">
                  <w:pPr>
                    <w:snapToGrid w:val="0"/>
                    <w:spacing w:line="240" w:lineRule="exact"/>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w:t>
                  </w:r>
                </w:p>
              </w:tc>
              <w:tc>
                <w:tcPr>
                  <w:tcW w:w="332" w:type="pct"/>
                  <w:vMerge w:val="continue"/>
                  <w:vAlign w:val="center"/>
                </w:tcPr>
                <w:p w14:paraId="10CC25C3">
                  <w:pPr>
                    <w:snapToGrid w:val="0"/>
                    <w:spacing w:line="240" w:lineRule="exact"/>
                    <w:jc w:val="center"/>
                    <w:rPr>
                      <w:color w:val="000000" w:themeColor="text1"/>
                      <w:szCs w:val="21"/>
                      <w:highlight w:val="none"/>
                      <w14:textFill>
                        <w14:solidFill>
                          <w14:schemeClr w14:val="tx1"/>
                        </w14:solidFill>
                      </w14:textFill>
                    </w:rPr>
                  </w:pPr>
                </w:p>
              </w:tc>
              <w:tc>
                <w:tcPr>
                  <w:tcW w:w="477" w:type="pct"/>
                  <w:vAlign w:val="center"/>
                </w:tcPr>
                <w:p w14:paraId="30B07F1B">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贮存设施内部分区</w:t>
                  </w:r>
                  <w:bookmarkStart w:id="16" w:name="Bookmark225"/>
                  <w:r>
                    <w:rPr>
                      <w:color w:val="000000" w:themeColor="text1"/>
                      <w:szCs w:val="21"/>
                      <w:highlight w:val="none"/>
                      <w14:textFill>
                        <w14:solidFill>
                          <w14:schemeClr w14:val="tx1"/>
                        </w14:solidFill>
                      </w14:textFill>
                    </w:rPr>
                    <w:t>警示</w:t>
                  </w:r>
                  <w:bookmarkEnd w:id="16"/>
                  <w:r>
                    <w:rPr>
                      <w:color w:val="000000" w:themeColor="text1"/>
                      <w:szCs w:val="21"/>
                      <w:highlight w:val="none"/>
                      <w14:textFill>
                        <w14:solidFill>
                          <w14:schemeClr w14:val="tx1"/>
                        </w14:solidFill>
                      </w14:textFill>
                    </w:rPr>
                    <w:t>标识牌</w:t>
                  </w:r>
                </w:p>
              </w:tc>
              <w:tc>
                <w:tcPr>
                  <w:tcW w:w="2048" w:type="pct"/>
                  <w:vAlign w:val="center"/>
                </w:tcPr>
                <w:p w14:paraId="49AE1EE5">
                  <w:pPr>
                    <w:snapToGrid w:val="0"/>
                    <w:spacing w:line="360" w:lineRule="auto"/>
                    <w:jc w:val="center"/>
                    <w:rPr>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1991995" cy="1360170"/>
                        <wp:effectExtent l="0" t="0" r="8255" b="11430"/>
                        <wp:docPr id="51" name="图片 2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0" descr="图片1"/>
                                <pic:cNvPicPr>
                                  <a:picLocks noChangeAspect="1"/>
                                </pic:cNvPicPr>
                              </pic:nvPicPr>
                              <pic:blipFill>
                                <a:blip r:embed="rId46"/>
                                <a:stretch>
                                  <a:fillRect/>
                                </a:stretch>
                              </pic:blipFill>
                              <pic:spPr>
                                <a:xfrm>
                                  <a:off x="0" y="0"/>
                                  <a:ext cx="1991995" cy="1360170"/>
                                </a:xfrm>
                                <a:prstGeom prst="rect">
                                  <a:avLst/>
                                </a:prstGeom>
                                <a:noFill/>
                                <a:ln>
                                  <a:noFill/>
                                </a:ln>
                              </pic:spPr>
                            </pic:pic>
                          </a:graphicData>
                        </a:graphic>
                      </wp:inline>
                    </w:drawing>
                  </w:r>
                </w:p>
              </w:tc>
              <w:tc>
                <w:tcPr>
                  <w:tcW w:w="1769" w:type="pct"/>
                  <w:vAlign w:val="center"/>
                </w:tcPr>
                <w:p w14:paraId="37ED9A3C">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贮存设施内部分区，固定于每一种危险废物存放区域的墙面、栅栏内部等位置。无法或不便于平面固定、确需采用立式的，可选择立式可移动支架，不得破坏防渗区域。顶端距离地面200cm处。</w:t>
                  </w:r>
                </w:p>
              </w:tc>
            </w:tr>
            <w:tr w14:paraId="3ED6105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85" w:type="dxa"/>
                  <w:left w:w="85" w:type="dxa"/>
                  <w:bottom w:w="85" w:type="dxa"/>
                  <w:right w:w="85" w:type="dxa"/>
                </w:tblCellMar>
              </w:tblPrEx>
              <w:trPr>
                <w:trHeight w:val="340" w:hRule="atLeast"/>
                <w:jc w:val="center"/>
              </w:trPr>
              <w:tc>
                <w:tcPr>
                  <w:tcW w:w="372" w:type="pct"/>
                  <w:vAlign w:val="center"/>
                </w:tcPr>
                <w:p w14:paraId="0E2BC948">
                  <w:pPr>
                    <w:snapToGrid w:val="0"/>
                    <w:spacing w:line="240" w:lineRule="exact"/>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w:t>
                  </w:r>
                </w:p>
              </w:tc>
              <w:tc>
                <w:tcPr>
                  <w:tcW w:w="809" w:type="pct"/>
                  <w:gridSpan w:val="2"/>
                  <w:vAlign w:val="center"/>
                </w:tcPr>
                <w:p w14:paraId="68866D87">
                  <w:pPr>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包装识别标签</w:t>
                  </w:r>
                </w:p>
              </w:tc>
              <w:tc>
                <w:tcPr>
                  <w:tcW w:w="2048" w:type="pct"/>
                  <w:vAlign w:val="center"/>
                </w:tcPr>
                <w:p w14:paraId="2DC7B41A">
                  <w:pPr>
                    <w:snapToGrid w:val="0"/>
                    <w:spacing w:line="36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drawing>
                      <wp:inline distT="0" distB="0" distL="114300" distR="114300">
                        <wp:extent cx="1393190" cy="1400810"/>
                        <wp:effectExtent l="0" t="0" r="16510" b="8890"/>
                        <wp:docPr id="52" name="图片 18" descr="35c09298221429cf961d737cb609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8" descr="35c09298221429cf961d737cb609902"/>
                                <pic:cNvPicPr>
                                  <a:picLocks noChangeAspect="1"/>
                                </pic:cNvPicPr>
                              </pic:nvPicPr>
                              <pic:blipFill>
                                <a:blip r:embed="rId47"/>
                                <a:stretch>
                                  <a:fillRect/>
                                </a:stretch>
                              </pic:blipFill>
                              <pic:spPr>
                                <a:xfrm>
                                  <a:off x="0" y="0"/>
                                  <a:ext cx="1393190" cy="1400810"/>
                                </a:xfrm>
                                <a:prstGeom prst="rect">
                                  <a:avLst/>
                                </a:prstGeom>
                                <a:noFill/>
                                <a:ln>
                                  <a:noFill/>
                                </a:ln>
                              </pic:spPr>
                            </pic:pic>
                          </a:graphicData>
                        </a:graphic>
                      </wp:inline>
                    </w:drawing>
                  </w:r>
                </w:p>
              </w:tc>
              <w:tc>
                <w:tcPr>
                  <w:tcW w:w="1769" w:type="pct"/>
                  <w:vAlign w:val="center"/>
                </w:tcPr>
                <w:p w14:paraId="493AEE7B">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识别标签包括粘贴式和</w:t>
                  </w:r>
                  <w:bookmarkStart w:id="17" w:name="Bookmark226"/>
                  <w:r>
                    <w:rPr>
                      <w:color w:val="000000" w:themeColor="text1"/>
                      <w:szCs w:val="21"/>
                      <w:highlight w:val="none"/>
                      <w14:textFill>
                        <w14:solidFill>
                          <w14:schemeClr w14:val="tx1"/>
                        </w14:solidFill>
                      </w14:textFill>
                    </w:rPr>
                    <w:t>系挂式</w:t>
                  </w:r>
                  <w:bookmarkEnd w:id="17"/>
                  <w:r>
                    <w:rPr>
                      <w:color w:val="000000" w:themeColor="text1"/>
                      <w:szCs w:val="21"/>
                      <w:highlight w:val="none"/>
                      <w14:textFill>
                        <w14:solidFill>
                          <w14:schemeClr w14:val="tx1"/>
                        </w14:solidFill>
                      </w14:textFill>
                    </w:rPr>
                    <w:t>。粘贴式危险废物标签粘贴于适合粘贴的危险废物储存容器、包装物上，系挂式危险废物标签适合系挂于不易粘贴牢固或不方便粘贴但相对方便系挂的危险废物储存容器、包装物上。</w:t>
                  </w:r>
                </w:p>
              </w:tc>
            </w:tr>
          </w:tbl>
          <w:p w14:paraId="4CA6DBFE">
            <w:pPr>
              <w:pStyle w:val="125"/>
              <w:numPr>
                <w:ilvl w:val="0"/>
                <w:numId w:val="0"/>
              </w:numPr>
              <w:spacing w:line="440" w:lineRule="exact"/>
              <w:rPr>
                <w:rFonts w:hint="default"/>
                <w:color w:val="000000" w:themeColor="text1"/>
                <w:sz w:val="24"/>
                <w:highlight w:val="none"/>
                <w:lang w:val="zh-CN"/>
                <w14:textFill>
                  <w14:solidFill>
                    <w14:schemeClr w14:val="tx1"/>
                  </w14:solidFill>
                </w14:textFill>
              </w:rPr>
            </w:pPr>
            <w:r>
              <w:rPr>
                <w:rFonts w:hint="default"/>
                <w:color w:val="000000" w:themeColor="text1"/>
                <w:sz w:val="24"/>
                <w:highlight w:val="none"/>
                <w:lang w:val="zh-CN"/>
                <w14:textFill>
                  <w14:solidFill>
                    <w14:schemeClr w14:val="tx1"/>
                  </w14:solidFill>
                </w14:textFill>
              </w:rPr>
              <w:t>表4-</w:t>
            </w:r>
            <w:r>
              <w:rPr>
                <w:color w:val="000000" w:themeColor="text1"/>
                <w:sz w:val="24"/>
                <w:highlight w:val="none"/>
                <w14:textFill>
                  <w14:solidFill>
                    <w14:schemeClr w14:val="tx1"/>
                  </w14:solidFill>
                </w14:textFill>
              </w:rPr>
              <w:t>4</w:t>
            </w:r>
            <w:r>
              <w:rPr>
                <w:rFonts w:hint="eastAsia"/>
                <w:color w:val="000000" w:themeColor="text1"/>
                <w:sz w:val="24"/>
                <w:highlight w:val="none"/>
                <w:lang w:val="en-US" w:eastAsia="zh-CN"/>
                <w14:textFill>
                  <w14:solidFill>
                    <w14:schemeClr w14:val="tx1"/>
                  </w14:solidFill>
                </w14:textFill>
              </w:rPr>
              <w:t xml:space="preserve">5  </w:t>
            </w:r>
            <w:r>
              <w:rPr>
                <w:rFonts w:hint="default"/>
                <w:color w:val="000000" w:themeColor="text1"/>
                <w:sz w:val="24"/>
                <w:highlight w:val="none"/>
                <w:lang w:val="zh-CN"/>
                <w14:textFill>
                  <w14:solidFill>
                    <w14:schemeClr w14:val="tx1"/>
                  </w14:solidFill>
                </w14:textFill>
              </w:rPr>
              <w:t>危险废物贮存设施视频监控布设要求</w:t>
            </w:r>
          </w:p>
          <w:tbl>
            <w:tblPr>
              <w:tblStyle w:val="38"/>
              <w:tblW w:w="4999"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85" w:type="dxa"/>
                <w:left w:w="85" w:type="dxa"/>
                <w:bottom w:w="85" w:type="dxa"/>
                <w:right w:w="85" w:type="dxa"/>
              </w:tblCellMar>
            </w:tblPr>
            <w:tblGrid>
              <w:gridCol w:w="1404"/>
              <w:gridCol w:w="1969"/>
              <w:gridCol w:w="5147"/>
            </w:tblGrid>
            <w:tr w14:paraId="606E902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85" w:type="dxa"/>
                  <w:left w:w="85" w:type="dxa"/>
                  <w:bottom w:w="85" w:type="dxa"/>
                  <w:right w:w="85" w:type="dxa"/>
                </w:tblCellMar>
              </w:tblPrEx>
              <w:trPr>
                <w:cantSplit/>
                <w:trHeight w:val="340" w:hRule="atLeast"/>
                <w:jc w:val="center"/>
              </w:trPr>
              <w:tc>
                <w:tcPr>
                  <w:tcW w:w="1979" w:type="pct"/>
                  <w:gridSpan w:val="2"/>
                  <w:vAlign w:val="center"/>
                </w:tcPr>
                <w:p w14:paraId="60D85DD6">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设置位置</w:t>
                  </w:r>
                </w:p>
              </w:tc>
              <w:tc>
                <w:tcPr>
                  <w:tcW w:w="3020" w:type="pct"/>
                  <w:vAlign w:val="center"/>
                </w:tcPr>
                <w:p w14:paraId="20A0644B">
                  <w:pPr>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监控范围</w:t>
                  </w:r>
                </w:p>
              </w:tc>
            </w:tr>
            <w:tr w14:paraId="2755836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85" w:type="dxa"/>
                  <w:left w:w="85" w:type="dxa"/>
                  <w:bottom w:w="85" w:type="dxa"/>
                  <w:right w:w="85" w:type="dxa"/>
                </w:tblCellMar>
              </w:tblPrEx>
              <w:trPr>
                <w:cantSplit/>
                <w:trHeight w:val="340" w:hRule="atLeast"/>
                <w:jc w:val="center"/>
              </w:trPr>
              <w:tc>
                <w:tcPr>
                  <w:tcW w:w="824" w:type="pct"/>
                  <w:vMerge w:val="restart"/>
                  <w:vAlign w:val="center"/>
                </w:tcPr>
                <w:p w14:paraId="47342A32">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一、贮存设施</w:t>
                  </w:r>
                </w:p>
              </w:tc>
              <w:tc>
                <w:tcPr>
                  <w:tcW w:w="1155" w:type="pct"/>
                  <w:vAlign w:val="center"/>
                </w:tcPr>
                <w:p w14:paraId="73A8A6C7">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全封闭式仓库出入口</w:t>
                  </w:r>
                </w:p>
              </w:tc>
              <w:tc>
                <w:tcPr>
                  <w:tcW w:w="3020" w:type="pct"/>
                  <w:vAlign w:val="center"/>
                </w:tcPr>
                <w:p w14:paraId="28C868F9">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全景视频监控，清晰记录危险废物入库、出库行为。</w:t>
                  </w:r>
                </w:p>
              </w:tc>
            </w:tr>
            <w:tr w14:paraId="26F9464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85" w:type="dxa"/>
                  <w:left w:w="85" w:type="dxa"/>
                  <w:bottom w:w="85" w:type="dxa"/>
                  <w:right w:w="85" w:type="dxa"/>
                </w:tblCellMar>
              </w:tblPrEx>
              <w:trPr>
                <w:cantSplit/>
                <w:trHeight w:val="340" w:hRule="atLeast"/>
                <w:jc w:val="center"/>
              </w:trPr>
              <w:tc>
                <w:tcPr>
                  <w:tcW w:w="824" w:type="pct"/>
                  <w:vMerge w:val="continue"/>
                  <w:vAlign w:val="center"/>
                </w:tcPr>
                <w:p w14:paraId="43BF15DB">
                  <w:pPr>
                    <w:snapToGrid w:val="0"/>
                    <w:spacing w:line="240" w:lineRule="exact"/>
                    <w:jc w:val="left"/>
                    <w:rPr>
                      <w:color w:val="000000" w:themeColor="text1"/>
                      <w:szCs w:val="21"/>
                      <w:highlight w:val="none"/>
                      <w14:textFill>
                        <w14:solidFill>
                          <w14:schemeClr w14:val="tx1"/>
                        </w14:solidFill>
                      </w14:textFill>
                    </w:rPr>
                  </w:pPr>
                </w:p>
              </w:tc>
              <w:tc>
                <w:tcPr>
                  <w:tcW w:w="1155" w:type="pct"/>
                  <w:vAlign w:val="center"/>
                </w:tcPr>
                <w:p w14:paraId="1C72F02D">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全封闭式仓库内部</w:t>
                  </w:r>
                </w:p>
              </w:tc>
              <w:tc>
                <w:tcPr>
                  <w:tcW w:w="3020" w:type="pct"/>
                  <w:vAlign w:val="center"/>
                </w:tcPr>
                <w:p w14:paraId="38871D79">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全景视频监控，清晰记录仓库内部所有位置危险废物情况。</w:t>
                  </w:r>
                </w:p>
              </w:tc>
            </w:tr>
            <w:tr w14:paraId="654FE0F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85" w:type="dxa"/>
                  <w:left w:w="85" w:type="dxa"/>
                  <w:bottom w:w="85" w:type="dxa"/>
                  <w:right w:w="85" w:type="dxa"/>
                </w:tblCellMar>
              </w:tblPrEx>
              <w:trPr>
                <w:cantSplit/>
                <w:trHeight w:val="340" w:hRule="atLeast"/>
                <w:jc w:val="center"/>
              </w:trPr>
              <w:tc>
                <w:tcPr>
                  <w:tcW w:w="824" w:type="pct"/>
                  <w:vMerge w:val="continue"/>
                  <w:vAlign w:val="center"/>
                </w:tcPr>
                <w:p w14:paraId="1F21D122">
                  <w:pPr>
                    <w:snapToGrid w:val="0"/>
                    <w:spacing w:line="240" w:lineRule="exact"/>
                    <w:jc w:val="left"/>
                    <w:rPr>
                      <w:color w:val="000000" w:themeColor="text1"/>
                      <w:szCs w:val="21"/>
                      <w:highlight w:val="none"/>
                      <w14:textFill>
                        <w14:solidFill>
                          <w14:schemeClr w14:val="tx1"/>
                        </w14:solidFill>
                      </w14:textFill>
                    </w:rPr>
                  </w:pPr>
                </w:p>
              </w:tc>
              <w:tc>
                <w:tcPr>
                  <w:tcW w:w="1155" w:type="pct"/>
                  <w:vAlign w:val="center"/>
                </w:tcPr>
                <w:p w14:paraId="17FD1CD3">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围墙、防护栅栏隔离区域</w:t>
                  </w:r>
                </w:p>
              </w:tc>
              <w:tc>
                <w:tcPr>
                  <w:tcW w:w="3020" w:type="pct"/>
                  <w:vAlign w:val="center"/>
                </w:tcPr>
                <w:p w14:paraId="345538B8">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全景视频监控，画面须完全覆盖围墙围挡区域、防护栅栏隔离区域。</w:t>
                  </w:r>
                </w:p>
              </w:tc>
            </w:tr>
            <w:tr w14:paraId="172E81E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85" w:type="dxa"/>
                  <w:left w:w="85" w:type="dxa"/>
                  <w:bottom w:w="85" w:type="dxa"/>
                  <w:right w:w="85" w:type="dxa"/>
                </w:tblCellMar>
              </w:tblPrEx>
              <w:trPr>
                <w:cantSplit/>
                <w:trHeight w:val="340" w:hRule="atLeast"/>
                <w:jc w:val="center"/>
              </w:trPr>
              <w:tc>
                <w:tcPr>
                  <w:tcW w:w="824" w:type="pct"/>
                  <w:vMerge w:val="continue"/>
                  <w:vAlign w:val="center"/>
                </w:tcPr>
                <w:p w14:paraId="50112586">
                  <w:pPr>
                    <w:snapToGrid w:val="0"/>
                    <w:spacing w:line="240" w:lineRule="exact"/>
                    <w:jc w:val="left"/>
                    <w:rPr>
                      <w:color w:val="000000" w:themeColor="text1"/>
                      <w:szCs w:val="21"/>
                      <w:highlight w:val="none"/>
                      <w14:textFill>
                        <w14:solidFill>
                          <w14:schemeClr w14:val="tx1"/>
                        </w14:solidFill>
                      </w14:textFill>
                    </w:rPr>
                  </w:pPr>
                </w:p>
              </w:tc>
              <w:tc>
                <w:tcPr>
                  <w:tcW w:w="1155" w:type="pct"/>
                  <w:vAlign w:val="center"/>
                </w:tcPr>
                <w:p w14:paraId="2387ACDE">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储罐、贮槽等罐区</w:t>
                  </w:r>
                </w:p>
              </w:tc>
              <w:tc>
                <w:tcPr>
                  <w:tcW w:w="3020" w:type="pct"/>
                  <w:vAlign w:val="center"/>
                </w:tcPr>
                <w:p w14:paraId="3AA84DA2">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含数据输出功能的液位计；</w:t>
                  </w:r>
                </w:p>
                <w:p w14:paraId="63A94A94">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全景视频监控，画面须完全覆盖储罐、贮槽区域。</w:t>
                  </w:r>
                </w:p>
              </w:tc>
            </w:tr>
            <w:tr w14:paraId="06B71D5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85" w:type="dxa"/>
                  <w:left w:w="85" w:type="dxa"/>
                  <w:bottom w:w="85" w:type="dxa"/>
                  <w:right w:w="85" w:type="dxa"/>
                </w:tblCellMar>
              </w:tblPrEx>
              <w:trPr>
                <w:cantSplit/>
                <w:trHeight w:val="340" w:hRule="atLeast"/>
                <w:jc w:val="center"/>
              </w:trPr>
              <w:tc>
                <w:tcPr>
                  <w:tcW w:w="1979" w:type="pct"/>
                  <w:gridSpan w:val="2"/>
                  <w:vAlign w:val="center"/>
                </w:tcPr>
                <w:p w14:paraId="18B7E8AE">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二、装卸区域</w:t>
                  </w:r>
                </w:p>
              </w:tc>
              <w:tc>
                <w:tcPr>
                  <w:tcW w:w="3020" w:type="pct"/>
                  <w:vAlign w:val="center"/>
                </w:tcPr>
                <w:p w14:paraId="3F0AA80D">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全景视频监控，能清晰记录装卸过程，抓拍驾驶员和运输车辆车牌号码等信息。</w:t>
                  </w:r>
                </w:p>
              </w:tc>
            </w:tr>
            <w:tr w14:paraId="5992DE3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85" w:type="dxa"/>
                  <w:left w:w="85" w:type="dxa"/>
                  <w:bottom w:w="85" w:type="dxa"/>
                  <w:right w:w="85" w:type="dxa"/>
                </w:tblCellMar>
              </w:tblPrEx>
              <w:trPr>
                <w:cantSplit/>
                <w:trHeight w:val="340" w:hRule="atLeast"/>
                <w:jc w:val="center"/>
              </w:trPr>
              <w:tc>
                <w:tcPr>
                  <w:tcW w:w="1979" w:type="pct"/>
                  <w:gridSpan w:val="2"/>
                  <w:vAlign w:val="center"/>
                </w:tcPr>
                <w:p w14:paraId="26FD9CB6">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三、危废运输车辆通道（含车辆出口和入口）</w:t>
                  </w:r>
                </w:p>
              </w:tc>
              <w:tc>
                <w:tcPr>
                  <w:tcW w:w="3020" w:type="pct"/>
                  <w:vAlign w:val="center"/>
                </w:tcPr>
                <w:p w14:paraId="1BCE812D">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1、全景视频监控，清晰记录车辆出入情况；</w:t>
                  </w:r>
                </w:p>
                <w:p w14:paraId="416161C7">
                  <w:pPr>
                    <w:snapToGrid w:val="0"/>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2、摄像机应具备抓拍驾驶员和车辆号码功能。</w:t>
                  </w:r>
                </w:p>
              </w:tc>
            </w:tr>
          </w:tbl>
          <w:p w14:paraId="0E578678">
            <w:pPr>
              <w:spacing w:line="360" w:lineRule="auto"/>
              <w:ind w:left="420" w:leftChars="200"/>
              <w:rPr>
                <w:color w:val="000000" w:themeColor="text1"/>
                <w:highlight w:val="none"/>
                <w14:textFill>
                  <w14:solidFill>
                    <w14:schemeClr w14:val="tx1"/>
                  </w14:solidFill>
                </w14:textFill>
              </w:rPr>
            </w:pPr>
          </w:p>
        </w:tc>
      </w:tr>
    </w:tbl>
    <w:p w14:paraId="62714DD3">
      <w:pPr>
        <w:adjustRightInd w:val="0"/>
        <w:snapToGrid w:val="0"/>
        <w:spacing w:line="360" w:lineRule="auto"/>
        <w:rPr>
          <w:b/>
          <w:color w:val="000000" w:themeColor="text1"/>
          <w:kern w:val="0"/>
          <w:sz w:val="28"/>
          <w:szCs w:val="28"/>
          <w:highlight w:val="none"/>
          <w14:textFill>
            <w14:solidFill>
              <w14:schemeClr w14:val="tx1"/>
            </w14:solidFill>
          </w14:textFill>
        </w:rPr>
        <w:sectPr>
          <w:pgSz w:w="11907" w:h="16840"/>
          <w:pgMar w:top="1701" w:right="1531" w:bottom="2127"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2EBBBDA6">
      <w:pPr>
        <w:pStyle w:val="34"/>
        <w:keepNext/>
        <w:jc w:val="center"/>
        <w:outlineLvl w:val="0"/>
        <w:rPr>
          <w:rFonts w:ascii="黑体" w:hAnsi="黑体" w:eastAsia="黑体" w:cs="黑体"/>
          <w:snapToGrid w:val="0"/>
          <w:color w:val="000000" w:themeColor="text1"/>
          <w:sz w:val="30"/>
          <w:szCs w:val="30"/>
          <w:highlight w:val="none"/>
          <w14:textFill>
            <w14:solidFill>
              <w14:schemeClr w14:val="tx1"/>
            </w14:solidFill>
          </w14:textFill>
        </w:rPr>
      </w:pPr>
      <w:r>
        <w:rPr>
          <w:rFonts w:ascii="黑体" w:hAnsi="黑体" w:eastAsia="黑体" w:cs="黑体"/>
          <w:snapToGrid w:val="0"/>
          <w:color w:val="000000" w:themeColor="text1"/>
          <w:sz w:val="30"/>
          <w:szCs w:val="30"/>
          <w:highlight w:val="none"/>
          <w14:textFill>
            <w14:solidFill>
              <w14:schemeClr w14:val="tx1"/>
            </w14:solidFill>
          </w14:textFill>
        </w:rPr>
        <w:t>五、环境保护措施监督检查清单</w:t>
      </w:r>
    </w:p>
    <w:tbl>
      <w:tblPr>
        <w:tblStyle w:val="3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28"/>
        <w:gridCol w:w="836"/>
        <w:gridCol w:w="598"/>
        <w:gridCol w:w="1438"/>
        <w:gridCol w:w="2674"/>
        <w:gridCol w:w="2186"/>
      </w:tblGrid>
      <w:tr w14:paraId="26505F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28" w:type="dxa"/>
            <w:tcBorders>
              <w:tl2br w:val="single" w:color="auto" w:sz="4" w:space="0"/>
            </w:tcBorders>
          </w:tcPr>
          <w:p w14:paraId="495BDC5F">
            <w:pPr>
              <w:adjustRightInd w:val="0"/>
              <w:snapToGrid w:val="0"/>
              <w:spacing w:line="240" w:lineRule="exact"/>
              <w:ind w:firstLine="422" w:firstLineChars="200"/>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内容</w:t>
            </w:r>
          </w:p>
          <w:p w14:paraId="601A9ACC">
            <w:pPr>
              <w:adjustRightInd w:val="0"/>
              <w:snapToGrid w:val="0"/>
              <w:spacing w:line="240" w:lineRule="exact"/>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要素</w:t>
            </w:r>
          </w:p>
        </w:tc>
        <w:tc>
          <w:tcPr>
            <w:tcW w:w="1434" w:type="dxa"/>
            <w:gridSpan w:val="2"/>
            <w:vAlign w:val="center"/>
          </w:tcPr>
          <w:p w14:paraId="0701F21D">
            <w:pPr>
              <w:adjustRightInd w:val="0"/>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排放口（编号、名称）/污染源</w:t>
            </w:r>
          </w:p>
        </w:tc>
        <w:tc>
          <w:tcPr>
            <w:tcW w:w="1438" w:type="dxa"/>
            <w:vAlign w:val="center"/>
          </w:tcPr>
          <w:p w14:paraId="3B4BF090">
            <w:pPr>
              <w:adjustRightInd w:val="0"/>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污染物项目</w:t>
            </w:r>
          </w:p>
        </w:tc>
        <w:tc>
          <w:tcPr>
            <w:tcW w:w="2674" w:type="dxa"/>
            <w:vAlign w:val="center"/>
          </w:tcPr>
          <w:p w14:paraId="19D1A405">
            <w:pPr>
              <w:adjustRightInd w:val="0"/>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环境保护措施</w:t>
            </w:r>
          </w:p>
        </w:tc>
        <w:tc>
          <w:tcPr>
            <w:tcW w:w="2186" w:type="dxa"/>
            <w:vAlign w:val="center"/>
          </w:tcPr>
          <w:p w14:paraId="4E99F9AF">
            <w:pPr>
              <w:adjustRightInd w:val="0"/>
              <w:snapToGrid w:val="0"/>
              <w:spacing w:line="24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执行标准</w:t>
            </w:r>
          </w:p>
        </w:tc>
      </w:tr>
      <w:tr w14:paraId="1029A5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28" w:type="dxa"/>
            <w:vMerge w:val="restart"/>
            <w:vAlign w:val="center"/>
          </w:tcPr>
          <w:p w14:paraId="589375A9">
            <w:pPr>
              <w:adjustRightInd w:val="0"/>
              <w:snapToGrid w:val="0"/>
              <w:spacing w:line="240" w:lineRule="exact"/>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大气环境</w:t>
            </w:r>
          </w:p>
        </w:tc>
        <w:tc>
          <w:tcPr>
            <w:tcW w:w="1434" w:type="dxa"/>
            <w:gridSpan w:val="2"/>
            <w:vMerge w:val="restart"/>
            <w:vAlign w:val="center"/>
          </w:tcPr>
          <w:p w14:paraId="20E526CF">
            <w:pPr>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DA001（硫化废气）</w:t>
            </w:r>
          </w:p>
        </w:tc>
        <w:tc>
          <w:tcPr>
            <w:tcW w:w="1438" w:type="dxa"/>
            <w:vAlign w:val="center"/>
          </w:tcPr>
          <w:p w14:paraId="3B245613">
            <w:pPr>
              <w:snapToGrid w:val="0"/>
              <w:spacing w:line="24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非甲烷总烃</w:t>
            </w:r>
          </w:p>
        </w:tc>
        <w:tc>
          <w:tcPr>
            <w:tcW w:w="2674" w:type="dxa"/>
            <w:vMerge w:val="restart"/>
            <w:vAlign w:val="center"/>
          </w:tcPr>
          <w:p w14:paraId="3DEFA3AF">
            <w:pPr>
              <w:snapToGrid w:val="0"/>
              <w:spacing w:line="24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集气罩</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收集后进入1套</w:t>
            </w:r>
            <w:r>
              <w:rPr>
                <w:rFonts w:hint="eastAsia" w:cs="Times New Roman"/>
                <w:color w:val="000000" w:themeColor="text1"/>
                <w:szCs w:val="21"/>
                <w:highlight w:val="none"/>
                <w:lang w:val="en-US" w:eastAsia="zh-CN"/>
                <w14:textFill>
                  <w14:solidFill>
                    <w14:schemeClr w14:val="tx1"/>
                  </w14:solidFill>
                </w14:textFill>
              </w:rPr>
              <w:t>二级活性炭装置</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TA001，风量</w:t>
            </w:r>
            <w:r>
              <w:rPr>
                <w:rFonts w:hint="eastAsia" w:cs="Times New Roman"/>
                <w:color w:val="000000" w:themeColor="text1"/>
                <w:szCs w:val="21"/>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000m</w:t>
            </w:r>
            <w:r>
              <w:rPr>
                <w:rFonts w:hint="eastAsia" w:ascii="Times New Roman" w:hAnsi="Times New Roman" w:eastAsia="宋体" w:cs="Times New Roman"/>
                <w:color w:val="000000" w:themeColor="text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/h</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处理，</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通过1根15米排气筒（</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DA001</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）排放</w:t>
            </w:r>
          </w:p>
        </w:tc>
        <w:tc>
          <w:tcPr>
            <w:tcW w:w="2186" w:type="dxa"/>
            <w:vAlign w:val="center"/>
          </w:tcPr>
          <w:p w14:paraId="7C9ECEAD">
            <w:pPr>
              <w:snapToGrid w:val="0"/>
              <w:spacing w:line="24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《橡胶制品工业污染物排放标准》（GB27632-2011）</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表</w:t>
            </w:r>
            <w:r>
              <w:rPr>
                <w:rFonts w:hint="eastAsia" w:cs="Times New Roman"/>
                <w:color w:val="000000" w:themeColor="text1"/>
                <w:szCs w:val="21"/>
                <w:highlight w:val="none"/>
                <w:lang w:val="en-US" w:eastAsia="zh-CN"/>
                <w14:textFill>
                  <w14:solidFill>
                    <w14:schemeClr w14:val="tx1"/>
                  </w14:solidFill>
                </w14:textFill>
              </w:rPr>
              <w:t>5</w:t>
            </w:r>
          </w:p>
        </w:tc>
      </w:tr>
      <w:tr w14:paraId="412940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28" w:type="dxa"/>
            <w:vMerge w:val="continue"/>
            <w:vAlign w:val="center"/>
          </w:tcPr>
          <w:p w14:paraId="0AC41332">
            <w:pPr>
              <w:adjustRightInd w:val="0"/>
              <w:snapToGrid w:val="0"/>
              <w:spacing w:line="240" w:lineRule="exact"/>
              <w:jc w:val="center"/>
              <w:rPr>
                <w:rFonts w:hint="eastAsia"/>
                <w:color w:val="000000" w:themeColor="text1"/>
                <w:szCs w:val="21"/>
                <w:highlight w:val="none"/>
                <w:lang w:val="en-US" w:eastAsia="zh-CN"/>
                <w14:textFill>
                  <w14:solidFill>
                    <w14:schemeClr w14:val="tx1"/>
                  </w14:solidFill>
                </w14:textFill>
              </w:rPr>
            </w:pPr>
          </w:p>
        </w:tc>
        <w:tc>
          <w:tcPr>
            <w:tcW w:w="1434" w:type="dxa"/>
            <w:gridSpan w:val="2"/>
            <w:vMerge w:val="continue"/>
            <w:vAlign w:val="center"/>
          </w:tcPr>
          <w:p w14:paraId="37928CEB">
            <w:pPr>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1438" w:type="dxa"/>
            <w:vAlign w:val="center"/>
          </w:tcPr>
          <w:p w14:paraId="7FB7E7D5">
            <w:pPr>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臭气浓度</w:t>
            </w:r>
          </w:p>
        </w:tc>
        <w:tc>
          <w:tcPr>
            <w:tcW w:w="2674" w:type="dxa"/>
            <w:vMerge w:val="continue"/>
            <w:vAlign w:val="center"/>
          </w:tcPr>
          <w:p w14:paraId="13CDB99C">
            <w:pPr>
              <w:snapToGrid w:val="0"/>
              <w:spacing w:line="240" w:lineRule="exact"/>
              <w:jc w:val="center"/>
              <w:rPr>
                <w:rFonts w:hint="eastAsia" w:cs="Times New Roman"/>
                <w:color w:val="000000" w:themeColor="text1"/>
                <w:szCs w:val="21"/>
                <w:highlight w:val="none"/>
                <w:lang w:val="en-US" w:eastAsia="zh-CN"/>
                <w14:textFill>
                  <w14:solidFill>
                    <w14:schemeClr w14:val="tx1"/>
                  </w14:solidFill>
                </w14:textFill>
              </w:rPr>
            </w:pPr>
          </w:p>
        </w:tc>
        <w:tc>
          <w:tcPr>
            <w:tcW w:w="2186" w:type="dxa"/>
            <w:vAlign w:val="center"/>
          </w:tcPr>
          <w:p w14:paraId="57E2391E">
            <w:pPr>
              <w:snapToGrid w:val="0"/>
              <w:spacing w:line="240" w:lineRule="exact"/>
              <w:jc w:val="center"/>
              <w:rPr>
                <w:rFonts w:hint="eastAsia" w:cs="Times New Roman"/>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《恶臭污染物排放标准》（GB14554-1993）表2标准</w:t>
            </w:r>
          </w:p>
        </w:tc>
      </w:tr>
      <w:tr w14:paraId="391B67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28" w:type="dxa"/>
            <w:vMerge w:val="continue"/>
            <w:vAlign w:val="center"/>
          </w:tcPr>
          <w:p w14:paraId="2457EEC1">
            <w:pPr>
              <w:adjustRightInd w:val="0"/>
              <w:snapToGrid w:val="0"/>
              <w:spacing w:line="240" w:lineRule="exact"/>
              <w:jc w:val="center"/>
              <w:rPr>
                <w:rFonts w:hint="eastAsia"/>
                <w:color w:val="000000" w:themeColor="text1"/>
                <w:szCs w:val="21"/>
                <w:highlight w:val="none"/>
                <w:lang w:val="en-US" w:eastAsia="zh-CN"/>
                <w14:textFill>
                  <w14:solidFill>
                    <w14:schemeClr w14:val="tx1"/>
                  </w14:solidFill>
                </w14:textFill>
              </w:rPr>
            </w:pPr>
          </w:p>
        </w:tc>
        <w:tc>
          <w:tcPr>
            <w:tcW w:w="1434" w:type="dxa"/>
            <w:gridSpan w:val="2"/>
            <w:vMerge w:val="restart"/>
            <w:vAlign w:val="center"/>
          </w:tcPr>
          <w:p w14:paraId="039643A9">
            <w:pPr>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DA002（成型废气）</w:t>
            </w:r>
          </w:p>
        </w:tc>
        <w:tc>
          <w:tcPr>
            <w:tcW w:w="1438" w:type="dxa"/>
            <w:vAlign w:val="center"/>
          </w:tcPr>
          <w:p w14:paraId="61407F7D">
            <w:pPr>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非甲烷总烃</w:t>
            </w:r>
            <w:r>
              <w:rPr>
                <w:rFonts w:hint="eastAsia" w:ascii="Times New Roman" w:hAnsi="Times New Roman" w:eastAsia="宋体" w:cs="Times New Roman"/>
                <w:color w:val="000000" w:themeColor="text1"/>
                <w:szCs w:val="21"/>
                <w:highlight w:val="none"/>
                <w:lang w:val="zh-CN" w:eastAsia="zh-CN"/>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乙醛、四氢呋喃</w:t>
            </w:r>
          </w:p>
        </w:tc>
        <w:tc>
          <w:tcPr>
            <w:tcW w:w="2674" w:type="dxa"/>
            <w:vMerge w:val="restart"/>
            <w:vAlign w:val="center"/>
          </w:tcPr>
          <w:p w14:paraId="386AE39B">
            <w:pPr>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集气罩</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收集后进入1套</w:t>
            </w:r>
            <w:r>
              <w:rPr>
                <w:rFonts w:hint="eastAsia" w:cs="Times New Roman"/>
                <w:color w:val="000000" w:themeColor="text1"/>
                <w:szCs w:val="21"/>
                <w:highlight w:val="none"/>
                <w:lang w:val="en-US" w:eastAsia="zh-CN"/>
                <w14:textFill>
                  <w14:solidFill>
                    <w14:schemeClr w14:val="tx1"/>
                  </w14:solidFill>
                </w14:textFill>
              </w:rPr>
              <w:t>二级</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活性炭</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装置（</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TA002，风量</w:t>
            </w:r>
            <w:r>
              <w:rPr>
                <w:rFonts w:hint="eastAsia" w:cs="Times New Roman"/>
                <w:color w:val="000000" w:themeColor="text1"/>
                <w:szCs w:val="21"/>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000m</w:t>
            </w:r>
            <w:r>
              <w:rPr>
                <w:rFonts w:hint="eastAsia" w:ascii="Times New Roman" w:hAnsi="Times New Roman" w:eastAsia="宋体" w:cs="Times New Roman"/>
                <w:color w:val="000000" w:themeColor="text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/h</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处理，</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通过1根15米排气筒（</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DA002</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）排放</w:t>
            </w:r>
          </w:p>
        </w:tc>
        <w:tc>
          <w:tcPr>
            <w:tcW w:w="2186" w:type="dxa"/>
            <w:vAlign w:val="center"/>
          </w:tcPr>
          <w:p w14:paraId="17C24D8C">
            <w:pPr>
              <w:snapToGrid w:val="0"/>
              <w:spacing w:line="24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《合成树脂工业污染物排放标准》（GB31572-2015）（含2024年修改单）</w:t>
            </w:r>
            <w:r>
              <w:rPr>
                <w:color w:val="000000" w:themeColor="text1"/>
                <w:szCs w:val="21"/>
                <w:highlight w:val="none"/>
                <w14:textFill>
                  <w14:solidFill>
                    <w14:schemeClr w14:val="tx1"/>
                  </w14:solidFill>
                </w14:textFill>
              </w:rPr>
              <w:t>表5</w:t>
            </w:r>
          </w:p>
        </w:tc>
      </w:tr>
      <w:tr w14:paraId="3F0066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28" w:type="dxa"/>
            <w:vMerge w:val="continue"/>
            <w:vAlign w:val="center"/>
          </w:tcPr>
          <w:p w14:paraId="1A57F9F1">
            <w:pPr>
              <w:adjustRightInd w:val="0"/>
              <w:snapToGrid w:val="0"/>
              <w:spacing w:line="240" w:lineRule="exact"/>
              <w:jc w:val="center"/>
              <w:rPr>
                <w:rFonts w:hint="eastAsia"/>
                <w:color w:val="000000" w:themeColor="text1"/>
                <w:szCs w:val="21"/>
                <w:highlight w:val="none"/>
                <w:lang w:val="en-US" w:eastAsia="zh-CN"/>
                <w14:textFill>
                  <w14:solidFill>
                    <w14:schemeClr w14:val="tx1"/>
                  </w14:solidFill>
                </w14:textFill>
              </w:rPr>
            </w:pPr>
          </w:p>
        </w:tc>
        <w:tc>
          <w:tcPr>
            <w:tcW w:w="1434" w:type="dxa"/>
            <w:gridSpan w:val="2"/>
            <w:vMerge w:val="continue"/>
            <w:vAlign w:val="center"/>
          </w:tcPr>
          <w:p w14:paraId="1E089909">
            <w:pPr>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1438" w:type="dxa"/>
            <w:vAlign w:val="center"/>
          </w:tcPr>
          <w:p w14:paraId="177936ED">
            <w:pPr>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臭气浓度</w:t>
            </w:r>
          </w:p>
        </w:tc>
        <w:tc>
          <w:tcPr>
            <w:tcW w:w="2674" w:type="dxa"/>
            <w:vMerge w:val="continue"/>
            <w:vAlign w:val="center"/>
          </w:tcPr>
          <w:p w14:paraId="2225FB76">
            <w:pPr>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2186" w:type="dxa"/>
            <w:vAlign w:val="center"/>
          </w:tcPr>
          <w:p w14:paraId="21F99AE1">
            <w:pPr>
              <w:snapToGrid w:val="0"/>
              <w:spacing w:line="240" w:lineRule="exact"/>
              <w:jc w:val="center"/>
              <w:rPr>
                <w:rFonts w:hint="eastAsia" w:cs="Times New Roman"/>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《恶臭污染物排放标准》（GB14554-1993）表2标准</w:t>
            </w:r>
          </w:p>
        </w:tc>
      </w:tr>
      <w:tr w14:paraId="3D511B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28" w:type="dxa"/>
            <w:vMerge w:val="continue"/>
            <w:vAlign w:val="center"/>
          </w:tcPr>
          <w:p w14:paraId="1546B256">
            <w:pPr>
              <w:adjustRightInd w:val="0"/>
              <w:snapToGrid w:val="0"/>
              <w:spacing w:line="240" w:lineRule="exact"/>
              <w:jc w:val="center"/>
              <w:rPr>
                <w:rFonts w:hint="eastAsia" w:eastAsia="宋体"/>
                <w:color w:val="000000" w:themeColor="text1"/>
                <w:szCs w:val="21"/>
                <w:highlight w:val="none"/>
                <w:lang w:val="en-US" w:eastAsia="zh-CN"/>
                <w14:textFill>
                  <w14:solidFill>
                    <w14:schemeClr w14:val="tx1"/>
                  </w14:solidFill>
                </w14:textFill>
              </w:rPr>
            </w:pPr>
          </w:p>
        </w:tc>
        <w:tc>
          <w:tcPr>
            <w:tcW w:w="836" w:type="dxa"/>
            <w:vMerge w:val="restart"/>
            <w:vAlign w:val="center"/>
          </w:tcPr>
          <w:p w14:paraId="2DC86638">
            <w:pPr>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无组织废气（</w:t>
            </w:r>
            <w:r>
              <w:rPr>
                <w:rFonts w:hint="eastAsia" w:cs="Times New Roman"/>
                <w:color w:val="000000" w:themeColor="text1"/>
                <w:szCs w:val="21"/>
                <w:highlight w:val="none"/>
                <w:lang w:val="en-US" w:eastAsia="zh-CN"/>
                <w14:textFill>
                  <w14:solidFill>
                    <w14:schemeClr w14:val="tx1"/>
                  </w14:solidFill>
                </w14:textFill>
              </w:rPr>
              <w:t>投料废气</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、混合废气、危废仓库废气）</w:t>
            </w:r>
          </w:p>
        </w:tc>
        <w:tc>
          <w:tcPr>
            <w:tcW w:w="598" w:type="dxa"/>
            <w:vMerge w:val="restart"/>
            <w:vAlign w:val="center"/>
          </w:tcPr>
          <w:p w14:paraId="1386064F">
            <w:pPr>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厂界</w:t>
            </w:r>
          </w:p>
        </w:tc>
        <w:tc>
          <w:tcPr>
            <w:tcW w:w="1438" w:type="dxa"/>
            <w:vAlign w:val="center"/>
          </w:tcPr>
          <w:p w14:paraId="3DB784A4">
            <w:pPr>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zh-CN" w:eastAsia="zh-CN"/>
                <w14:textFill>
                  <w14:solidFill>
                    <w14:schemeClr w14:val="tx1"/>
                  </w14:solidFill>
                </w14:textFill>
              </w:rPr>
              <w:t>非甲烷总烃、颗粒物</w:t>
            </w:r>
          </w:p>
        </w:tc>
        <w:tc>
          <w:tcPr>
            <w:tcW w:w="2674" w:type="dxa"/>
            <w:vMerge w:val="restart"/>
            <w:vAlign w:val="center"/>
          </w:tcPr>
          <w:p w14:paraId="0047C836">
            <w:pPr>
              <w:snapToGrid w:val="0"/>
              <w:spacing w:line="240" w:lineRule="exact"/>
              <w:jc w:val="center"/>
              <w:rPr>
                <w:rFonts w:ascii="Times New Roman" w:hAnsi="Times New Roman" w:eastAsia="宋体" w:cs="Times New Roman"/>
                <w:color w:val="000000" w:themeColor="text1"/>
                <w:szCs w:val="21"/>
                <w:highlight w:val="none"/>
                <w:lang w:val="zh-CN"/>
                <w14:textFill>
                  <w14:solidFill>
                    <w14:schemeClr w14:val="tx1"/>
                  </w14:solidFill>
                </w14:textFill>
              </w:rPr>
            </w:pPr>
            <w:r>
              <w:rPr>
                <w:rFonts w:hint="eastAsia" w:ascii="Times New Roman" w:hAnsi="Times New Roman" w:eastAsia="宋体" w:cs="Times New Roman"/>
                <w:color w:val="000000" w:themeColor="text1"/>
                <w:szCs w:val="21"/>
                <w:highlight w:val="none"/>
                <w:lang w:val="zh-CN"/>
                <w14:textFill>
                  <w14:solidFill>
                    <w14:schemeClr w14:val="tx1"/>
                  </w14:solidFill>
                </w14:textFill>
              </w:rPr>
              <w:t>无组织</w:t>
            </w:r>
            <w:r>
              <w:rPr>
                <w:rFonts w:ascii="Times New Roman" w:hAnsi="Times New Roman" w:eastAsia="宋体" w:cs="Times New Roman"/>
                <w:color w:val="000000" w:themeColor="text1"/>
                <w:szCs w:val="21"/>
                <w:highlight w:val="none"/>
                <w:lang w:val="zh-CN"/>
                <w14:textFill>
                  <w14:solidFill>
                    <w14:schemeClr w14:val="tx1"/>
                  </w14:solidFill>
                </w14:textFill>
              </w:rPr>
              <w:t>排放</w:t>
            </w:r>
          </w:p>
        </w:tc>
        <w:tc>
          <w:tcPr>
            <w:tcW w:w="2186" w:type="dxa"/>
            <w:vAlign w:val="center"/>
          </w:tcPr>
          <w:p w14:paraId="0D35505A">
            <w:pPr>
              <w:snapToGrid w:val="0"/>
              <w:spacing w:line="240" w:lineRule="exact"/>
              <w:jc w:val="center"/>
              <w:rPr>
                <w:rFonts w:hint="eastAsia" w:ascii="Times New Roman" w:hAnsi="Times New Roman" w:eastAsia="宋体" w:cs="Times New Roman"/>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《橡胶制品工业污染物排放标准》（GB27632-2011）表6</w:t>
            </w:r>
          </w:p>
        </w:tc>
      </w:tr>
      <w:tr w14:paraId="139085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28" w:type="dxa"/>
            <w:vMerge w:val="continue"/>
            <w:vAlign w:val="center"/>
          </w:tcPr>
          <w:p w14:paraId="6CF95E21">
            <w:pPr>
              <w:adjustRightInd w:val="0"/>
              <w:snapToGrid w:val="0"/>
              <w:spacing w:line="240" w:lineRule="exact"/>
              <w:jc w:val="center"/>
              <w:rPr>
                <w:rFonts w:hint="eastAsia" w:eastAsia="宋体"/>
                <w:color w:val="000000" w:themeColor="text1"/>
                <w:szCs w:val="21"/>
                <w:highlight w:val="none"/>
                <w:lang w:val="en-US" w:eastAsia="zh-CN"/>
                <w14:textFill>
                  <w14:solidFill>
                    <w14:schemeClr w14:val="tx1"/>
                  </w14:solidFill>
                </w14:textFill>
              </w:rPr>
            </w:pPr>
          </w:p>
        </w:tc>
        <w:tc>
          <w:tcPr>
            <w:tcW w:w="836" w:type="dxa"/>
            <w:vMerge w:val="continue"/>
            <w:vAlign w:val="center"/>
          </w:tcPr>
          <w:p w14:paraId="6317CCBA">
            <w:pPr>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98" w:type="dxa"/>
            <w:vMerge w:val="continue"/>
            <w:vAlign w:val="center"/>
          </w:tcPr>
          <w:p w14:paraId="7A15D6A9">
            <w:pPr>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1438" w:type="dxa"/>
            <w:vAlign w:val="center"/>
          </w:tcPr>
          <w:p w14:paraId="3CA6BDB0">
            <w:pPr>
              <w:snapToGrid w:val="0"/>
              <w:spacing w:line="240" w:lineRule="exact"/>
              <w:jc w:val="center"/>
              <w:rPr>
                <w:rFonts w:hint="eastAsia" w:ascii="Times New Roman" w:hAnsi="Times New Roman" w:eastAsia="宋体" w:cs="Times New Roman"/>
                <w:color w:val="000000" w:themeColor="text1"/>
                <w:szCs w:val="21"/>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臭气浓度</w:t>
            </w:r>
          </w:p>
        </w:tc>
        <w:tc>
          <w:tcPr>
            <w:tcW w:w="2674" w:type="dxa"/>
            <w:vMerge w:val="continue"/>
            <w:vAlign w:val="center"/>
          </w:tcPr>
          <w:p w14:paraId="19E0453C">
            <w:pPr>
              <w:snapToGrid w:val="0"/>
              <w:spacing w:line="240" w:lineRule="exact"/>
              <w:jc w:val="center"/>
              <w:rPr>
                <w:rFonts w:hint="eastAsia" w:ascii="Times New Roman" w:hAnsi="Times New Roman" w:eastAsia="宋体" w:cs="Times New Roman"/>
                <w:color w:val="000000" w:themeColor="text1"/>
                <w:szCs w:val="21"/>
                <w:highlight w:val="none"/>
                <w:lang w:val="zh-CN"/>
                <w14:textFill>
                  <w14:solidFill>
                    <w14:schemeClr w14:val="tx1"/>
                  </w14:solidFill>
                </w14:textFill>
              </w:rPr>
            </w:pPr>
          </w:p>
        </w:tc>
        <w:tc>
          <w:tcPr>
            <w:tcW w:w="2186" w:type="dxa"/>
            <w:vAlign w:val="center"/>
          </w:tcPr>
          <w:p w14:paraId="746ED6CE">
            <w:pPr>
              <w:snapToGrid w:val="0"/>
              <w:spacing w:line="240" w:lineRule="exact"/>
              <w:jc w:val="center"/>
              <w:rPr>
                <w:rFonts w:hint="eastAsia" w:cs="Times New Roman"/>
                <w:color w:val="000000" w:themeColor="text1"/>
                <w:szCs w:val="21"/>
                <w:highlight w:val="none"/>
                <w:lang w:eastAsia="zh-CN"/>
                <w14:textFill>
                  <w14:solidFill>
                    <w14:schemeClr w14:val="tx1"/>
                  </w14:solidFill>
                </w14:textFill>
              </w:rPr>
            </w:pPr>
            <w:r>
              <w:rPr>
                <w:color w:val="000000" w:themeColor="text1"/>
                <w:szCs w:val="21"/>
                <w:highlight w:val="none"/>
                <w14:textFill>
                  <w14:solidFill>
                    <w14:schemeClr w14:val="tx1"/>
                  </w14:solidFill>
                </w14:textFill>
              </w:rPr>
              <w:t>《恶臭污染物排放标准》（GB14554-1993）表1</w:t>
            </w:r>
          </w:p>
        </w:tc>
      </w:tr>
      <w:tr w14:paraId="09A87F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28" w:type="dxa"/>
            <w:vMerge w:val="continue"/>
            <w:vAlign w:val="center"/>
          </w:tcPr>
          <w:p w14:paraId="5C48AC76">
            <w:pPr>
              <w:adjustRightInd w:val="0"/>
              <w:snapToGrid w:val="0"/>
              <w:spacing w:line="240" w:lineRule="exact"/>
              <w:jc w:val="center"/>
              <w:rPr>
                <w:color w:val="000000" w:themeColor="text1"/>
                <w:szCs w:val="21"/>
                <w:highlight w:val="none"/>
                <w14:textFill>
                  <w14:solidFill>
                    <w14:schemeClr w14:val="tx1"/>
                  </w14:solidFill>
                </w14:textFill>
              </w:rPr>
            </w:pPr>
          </w:p>
        </w:tc>
        <w:tc>
          <w:tcPr>
            <w:tcW w:w="836" w:type="dxa"/>
            <w:vMerge w:val="continue"/>
            <w:vAlign w:val="center"/>
          </w:tcPr>
          <w:p w14:paraId="32059D56">
            <w:pPr>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98" w:type="dxa"/>
            <w:vAlign w:val="center"/>
          </w:tcPr>
          <w:p w14:paraId="255310DC">
            <w:pPr>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厂区内</w:t>
            </w:r>
          </w:p>
        </w:tc>
        <w:tc>
          <w:tcPr>
            <w:tcW w:w="1438" w:type="dxa"/>
            <w:vAlign w:val="center"/>
          </w:tcPr>
          <w:p w14:paraId="0CB42B34">
            <w:pPr>
              <w:snapToGrid w:val="0"/>
              <w:spacing w:line="24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zh-CN" w:eastAsia="zh-CN"/>
                <w14:textFill>
                  <w14:solidFill>
                    <w14:schemeClr w14:val="tx1"/>
                  </w14:solidFill>
                </w14:textFill>
              </w:rPr>
              <w:t>非甲烷总烃</w:t>
            </w:r>
          </w:p>
        </w:tc>
        <w:tc>
          <w:tcPr>
            <w:tcW w:w="2674" w:type="dxa"/>
            <w:vAlign w:val="center"/>
          </w:tcPr>
          <w:p w14:paraId="2C262908">
            <w:pPr>
              <w:snapToGrid w:val="0"/>
              <w:spacing w:line="24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w:t>
            </w:r>
          </w:p>
        </w:tc>
        <w:tc>
          <w:tcPr>
            <w:tcW w:w="2186" w:type="dxa"/>
            <w:vAlign w:val="center"/>
          </w:tcPr>
          <w:p w14:paraId="7116F6FA">
            <w:pPr>
              <w:snapToGrid w:val="0"/>
              <w:spacing w:line="24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《大气污染物综合排放标准》（DB32/4041-2021）表2</w:t>
            </w:r>
          </w:p>
        </w:tc>
      </w:tr>
      <w:tr w14:paraId="5FADFF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28" w:type="dxa"/>
            <w:vMerge w:val="restart"/>
            <w:vAlign w:val="center"/>
          </w:tcPr>
          <w:p w14:paraId="4341B512">
            <w:pPr>
              <w:adjustRightInd w:val="0"/>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地表水环境</w:t>
            </w:r>
          </w:p>
        </w:tc>
        <w:tc>
          <w:tcPr>
            <w:tcW w:w="1434" w:type="dxa"/>
            <w:gridSpan w:val="2"/>
            <w:vAlign w:val="center"/>
          </w:tcPr>
          <w:p w14:paraId="58672210">
            <w:pPr>
              <w:adjustRightInd w:val="0"/>
              <w:snapToGrid w:val="0"/>
              <w:spacing w:line="240" w:lineRule="exact"/>
              <w:jc w:val="center"/>
              <w:rPr>
                <w:rFonts w:hint="eastAsia" w:eastAsia="宋体"/>
                <w:color w:val="000000" w:themeColor="text1"/>
                <w:szCs w:val="21"/>
                <w:highlight w:val="none"/>
                <w:lang w:eastAsia="zh-CN"/>
                <w14:textFill>
                  <w14:solidFill>
                    <w14:schemeClr w14:val="tx1"/>
                  </w14:solidFill>
                </w14:textFill>
              </w:rPr>
            </w:pPr>
            <w:r>
              <w:rPr>
                <w:color w:val="000000" w:themeColor="text1"/>
                <w:szCs w:val="21"/>
                <w:highlight w:val="none"/>
                <w14:textFill>
                  <w14:solidFill>
                    <w14:schemeClr w14:val="tx1"/>
                  </w14:solidFill>
                </w14:textFill>
              </w:rPr>
              <w:t>DW001</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生活污水</w:t>
            </w:r>
            <w:r>
              <w:rPr>
                <w:rFonts w:hint="eastAsia"/>
                <w:color w:val="000000" w:themeColor="text1"/>
                <w:szCs w:val="21"/>
                <w:highlight w:val="none"/>
                <w:lang w:eastAsia="zh-CN"/>
                <w14:textFill>
                  <w14:solidFill>
                    <w14:schemeClr w14:val="tx1"/>
                  </w14:solidFill>
                </w14:textFill>
              </w:rPr>
              <w:t>）</w:t>
            </w:r>
          </w:p>
        </w:tc>
        <w:tc>
          <w:tcPr>
            <w:tcW w:w="1438" w:type="dxa"/>
            <w:vAlign w:val="center"/>
          </w:tcPr>
          <w:p w14:paraId="4DD8BC9B">
            <w:pPr>
              <w:spacing w:line="200" w:lineRule="atLeast"/>
              <w:jc w:val="center"/>
              <w:rPr>
                <w:rFonts w:hint="default" w:eastAsia="宋体"/>
                <w:color w:val="000000" w:themeColor="text1"/>
                <w:szCs w:val="21"/>
                <w:highlight w:val="none"/>
                <w:lang w:val="en-US" w:eastAsia="zh-CN"/>
                <w14:textFill>
                  <w14:solidFill>
                    <w14:schemeClr w14:val="tx1"/>
                  </w14:solidFill>
                </w14:textFill>
              </w:rPr>
            </w:pPr>
            <w:r>
              <w:rPr>
                <w:color w:val="000000" w:themeColor="text1"/>
                <w:highlight w:val="none"/>
                <w14:textFill>
                  <w14:solidFill>
                    <w14:schemeClr w14:val="tx1"/>
                  </w14:solidFill>
                </w14:textFill>
              </w:rPr>
              <w:t>pH、</w:t>
            </w:r>
            <w:r>
              <w:rPr>
                <w:rFonts w:hint="eastAsia"/>
                <w:color w:val="000000" w:themeColor="text1"/>
                <w:szCs w:val="21"/>
                <w:highlight w:val="none"/>
                <w:lang w:val="en-US" w:eastAsia="zh-CN"/>
                <w14:textFill>
                  <w14:solidFill>
                    <w14:schemeClr w14:val="tx1"/>
                  </w14:solidFill>
                </w14:textFill>
              </w:rPr>
              <w:t>COD、SS、</w:t>
            </w:r>
            <w:r>
              <w:rPr>
                <w:color w:val="000000" w:themeColor="text1"/>
                <w:highlight w:val="none"/>
                <w14:textFill>
                  <w14:solidFill>
                    <w14:schemeClr w14:val="tx1"/>
                  </w14:solidFill>
                </w14:textFill>
              </w:rPr>
              <w:t>NH</w:t>
            </w:r>
            <w:r>
              <w:rPr>
                <w:color w:val="000000" w:themeColor="text1"/>
                <w:highlight w:val="none"/>
                <w:vertAlign w:val="subscript"/>
                <w14:textFill>
                  <w14:solidFill>
                    <w14:schemeClr w14:val="tx1"/>
                  </w14:solidFill>
                </w14:textFill>
              </w:rPr>
              <w:t>3</w:t>
            </w:r>
            <w:r>
              <w:rPr>
                <w:color w:val="000000" w:themeColor="text1"/>
                <w:highlight w:val="none"/>
                <w14:textFill>
                  <w14:solidFill>
                    <w14:schemeClr w14:val="tx1"/>
                  </w14:solidFill>
                </w14:textFill>
              </w:rPr>
              <w:t>-N、TN</w:t>
            </w:r>
          </w:p>
        </w:tc>
        <w:tc>
          <w:tcPr>
            <w:tcW w:w="2674" w:type="dxa"/>
            <w:vAlign w:val="center"/>
          </w:tcPr>
          <w:p w14:paraId="67A6C74A">
            <w:pPr>
              <w:adjustRightInd w:val="0"/>
              <w:snapToGrid w:val="0"/>
              <w:spacing w:line="240" w:lineRule="exact"/>
              <w:jc w:val="center"/>
              <w:rPr>
                <w:rFonts w:ascii="Times New Roman" w:hAnsi="Times New Roman" w:cs="Times New Roman"/>
                <w:color w:val="000000" w:themeColor="text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化粪池</w:t>
            </w:r>
          </w:p>
        </w:tc>
        <w:tc>
          <w:tcPr>
            <w:tcW w:w="2186" w:type="dxa"/>
            <w:vMerge w:val="restart"/>
            <w:vAlign w:val="center"/>
          </w:tcPr>
          <w:p w14:paraId="5150D0B1">
            <w:pPr>
              <w:adjustRightInd w:val="0"/>
              <w:snapToGrid w:val="0"/>
              <w:spacing w:line="240" w:lineRule="exact"/>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《橡胶制品工业污染物排放标准》（GB27632-2011）表2标准</w:t>
            </w:r>
          </w:p>
        </w:tc>
      </w:tr>
      <w:tr w14:paraId="3400CA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28" w:type="dxa"/>
            <w:vMerge w:val="continue"/>
            <w:vAlign w:val="center"/>
          </w:tcPr>
          <w:p w14:paraId="451E400A">
            <w:pPr>
              <w:adjustRightInd w:val="0"/>
              <w:snapToGrid w:val="0"/>
              <w:spacing w:line="240" w:lineRule="exact"/>
              <w:jc w:val="center"/>
              <w:rPr>
                <w:color w:val="000000" w:themeColor="text1"/>
                <w:szCs w:val="21"/>
                <w:highlight w:val="none"/>
                <w14:textFill>
                  <w14:solidFill>
                    <w14:schemeClr w14:val="tx1"/>
                  </w14:solidFill>
                </w14:textFill>
              </w:rPr>
            </w:pPr>
          </w:p>
        </w:tc>
        <w:tc>
          <w:tcPr>
            <w:tcW w:w="1434" w:type="dxa"/>
            <w:gridSpan w:val="2"/>
            <w:vAlign w:val="center"/>
          </w:tcPr>
          <w:p w14:paraId="2ED900DF">
            <w:pPr>
              <w:keepNext w:val="0"/>
              <w:keepLines w:val="0"/>
              <w:pageBreakBefore w:val="0"/>
              <w:kinsoku/>
              <w:wordWrap/>
              <w:overflowPunct/>
              <w:topLinePunct w:val="0"/>
              <w:autoSpaceDE/>
              <w:autoSpaceDN/>
              <w:bidi w:val="0"/>
              <w:spacing w:line="240" w:lineRule="exact"/>
              <w:jc w:val="center"/>
              <w:textAlignment w:val="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DW001</w:t>
            </w:r>
            <w:r>
              <w:rPr>
                <w:rFonts w:hint="eastAsia"/>
                <w:color w:val="000000" w:themeColor="text1"/>
                <w:szCs w:val="2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冷却废水</w:t>
            </w:r>
            <w:r>
              <w:rPr>
                <w:rFonts w:hint="eastAsia"/>
                <w:color w:val="000000" w:themeColor="text1"/>
                <w:szCs w:val="21"/>
                <w:highlight w:val="none"/>
                <w:lang w:eastAsia="zh-CN"/>
                <w14:textFill>
                  <w14:solidFill>
                    <w14:schemeClr w14:val="tx1"/>
                  </w14:solidFill>
                </w14:textFill>
              </w:rPr>
              <w:t>）</w:t>
            </w:r>
          </w:p>
        </w:tc>
        <w:tc>
          <w:tcPr>
            <w:tcW w:w="1438" w:type="dxa"/>
            <w:vAlign w:val="center"/>
          </w:tcPr>
          <w:p w14:paraId="59B85940">
            <w:pPr>
              <w:keepNext w:val="0"/>
              <w:keepLines w:val="0"/>
              <w:pageBreakBefore w:val="0"/>
              <w:kinsoku/>
              <w:wordWrap/>
              <w:overflowPunct/>
              <w:topLinePunct w:val="0"/>
              <w:autoSpaceDE/>
              <w:autoSpaceDN/>
              <w:bidi w:val="0"/>
              <w:spacing w:line="240" w:lineRule="exact"/>
              <w:jc w:val="center"/>
              <w:textAlignment w:val="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pH、</w:t>
            </w:r>
            <w:r>
              <w:rPr>
                <w:rFonts w:hint="eastAsia"/>
                <w:color w:val="000000" w:themeColor="text1"/>
                <w:szCs w:val="21"/>
                <w:highlight w:val="none"/>
                <w:lang w:val="en-US" w:eastAsia="zh-CN"/>
                <w14:textFill>
                  <w14:solidFill>
                    <w14:schemeClr w14:val="tx1"/>
                  </w14:solidFill>
                </w14:textFill>
              </w:rPr>
              <w:t>COD、SS</w:t>
            </w:r>
          </w:p>
        </w:tc>
        <w:tc>
          <w:tcPr>
            <w:tcW w:w="2674" w:type="dxa"/>
            <w:vAlign w:val="center"/>
          </w:tcPr>
          <w:p w14:paraId="5CE114BE">
            <w:pPr>
              <w:adjustRightInd w:val="0"/>
              <w:snapToGrid w:val="0"/>
              <w:spacing w:line="240" w:lineRule="exact"/>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2186" w:type="dxa"/>
            <w:vMerge w:val="continue"/>
            <w:vAlign w:val="center"/>
          </w:tcPr>
          <w:p w14:paraId="004167E7">
            <w:pPr>
              <w:adjustRightInd w:val="0"/>
              <w:snapToGrid w:val="0"/>
              <w:spacing w:line="240" w:lineRule="exact"/>
              <w:jc w:val="center"/>
              <w:rPr>
                <w:rFonts w:hint="eastAsia"/>
                <w:color w:val="000000" w:themeColor="text1"/>
                <w:szCs w:val="21"/>
                <w:highlight w:val="none"/>
                <w14:textFill>
                  <w14:solidFill>
                    <w14:schemeClr w14:val="tx1"/>
                  </w14:solidFill>
                </w14:textFill>
              </w:rPr>
            </w:pPr>
          </w:p>
        </w:tc>
      </w:tr>
      <w:tr w14:paraId="76657F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28" w:type="dxa"/>
            <w:vAlign w:val="center"/>
          </w:tcPr>
          <w:p w14:paraId="5B91095E">
            <w:pPr>
              <w:adjustRightInd w:val="0"/>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声环境</w:t>
            </w:r>
          </w:p>
        </w:tc>
        <w:tc>
          <w:tcPr>
            <w:tcW w:w="1434" w:type="dxa"/>
            <w:gridSpan w:val="2"/>
            <w:vAlign w:val="center"/>
          </w:tcPr>
          <w:p w14:paraId="53B933D5">
            <w:pPr>
              <w:adjustRightInd w:val="0"/>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生产设备</w:t>
            </w:r>
          </w:p>
        </w:tc>
        <w:tc>
          <w:tcPr>
            <w:tcW w:w="1438" w:type="dxa"/>
            <w:vAlign w:val="center"/>
          </w:tcPr>
          <w:p w14:paraId="55EEB232">
            <w:pPr>
              <w:adjustRightInd w:val="0"/>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噪声</w:t>
            </w:r>
          </w:p>
        </w:tc>
        <w:tc>
          <w:tcPr>
            <w:tcW w:w="2674" w:type="dxa"/>
            <w:vAlign w:val="center"/>
          </w:tcPr>
          <w:p w14:paraId="4AC7E248">
            <w:pPr>
              <w:widowControl/>
              <w:adjustRightInd w:val="0"/>
              <w:snapToGrid w:val="0"/>
              <w:spacing w:line="240" w:lineRule="exac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厂房隔声、设备合理选型</w:t>
            </w:r>
          </w:p>
        </w:tc>
        <w:tc>
          <w:tcPr>
            <w:tcW w:w="2186" w:type="dxa"/>
            <w:vAlign w:val="center"/>
          </w:tcPr>
          <w:p w14:paraId="3F314B3F">
            <w:pPr>
              <w:adjustRightInd w:val="0"/>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《工业企业厂界环境噪声排放标准》（GB12348-2008）中的</w:t>
            </w:r>
            <w:r>
              <w:rPr>
                <w:rFonts w:hint="eastAsia"/>
                <w:color w:val="000000" w:themeColor="text1"/>
                <w:szCs w:val="21"/>
                <w:highlight w:val="none"/>
                <w:lang w:eastAsia="zh-CN"/>
                <w14:textFill>
                  <w14:solidFill>
                    <w14:schemeClr w14:val="tx1"/>
                  </w14:solidFill>
                </w14:textFill>
              </w:rPr>
              <w:t>3类</w:t>
            </w:r>
            <w:r>
              <w:rPr>
                <w:color w:val="000000" w:themeColor="text1"/>
                <w:szCs w:val="21"/>
                <w:highlight w:val="none"/>
                <w14:textFill>
                  <w14:solidFill>
                    <w14:schemeClr w14:val="tx1"/>
                  </w14:solidFill>
                </w14:textFill>
              </w:rPr>
              <w:t>标准</w:t>
            </w:r>
          </w:p>
        </w:tc>
      </w:tr>
      <w:tr w14:paraId="74EC0E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28" w:type="dxa"/>
            <w:vAlign w:val="center"/>
          </w:tcPr>
          <w:p w14:paraId="4CE5938E">
            <w:pPr>
              <w:adjustRightInd w:val="0"/>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电磁辐射</w:t>
            </w:r>
          </w:p>
        </w:tc>
        <w:tc>
          <w:tcPr>
            <w:tcW w:w="1434" w:type="dxa"/>
            <w:gridSpan w:val="2"/>
            <w:vAlign w:val="center"/>
          </w:tcPr>
          <w:p w14:paraId="145E5D02">
            <w:pPr>
              <w:adjustRightInd w:val="0"/>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1438" w:type="dxa"/>
            <w:vAlign w:val="center"/>
          </w:tcPr>
          <w:p w14:paraId="51C02706">
            <w:pPr>
              <w:adjustRightInd w:val="0"/>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2674" w:type="dxa"/>
            <w:vAlign w:val="center"/>
          </w:tcPr>
          <w:p w14:paraId="219F4089">
            <w:pPr>
              <w:adjustRightInd w:val="0"/>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2186" w:type="dxa"/>
            <w:vAlign w:val="center"/>
          </w:tcPr>
          <w:p w14:paraId="0D27DD1A">
            <w:pPr>
              <w:adjustRightInd w:val="0"/>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3EC88A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328" w:type="dxa"/>
            <w:vAlign w:val="center"/>
          </w:tcPr>
          <w:p w14:paraId="3D8DA5E5">
            <w:pPr>
              <w:adjustRightInd w:val="0"/>
              <w:snapToGrid w:val="0"/>
              <w:spacing w:line="240" w:lineRule="exact"/>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固体废物</w:t>
            </w:r>
          </w:p>
        </w:tc>
        <w:tc>
          <w:tcPr>
            <w:tcW w:w="7732" w:type="dxa"/>
            <w:gridSpan w:val="5"/>
            <w:vAlign w:val="center"/>
          </w:tcPr>
          <w:p w14:paraId="454629C3">
            <w:pPr>
              <w:spacing w:line="240" w:lineRule="exact"/>
              <w:ind w:firstLine="420" w:firstLineChars="200"/>
              <w:jc w:val="left"/>
              <w:rPr>
                <w:color w:val="000000" w:themeColor="text1"/>
                <w:sz w:val="21"/>
                <w:szCs w:val="21"/>
                <w:highlight w:val="none"/>
                <w:lang w:val="zh-CN"/>
                <w14:textFill>
                  <w14:solidFill>
                    <w14:schemeClr w14:val="tx1"/>
                  </w14:solidFill>
                </w14:textFill>
              </w:rPr>
            </w:pPr>
            <w:r>
              <w:rPr>
                <w:rFonts w:hint="eastAsia" w:ascii="Times New Roman" w:hAnsi="Times New Roman" w:eastAsia="宋体" w:cs="Times New Roman"/>
                <w:color w:val="000000" w:themeColor="text1"/>
                <w:szCs w:val="21"/>
                <w:highlight w:val="none"/>
                <w:lang w:val="zh-CN" w:eastAsia="zh-CN"/>
                <w14:textFill>
                  <w14:solidFill>
                    <w14:schemeClr w14:val="tx1"/>
                  </w14:solidFill>
                </w14:textFill>
              </w:rPr>
              <w:t>本项目营运期产生的固废主要为</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边角料、不合格品、废包装材料、废过滤棉、废活性炭、生活垃圾、化粪池污泥、废包装物</w:t>
            </w:r>
            <w:r>
              <w:rPr>
                <w:rFonts w:hint="eastAsia" w:ascii="Times New Roman" w:hAnsi="Times New Roman" w:eastAsia="宋体" w:cs="Times New Roman"/>
                <w:color w:val="000000" w:themeColor="text1"/>
                <w:szCs w:val="21"/>
                <w:highlight w:val="none"/>
                <w:lang w:val="zh-CN" w:eastAsia="zh-CN"/>
                <w14:textFill>
                  <w14:solidFill>
                    <w14:schemeClr w14:val="tx1"/>
                  </w14:solidFill>
                </w14:textFill>
              </w:rPr>
              <w:t>等。</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其中一般固废：边角料、不合格品、废包装材料、生活垃圾、化粪池污泥外售处理，生活垃圾、化粪池污泥环卫清运。危险废物：废过滤棉、废活性炭、废包装物等</w:t>
            </w:r>
            <w:r>
              <w:rPr>
                <w:rFonts w:hint="eastAsia" w:ascii="Times New Roman" w:hAnsi="Times New Roman" w:eastAsia="宋体" w:cs="Times New Roman"/>
                <w:color w:val="000000" w:themeColor="text1"/>
                <w:szCs w:val="21"/>
                <w:highlight w:val="none"/>
                <w:lang w:val="zh-CN" w:eastAsia="zh-CN"/>
                <w14:textFill>
                  <w14:solidFill>
                    <w14:schemeClr w14:val="tx1"/>
                  </w14:solidFill>
                </w14:textFill>
              </w:rPr>
              <w:t>委托有资质单位处理。固废均得到相应合理的处置，零排放。</w:t>
            </w:r>
          </w:p>
        </w:tc>
      </w:tr>
      <w:tr w14:paraId="2B6DD5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1328" w:type="dxa"/>
            <w:vAlign w:val="center"/>
          </w:tcPr>
          <w:p w14:paraId="742C4ED9">
            <w:pPr>
              <w:adjustRightInd w:val="0"/>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土壤及地下水污染防治措施</w:t>
            </w:r>
          </w:p>
        </w:tc>
        <w:tc>
          <w:tcPr>
            <w:tcW w:w="7732" w:type="dxa"/>
            <w:gridSpan w:val="5"/>
            <w:vAlign w:val="center"/>
          </w:tcPr>
          <w:p w14:paraId="381979FB">
            <w:pPr>
              <w:spacing w:line="240" w:lineRule="exact"/>
              <w:ind w:firstLine="420" w:firstLineChars="200"/>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建设单位切实做好防治措施，源头控制、分区防渗，对各种污染物进行有效治理，可将污染物对土壤及地下水环境影响降至最低，对土壤及地下水环境的影响较小。</w:t>
            </w:r>
          </w:p>
        </w:tc>
      </w:tr>
      <w:tr w14:paraId="3C5898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1328" w:type="dxa"/>
            <w:vAlign w:val="center"/>
          </w:tcPr>
          <w:p w14:paraId="712EDE0B">
            <w:pPr>
              <w:adjustRightInd w:val="0"/>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生态保护措施</w:t>
            </w:r>
          </w:p>
        </w:tc>
        <w:tc>
          <w:tcPr>
            <w:tcW w:w="7732" w:type="dxa"/>
            <w:gridSpan w:val="5"/>
            <w:vAlign w:val="center"/>
          </w:tcPr>
          <w:p w14:paraId="5798128B">
            <w:pPr>
              <w:spacing w:line="240" w:lineRule="exact"/>
              <w:ind w:firstLine="420" w:firstLineChars="200"/>
              <w:jc w:val="left"/>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w:t>
            </w:r>
          </w:p>
        </w:tc>
      </w:tr>
      <w:tr w14:paraId="470AEA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328" w:type="dxa"/>
            <w:vAlign w:val="center"/>
          </w:tcPr>
          <w:p w14:paraId="0EF1D6F9">
            <w:pPr>
              <w:adjustRightInd w:val="0"/>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环境风险</w:t>
            </w:r>
          </w:p>
          <w:p w14:paraId="1AEC4EC2">
            <w:pPr>
              <w:adjustRightInd w:val="0"/>
              <w:snapToGrid w:val="0"/>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防范措施</w:t>
            </w:r>
          </w:p>
        </w:tc>
        <w:tc>
          <w:tcPr>
            <w:tcW w:w="7732" w:type="dxa"/>
            <w:gridSpan w:val="5"/>
            <w:vAlign w:val="center"/>
          </w:tcPr>
          <w:p w14:paraId="6298ECBD">
            <w:pPr>
              <w:spacing w:line="240" w:lineRule="exact"/>
              <w:ind w:firstLine="420" w:firstLineChars="200"/>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（1）强化安全</w:t>
            </w:r>
            <w:r>
              <w:rPr>
                <w:color w:val="000000" w:themeColor="text1"/>
                <w:szCs w:val="21"/>
                <w:highlight w:val="none"/>
                <w14:textFill>
                  <w14:solidFill>
                    <w14:schemeClr w14:val="tx1"/>
                  </w14:solidFill>
                </w14:textFill>
              </w:rPr>
              <w:t>生产</w:t>
            </w:r>
            <w:r>
              <w:rPr>
                <w:color w:val="000000" w:themeColor="text1"/>
                <w:szCs w:val="21"/>
                <w:highlight w:val="none"/>
                <w:lang w:val="zh-CN"/>
                <w14:textFill>
                  <w14:solidFill>
                    <w14:schemeClr w14:val="tx1"/>
                  </w14:solidFill>
                </w14:textFill>
              </w:rPr>
              <w:t>及环境保护意识的教育，提高职工的素质，加强操作</w:t>
            </w:r>
            <w:r>
              <w:rPr>
                <w:rFonts w:hint="eastAsia"/>
                <w:color w:val="000000" w:themeColor="text1"/>
                <w:szCs w:val="21"/>
                <w:highlight w:val="none"/>
                <w:lang w:val="zh-CN"/>
                <w14:textFill>
                  <w14:solidFill>
                    <w14:schemeClr w14:val="tx1"/>
                  </w14:solidFill>
                </w14:textFill>
              </w:rPr>
              <w:t>人员</w:t>
            </w:r>
            <w:r>
              <w:rPr>
                <w:color w:val="000000" w:themeColor="text1"/>
                <w:szCs w:val="21"/>
                <w:highlight w:val="none"/>
                <w:lang w:val="zh-CN"/>
                <w14:textFill>
                  <w14:solidFill>
                    <w14:schemeClr w14:val="tx1"/>
                  </w14:solidFill>
                </w14:textFill>
              </w:rPr>
              <w:t>上岗前的培训，进行安全</w:t>
            </w:r>
            <w:r>
              <w:rPr>
                <w:color w:val="000000" w:themeColor="text1"/>
                <w:szCs w:val="21"/>
                <w:highlight w:val="none"/>
                <w14:textFill>
                  <w14:solidFill>
                    <w14:schemeClr w14:val="tx1"/>
                  </w14:solidFill>
                </w14:textFill>
              </w:rPr>
              <w:t>生产</w:t>
            </w:r>
            <w:r>
              <w:rPr>
                <w:color w:val="000000" w:themeColor="text1"/>
                <w:szCs w:val="21"/>
                <w:highlight w:val="none"/>
                <w:lang w:val="zh-CN"/>
                <w14:textFill>
                  <w14:solidFill>
                    <w14:schemeClr w14:val="tx1"/>
                  </w14:solidFill>
                </w14:textFill>
              </w:rPr>
              <w:t>、消防、环保、工业卫生等方面的技术培训教育；定期检查安全消防设施的完好性，确保其处于</w:t>
            </w:r>
            <w:r>
              <w:rPr>
                <w:rFonts w:hint="eastAsia"/>
                <w:color w:val="000000" w:themeColor="text1"/>
                <w:szCs w:val="21"/>
                <w:highlight w:val="none"/>
                <w:lang w:val="zh-CN"/>
                <w14:textFill>
                  <w14:solidFill>
                    <w14:schemeClr w14:val="tx1"/>
                  </w14:solidFill>
                </w14:textFill>
              </w:rPr>
              <w:t>立即可用</w:t>
            </w:r>
            <w:r>
              <w:rPr>
                <w:color w:val="000000" w:themeColor="text1"/>
                <w:szCs w:val="21"/>
                <w:highlight w:val="none"/>
                <w:lang w:val="zh-CN"/>
                <w14:textFill>
                  <w14:solidFill>
                    <w14:schemeClr w14:val="tx1"/>
                  </w14:solidFill>
                </w14:textFill>
              </w:rPr>
              <w:t>状态，以备在事故发生时，能及时、高效率地发挥作用。</w:t>
            </w:r>
          </w:p>
          <w:p w14:paraId="07DBAEBA">
            <w:pPr>
              <w:spacing w:line="240" w:lineRule="exact"/>
              <w:ind w:firstLine="420" w:firstLineChars="200"/>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（2）定期检查废气处理设施是否正常运转，确保废气达标排放。</w:t>
            </w:r>
          </w:p>
          <w:p w14:paraId="58D6B5E8">
            <w:pPr>
              <w:spacing w:line="240" w:lineRule="exact"/>
              <w:ind w:firstLine="420" w:firstLineChars="200"/>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（3）危险废物应配备防渗漏托盘。</w:t>
            </w:r>
            <w:r>
              <w:rPr>
                <w:rFonts w:hint="eastAsia"/>
                <w:color w:val="000000" w:themeColor="text1"/>
                <w:szCs w:val="21"/>
                <w:highlight w:val="none"/>
                <w14:textFill>
                  <w14:solidFill>
                    <w14:schemeClr w14:val="tx1"/>
                  </w14:solidFill>
                </w14:textFill>
              </w:rPr>
              <w:t>危废仓库</w:t>
            </w:r>
            <w:r>
              <w:rPr>
                <w:color w:val="000000" w:themeColor="text1"/>
                <w:szCs w:val="21"/>
                <w:highlight w:val="none"/>
                <w:lang w:val="zh-CN"/>
                <w14:textFill>
                  <w14:solidFill>
                    <w14:schemeClr w14:val="tx1"/>
                  </w14:solidFill>
                </w14:textFill>
              </w:rPr>
              <w:t>可根据产废情况，配备足够数量的防渗漏托盘，用于盛放危险废物。</w:t>
            </w:r>
          </w:p>
          <w:p w14:paraId="131AAB67">
            <w:pPr>
              <w:spacing w:line="240" w:lineRule="exact"/>
              <w:ind w:firstLine="420" w:firstLineChars="200"/>
              <w:jc w:val="left"/>
              <w:rPr>
                <w:rFonts w:hint="eastAsia" w:eastAsia="宋体"/>
                <w:color w:val="000000" w:themeColor="text1"/>
                <w:szCs w:val="21"/>
                <w:highlight w:val="none"/>
                <w:lang w:eastAsia="zh-CN"/>
                <w14:textFill>
                  <w14:solidFill>
                    <w14:schemeClr w14:val="tx1"/>
                  </w14:solidFill>
                </w14:textFill>
              </w:rPr>
            </w:pPr>
            <w:r>
              <w:rPr>
                <w:color w:val="000000" w:themeColor="text1"/>
                <w:szCs w:val="21"/>
                <w:highlight w:val="none"/>
                <w:lang w:val="zh-CN"/>
                <w14:textFill>
                  <w14:solidFill>
                    <w14:schemeClr w14:val="tx1"/>
                  </w14:solidFill>
                </w14:textFill>
              </w:rPr>
              <w:t>（</w:t>
            </w:r>
            <w:r>
              <w:rPr>
                <w:color w:val="000000" w:themeColor="text1"/>
                <w:szCs w:val="21"/>
                <w:highlight w:val="none"/>
                <w14:textFill>
                  <w14:solidFill>
                    <w14:schemeClr w14:val="tx1"/>
                  </w14:solidFill>
                </w14:textFill>
              </w:rPr>
              <w:t>4</w:t>
            </w:r>
            <w:r>
              <w:rPr>
                <w:color w:val="000000" w:themeColor="text1"/>
                <w:szCs w:val="21"/>
                <w:highlight w:val="none"/>
                <w:lang w:val="zh-CN"/>
                <w14:textFill>
                  <w14:solidFill>
                    <w14:schemeClr w14:val="tx1"/>
                  </w14:solidFill>
                </w14:textFill>
              </w:rPr>
              <w:t>）</w:t>
            </w:r>
            <w:r>
              <w:rPr>
                <w:color w:val="000000" w:themeColor="text1"/>
                <w:sz w:val="21"/>
                <w:szCs w:val="21"/>
                <w:highlight w:val="none"/>
                <w14:textFill>
                  <w14:solidFill>
                    <w14:schemeClr w14:val="tx1"/>
                  </w14:solidFill>
                </w14:textFill>
              </w:rPr>
              <w:t>企业</w:t>
            </w:r>
            <w:r>
              <w:rPr>
                <w:rFonts w:hint="eastAsia"/>
                <w:color w:val="000000" w:themeColor="text1"/>
                <w:highlight w:val="none"/>
                <w:lang w:val="en-US" w:eastAsia="zh-CN"/>
                <w14:textFill>
                  <w14:solidFill>
                    <w14:schemeClr w14:val="tx1"/>
                  </w14:solidFill>
                </w14:textFill>
              </w:rPr>
              <w:t>依托现有1个200m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的</w:t>
            </w:r>
            <w:r>
              <w:rPr>
                <w:rFonts w:hint="eastAsia" w:cs="Times New Roman"/>
                <w:color w:val="000000" w:themeColor="text1"/>
                <w:highlight w:val="none"/>
                <w:lang w:val="en-US" w:eastAsia="zh-CN"/>
                <w14:textFill>
                  <w14:solidFill>
                    <w14:schemeClr w14:val="tx1"/>
                  </w14:solidFill>
                </w14:textFill>
              </w:rPr>
              <w:t>应急事故池</w:t>
            </w:r>
            <w:r>
              <w:rPr>
                <w:rFonts w:hint="eastAsia"/>
                <w:color w:val="000000" w:themeColor="text1"/>
                <w:highlight w:val="none"/>
                <w14:textFill>
                  <w14:solidFill>
                    <w14:schemeClr w14:val="tx1"/>
                  </w14:solidFill>
                </w14:textFill>
              </w:rPr>
              <w:t>，雨污排口</w:t>
            </w:r>
            <w:r>
              <w:rPr>
                <w:rFonts w:hint="eastAsia"/>
                <w:color w:val="000000" w:themeColor="text1"/>
                <w:highlight w:val="none"/>
                <w:lang w:val="en-US" w:eastAsia="zh-CN"/>
                <w14:textFill>
                  <w14:solidFill>
                    <w14:schemeClr w14:val="tx1"/>
                  </w14:solidFill>
                </w14:textFill>
              </w:rPr>
              <w:t>已</w:t>
            </w:r>
            <w:r>
              <w:rPr>
                <w:rFonts w:hint="eastAsia"/>
                <w:color w:val="000000" w:themeColor="text1"/>
                <w:highlight w:val="none"/>
                <w14:textFill>
                  <w14:solidFill>
                    <w14:schemeClr w14:val="tx1"/>
                  </w14:solidFill>
                </w14:textFill>
              </w:rPr>
              <w:t>安装截止阀</w:t>
            </w:r>
            <w:r>
              <w:rPr>
                <w:rFonts w:hint="eastAsia"/>
                <w:color w:val="000000" w:themeColor="text1"/>
                <w:highlight w:val="none"/>
                <w:lang w:eastAsia="zh-CN"/>
                <w14:textFill>
                  <w14:solidFill>
                    <w14:schemeClr w14:val="tx1"/>
                  </w14:solidFill>
                </w14:textFill>
              </w:rPr>
              <w:t>。</w:t>
            </w:r>
          </w:p>
        </w:tc>
      </w:tr>
      <w:tr w14:paraId="524491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328" w:type="dxa"/>
            <w:vAlign w:val="center"/>
          </w:tcPr>
          <w:p w14:paraId="70910770">
            <w:pPr>
              <w:adjustRightInd w:val="0"/>
              <w:snapToGrid w:val="0"/>
              <w:spacing w:line="240" w:lineRule="exact"/>
              <w:jc w:val="center"/>
              <w:rPr>
                <w:color w:val="000000" w:themeColor="text1"/>
                <w:spacing w:val="-8"/>
                <w:szCs w:val="21"/>
                <w:highlight w:val="none"/>
                <w14:textFill>
                  <w14:solidFill>
                    <w14:schemeClr w14:val="tx1"/>
                  </w14:solidFill>
                </w14:textFill>
              </w:rPr>
            </w:pPr>
            <w:r>
              <w:rPr>
                <w:color w:val="000000" w:themeColor="text1"/>
                <w:spacing w:val="-8"/>
                <w:szCs w:val="21"/>
                <w:highlight w:val="none"/>
                <w14:textFill>
                  <w14:solidFill>
                    <w14:schemeClr w14:val="tx1"/>
                  </w14:solidFill>
                </w14:textFill>
              </w:rPr>
              <w:t>其他环境</w:t>
            </w:r>
          </w:p>
          <w:p w14:paraId="5AAB36B7">
            <w:pPr>
              <w:adjustRightInd w:val="0"/>
              <w:snapToGrid w:val="0"/>
              <w:spacing w:line="240" w:lineRule="exact"/>
              <w:jc w:val="center"/>
              <w:rPr>
                <w:color w:val="000000" w:themeColor="text1"/>
                <w:szCs w:val="21"/>
                <w:highlight w:val="none"/>
                <w14:textFill>
                  <w14:solidFill>
                    <w14:schemeClr w14:val="tx1"/>
                  </w14:solidFill>
                </w14:textFill>
              </w:rPr>
            </w:pPr>
            <w:r>
              <w:rPr>
                <w:color w:val="000000" w:themeColor="text1"/>
                <w:spacing w:val="-8"/>
                <w:szCs w:val="21"/>
                <w:highlight w:val="none"/>
                <w14:textFill>
                  <w14:solidFill>
                    <w14:schemeClr w14:val="tx1"/>
                  </w14:solidFill>
                </w14:textFill>
              </w:rPr>
              <w:t>管理要求</w:t>
            </w:r>
          </w:p>
        </w:tc>
        <w:tc>
          <w:tcPr>
            <w:tcW w:w="7732" w:type="dxa"/>
            <w:gridSpan w:val="5"/>
            <w:vAlign w:val="center"/>
          </w:tcPr>
          <w:p w14:paraId="13B5DF6F">
            <w:pPr>
              <w:spacing w:line="240" w:lineRule="exact"/>
              <w:ind w:firstLine="420" w:firstLineChars="200"/>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（1）环境管理机构</w:t>
            </w:r>
          </w:p>
          <w:p w14:paraId="450A0DEB">
            <w:pPr>
              <w:spacing w:line="240" w:lineRule="exact"/>
              <w:ind w:firstLine="420" w:firstLineChars="200"/>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项目建成后，设置专门的环境管理机构，配备专职环保人员，负责环境监督管理工作，同时要加强对管理人员的环保培训，不断提高管理水平。</w:t>
            </w:r>
          </w:p>
          <w:p w14:paraId="2FC79A88">
            <w:pPr>
              <w:spacing w:line="240" w:lineRule="exact"/>
              <w:ind w:firstLine="420" w:firstLineChars="200"/>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（2）环境管理内容</w:t>
            </w:r>
          </w:p>
          <w:p w14:paraId="1E9DE79C">
            <w:pPr>
              <w:spacing w:line="240" w:lineRule="exact"/>
              <w:ind w:firstLine="420" w:firstLineChars="200"/>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项目在生产运行过程中为保证环境管理系统的有效运行应制定环境管理方案，环境管理方案主要包括下列内容：</w:t>
            </w:r>
          </w:p>
          <w:p w14:paraId="5D460B8B">
            <w:pPr>
              <w:spacing w:line="240" w:lineRule="exact"/>
              <w:ind w:firstLine="420" w:firstLineChars="200"/>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①组织贯彻国家及地方的有关环保方针、政策法令和条例，搞好环境教育和技术培训，增强公司职工的环保意识和技术水平，提高污染控制的责任心。</w:t>
            </w:r>
          </w:p>
          <w:p w14:paraId="74BC1456">
            <w:pPr>
              <w:spacing w:line="240" w:lineRule="exact"/>
              <w:ind w:firstLine="420" w:firstLineChars="200"/>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②制定并实施公司环境保护工作的长期规划及年度污染治理计划：定期检查环保设施的运行状况及对设备的维修与管理，严格控制</w:t>
            </w:r>
            <w:r>
              <w:rPr>
                <w:rFonts w:hint="eastAsia"/>
                <w:color w:val="000000" w:themeColor="text1"/>
                <w:szCs w:val="21"/>
                <w:highlight w:val="none"/>
                <w:lang w:val="zh-CN"/>
                <w14:textFill>
                  <w14:solidFill>
                    <w14:schemeClr w14:val="tx1"/>
                  </w14:solidFill>
                </w14:textFill>
              </w:rPr>
              <w:t>“</w:t>
            </w:r>
            <w:r>
              <w:rPr>
                <w:color w:val="000000" w:themeColor="text1"/>
                <w:szCs w:val="21"/>
                <w:highlight w:val="none"/>
                <w:lang w:val="zh-CN"/>
                <w14:textFill>
                  <w14:solidFill>
                    <w14:schemeClr w14:val="tx1"/>
                  </w14:solidFill>
                </w14:textFill>
              </w:rPr>
              <w:t>三废</w:t>
            </w:r>
            <w:r>
              <w:rPr>
                <w:rFonts w:hint="eastAsia"/>
                <w:color w:val="000000" w:themeColor="text1"/>
                <w:szCs w:val="21"/>
                <w:highlight w:val="none"/>
                <w:lang w:val="zh-CN"/>
                <w14:textFill>
                  <w14:solidFill>
                    <w14:schemeClr w14:val="tx1"/>
                  </w14:solidFill>
                </w14:textFill>
              </w:rPr>
              <w:t>”</w:t>
            </w:r>
            <w:r>
              <w:rPr>
                <w:color w:val="000000" w:themeColor="text1"/>
                <w:szCs w:val="21"/>
                <w:highlight w:val="none"/>
                <w:lang w:val="zh-CN"/>
                <w14:textFill>
                  <w14:solidFill>
                    <w14:schemeClr w14:val="tx1"/>
                  </w14:solidFill>
                </w14:textFill>
              </w:rPr>
              <w:t>的排放。</w:t>
            </w:r>
          </w:p>
          <w:p w14:paraId="5C2267D1">
            <w:pPr>
              <w:spacing w:line="240" w:lineRule="exact"/>
              <w:ind w:firstLine="420" w:firstLineChars="200"/>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③掌握公司内部污染物排放状况，编制公司内部环境状况报告。</w:t>
            </w:r>
          </w:p>
          <w:p w14:paraId="68ED0962">
            <w:pPr>
              <w:spacing w:line="240" w:lineRule="exact"/>
              <w:ind w:firstLine="420" w:firstLineChars="200"/>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④组织环境监测，检查公司环境状况，并及时将环境监测信息向</w:t>
            </w:r>
            <w:r>
              <w:rPr>
                <w:rFonts w:hint="eastAsia"/>
                <w:color w:val="000000" w:themeColor="text1"/>
                <w:szCs w:val="21"/>
                <w:highlight w:val="none"/>
                <w:lang w:val="zh-CN"/>
                <w14:textFill>
                  <w14:solidFill>
                    <w14:schemeClr w14:val="tx1"/>
                  </w14:solidFill>
                </w14:textFill>
              </w:rPr>
              <w:t>生态环境主管部门</w:t>
            </w:r>
            <w:r>
              <w:rPr>
                <w:color w:val="000000" w:themeColor="text1"/>
                <w:szCs w:val="21"/>
                <w:highlight w:val="none"/>
                <w:lang w:val="zh-CN"/>
                <w14:textFill>
                  <w14:solidFill>
                    <w14:schemeClr w14:val="tx1"/>
                  </w14:solidFill>
                </w14:textFill>
              </w:rPr>
              <w:t>通报。</w:t>
            </w:r>
          </w:p>
          <w:p w14:paraId="1FEAEF35">
            <w:pPr>
              <w:spacing w:line="240" w:lineRule="exact"/>
              <w:ind w:firstLine="420" w:firstLineChars="200"/>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⑤调查处理公司内污染事故和污染纠纷：建立污染突发事故分类分级档案和处理制度</w:t>
            </w:r>
            <w:r>
              <w:rPr>
                <w:rFonts w:hint="eastAsia"/>
                <w:color w:val="000000" w:themeColor="text1"/>
                <w:szCs w:val="21"/>
                <w:highlight w:val="none"/>
                <w:lang w:val="zh-CN"/>
                <w14:textFill>
                  <w14:solidFill>
                    <w14:schemeClr w14:val="tx1"/>
                  </w14:solidFill>
                </w14:textFill>
              </w:rPr>
              <w:t>、台账记录</w:t>
            </w:r>
            <w:r>
              <w:rPr>
                <w:color w:val="000000" w:themeColor="text1"/>
                <w:szCs w:val="21"/>
                <w:highlight w:val="none"/>
                <w:lang w:val="zh-CN"/>
                <w14:textFill>
                  <w14:solidFill>
                    <w14:schemeClr w14:val="tx1"/>
                  </w14:solidFill>
                </w14:textFill>
              </w:rPr>
              <w:t>。</w:t>
            </w:r>
          </w:p>
          <w:p w14:paraId="38EED970">
            <w:pPr>
              <w:spacing w:line="240" w:lineRule="exact"/>
              <w:ind w:firstLine="420" w:firstLineChars="200"/>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（3）排污许可要求</w:t>
            </w:r>
          </w:p>
          <w:p w14:paraId="6E0F63D0">
            <w:pPr>
              <w:spacing w:line="240" w:lineRule="exact"/>
              <w:ind w:firstLine="420" w:firstLineChars="200"/>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根据《国民经济行业分类》（GB/T4754-2017），本项目行业类别属于</w:t>
            </w:r>
            <w:r>
              <w:rPr>
                <w:rFonts w:hint="eastAsia"/>
                <w:color w:val="000000" w:themeColor="text1"/>
                <w:szCs w:val="21"/>
                <w:highlight w:val="none"/>
                <w:lang w:val="zh-CN"/>
                <w14:textFill>
                  <w14:solidFill>
                    <w14:schemeClr w14:val="tx1"/>
                  </w14:solidFill>
                </w14:textFill>
              </w:rPr>
              <w:t>C2913橡胶零件制造、C2929塑料零件及其他塑料制品制造、C3670汽车零部件及配件制造，</w:t>
            </w:r>
            <w:r>
              <w:rPr>
                <w:color w:val="000000" w:themeColor="text1"/>
                <w:szCs w:val="21"/>
                <w:highlight w:val="none"/>
                <w:lang w:val="zh-CN"/>
                <w14:textFill>
                  <w14:solidFill>
                    <w14:schemeClr w14:val="tx1"/>
                  </w14:solidFill>
                </w14:textFill>
              </w:rPr>
              <w:t>对照《固定污染源排污许可分类管理名录（2019年版）》，</w:t>
            </w:r>
            <w:r>
              <w:rPr>
                <w:rFonts w:hint="eastAsia"/>
                <w:color w:val="000000" w:themeColor="text1"/>
                <w:szCs w:val="21"/>
                <w:highlight w:val="none"/>
                <w:lang w:val="zh-CN"/>
                <w14:textFill>
                  <w14:solidFill>
                    <w14:schemeClr w14:val="tx1"/>
                  </w14:solidFill>
                </w14:textFill>
              </w:rPr>
              <w:t>排污许可为</w:t>
            </w:r>
            <w:r>
              <w:rPr>
                <w:rFonts w:hint="eastAsia"/>
                <w:color w:val="000000" w:themeColor="text1"/>
                <w:szCs w:val="21"/>
                <w:highlight w:val="none"/>
                <w:lang w:val="en-US" w:eastAsia="zh-CN"/>
                <w14:textFill>
                  <w14:solidFill>
                    <w14:schemeClr w14:val="tx1"/>
                  </w14:solidFill>
                </w14:textFill>
              </w:rPr>
              <w:t>登记</w:t>
            </w:r>
            <w:r>
              <w:rPr>
                <w:rFonts w:hint="eastAsia"/>
                <w:color w:val="000000" w:themeColor="text1"/>
                <w:szCs w:val="21"/>
                <w:highlight w:val="none"/>
                <w:lang w:val="zh-CN"/>
                <w14:textFill>
                  <w14:solidFill>
                    <w14:schemeClr w14:val="tx1"/>
                  </w14:solidFill>
                </w14:textFill>
              </w:rPr>
              <w:t>管理</w:t>
            </w:r>
            <w:r>
              <w:rPr>
                <w:color w:val="000000" w:themeColor="text1"/>
                <w:szCs w:val="21"/>
                <w:highlight w:val="none"/>
                <w:lang w:val="zh-CN"/>
                <w14:textFill>
                  <w14:solidFill>
                    <w14:schemeClr w14:val="tx1"/>
                  </w14:solidFill>
                </w14:textFill>
              </w:rPr>
              <w:t>。</w:t>
            </w:r>
          </w:p>
          <w:p w14:paraId="6D099123">
            <w:pPr>
              <w:spacing w:line="240" w:lineRule="exact"/>
              <w:ind w:firstLine="420" w:firstLineChars="20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（4）信息公开</w:t>
            </w:r>
          </w:p>
          <w:p w14:paraId="6A442272">
            <w:pPr>
              <w:spacing w:line="240" w:lineRule="exact"/>
              <w:ind w:firstLine="420" w:firstLineChars="200"/>
              <w:jc w:val="lef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向社会公开拟建项目污染物排放清单，明确污染物排放的管理要求。包括工程组成及原辅材料组分要求，建设项目拟采取的环境保护措施及主要运行参数，排放的污染物种类、排放浓度和总量指标，排污口信息，执行的环境标准，环境风险防范措施以及环境监测等</w:t>
            </w:r>
            <w:r>
              <w:rPr>
                <w:rFonts w:hint="eastAsia"/>
                <w:color w:val="000000" w:themeColor="text1"/>
                <w:szCs w:val="21"/>
                <w:highlight w:val="none"/>
                <w:lang w:val="zh-CN"/>
                <w14:textFill>
                  <w14:solidFill>
                    <w14:schemeClr w14:val="tx1"/>
                  </w14:solidFill>
                </w14:textFill>
              </w:rPr>
              <w:t>。</w:t>
            </w:r>
          </w:p>
          <w:p w14:paraId="212D6A64">
            <w:pPr>
              <w:spacing w:line="240" w:lineRule="exact"/>
              <w:ind w:firstLine="420" w:firstLineChars="20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（5）应急预案</w:t>
            </w:r>
          </w:p>
          <w:p w14:paraId="167D4F35">
            <w:pPr>
              <w:spacing w:line="240" w:lineRule="exact"/>
              <w:ind w:firstLine="420" w:firstLineChars="200"/>
              <w:jc w:val="left"/>
              <w:rPr>
                <w:color w:val="000000" w:themeColor="text1"/>
                <w:szCs w:val="21"/>
                <w:highlight w:val="none"/>
                <w:lang w:val="zh-CN"/>
                <w14:textFill>
                  <w14:solidFill>
                    <w14:schemeClr w14:val="tx1"/>
                  </w14:solidFill>
                </w14:textFill>
              </w:rPr>
            </w:pPr>
            <w:r>
              <w:rPr>
                <w:rFonts w:hint="eastAsia"/>
                <w:color w:val="000000" w:themeColor="text1"/>
                <w:szCs w:val="21"/>
                <w:highlight w:val="none"/>
                <w:lang w:val="zh-CN"/>
                <w14:textFill>
                  <w14:solidFill>
                    <w14:schemeClr w14:val="tx1"/>
                  </w14:solidFill>
                </w14:textFill>
              </w:rPr>
              <w:t>根据《关于印发〈企业事业单位突发环境事件应急预案备案管理办法（试行）〉的通知》（环发〔2015〕4号）、《企业突发环境事件风险分级方法》（HJ941-2018），建设单位应编制事故应急预案及编制说明、环境事件风险评估报告、环境应急资源调查报告，并按照管理办法要求进行备案。</w:t>
            </w:r>
          </w:p>
          <w:p w14:paraId="103971CF">
            <w:pPr>
              <w:spacing w:line="240" w:lineRule="exact"/>
              <w:ind w:firstLine="420" w:firstLineChars="200"/>
              <w:jc w:val="left"/>
              <w:rPr>
                <w:color w:val="000000" w:themeColor="text1"/>
                <w:szCs w:val="21"/>
                <w:highlight w:val="none"/>
                <w:lang w:val="zh-CN"/>
                <w14:textFill>
                  <w14:solidFill>
                    <w14:schemeClr w14:val="tx1"/>
                  </w14:solidFill>
                </w14:textFill>
              </w:rPr>
            </w:pPr>
            <w:r>
              <w:rPr>
                <w:rFonts w:hint="eastAsia"/>
                <w:color w:val="000000" w:themeColor="text1"/>
                <w:szCs w:val="21"/>
                <w:highlight w:val="none"/>
                <w:lang w:val="zh-CN"/>
                <w14:textFill>
                  <w14:solidFill>
                    <w14:schemeClr w14:val="tx1"/>
                  </w14:solidFill>
                </w14:textFill>
              </w:rPr>
              <w:t>（</w:t>
            </w:r>
            <w:r>
              <w:rPr>
                <w:rFonts w:hint="eastAsia"/>
                <w:color w:val="000000" w:themeColor="text1"/>
                <w:szCs w:val="21"/>
                <w:highlight w:val="none"/>
                <w14:textFill>
                  <w14:solidFill>
                    <w14:schemeClr w14:val="tx1"/>
                  </w14:solidFill>
                </w14:textFill>
              </w:rPr>
              <w:t>6</w:t>
            </w:r>
            <w:r>
              <w:rPr>
                <w:rFonts w:hint="eastAsia"/>
                <w:color w:val="000000" w:themeColor="text1"/>
                <w:szCs w:val="21"/>
                <w:highlight w:val="none"/>
                <w:lang w:val="zh-CN"/>
                <w14:textFill>
                  <w14:solidFill>
                    <w14:schemeClr w14:val="tx1"/>
                  </w14:solidFill>
                </w14:textFill>
              </w:rPr>
              <w:t>）竣工验收</w:t>
            </w:r>
          </w:p>
          <w:p w14:paraId="66EE3FC9">
            <w:pPr>
              <w:spacing w:line="240" w:lineRule="exact"/>
              <w:ind w:firstLine="420" w:firstLineChars="200"/>
              <w:jc w:val="left"/>
              <w:rPr>
                <w:color w:val="000000" w:themeColor="text1"/>
                <w:szCs w:val="21"/>
                <w:highlight w:val="none"/>
                <w:lang w:val="zh-CN"/>
                <w14:textFill>
                  <w14:solidFill>
                    <w14:schemeClr w14:val="tx1"/>
                  </w14:solidFill>
                </w14:textFill>
              </w:rPr>
            </w:pPr>
            <w:r>
              <w:rPr>
                <w:rFonts w:hint="eastAsia"/>
                <w:color w:val="000000" w:themeColor="text1"/>
                <w:szCs w:val="21"/>
                <w:highlight w:val="none"/>
                <w:lang w:val="zh-CN"/>
                <w14:textFill>
                  <w14:solidFill>
                    <w14:schemeClr w14:val="tx1"/>
                  </w14:solidFill>
                </w14:textFill>
              </w:rPr>
              <w:t>根据《建设项目环境保护管理条例》（2017年修订）和《关于发布〈建设项目竣工环境保护验收暂行办法〉的公告》（国环规环评〔2017〕4号），本项目建设单位应依据建设项目竣工环境保护验收技术规范、环评文件及其批复的要求，自主开展环境保护竣工验收相关工作。建设项目配套建设的环境保护设施经验收合格，方可投入生产或者使用，未经验收或者验收不合格的，不得投入生产或者使用。</w:t>
            </w:r>
          </w:p>
        </w:tc>
      </w:tr>
    </w:tbl>
    <w:p w14:paraId="21ECCC38">
      <w:pPr>
        <w:pStyle w:val="34"/>
        <w:jc w:val="center"/>
        <w:outlineLvl w:val="0"/>
        <w:rPr>
          <w:rFonts w:ascii="黑体" w:hAnsi="黑体" w:eastAsia="黑体" w:cs="黑体"/>
          <w:snapToGrid w:val="0"/>
          <w:color w:val="000000" w:themeColor="text1"/>
          <w:sz w:val="30"/>
          <w:szCs w:val="30"/>
          <w:highlight w:val="none"/>
          <w14:textFill>
            <w14:solidFill>
              <w14:schemeClr w14:val="tx1"/>
            </w14:solidFill>
          </w14:textFill>
        </w:rPr>
      </w:pPr>
      <w:r>
        <w:rPr>
          <w:rFonts w:ascii="Times New Roman" w:hAnsi="Times New Roman"/>
          <w:snapToGrid w:val="0"/>
          <w:color w:val="000000" w:themeColor="text1"/>
          <w:highlight w:val="none"/>
          <w14:textFill>
            <w14:solidFill>
              <w14:schemeClr w14:val="tx1"/>
            </w14:solidFill>
          </w14:textFill>
        </w:rPr>
        <w:br w:type="page"/>
      </w:r>
      <w:r>
        <w:rPr>
          <w:rFonts w:ascii="黑体" w:hAnsi="黑体" w:eastAsia="黑体" w:cs="黑体"/>
          <w:snapToGrid w:val="0"/>
          <w:color w:val="000000" w:themeColor="text1"/>
          <w:sz w:val="30"/>
          <w:szCs w:val="30"/>
          <w:highlight w:val="none"/>
          <w14:textFill>
            <w14:solidFill>
              <w14:schemeClr w14:val="tx1"/>
            </w14:solidFill>
          </w14:textFill>
        </w:rPr>
        <w:t>六、结论</w:t>
      </w:r>
    </w:p>
    <w:tbl>
      <w:tblPr>
        <w:tblStyle w:val="3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1FE0BA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vAlign w:val="center"/>
          </w:tcPr>
          <w:p w14:paraId="56EB1436">
            <w:pPr>
              <w:spacing w:line="44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综上所述，本项目符合国家产业政策，选址合理。只要保证在运营期间加强设备检修及维护，确保各环保处理设施稳定运行，项目对周边环境影响较小。同时，建设单位应按照环境保护的原则，认真执行</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三同时</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政策，落实各项污染防治措施，并切实保证污染治理设施正常稳定地运行，在此基础上，本项目的环境影响</w:t>
            </w:r>
            <w:r>
              <w:rPr>
                <w:rFonts w:hint="eastAsia"/>
                <w:color w:val="000000" w:themeColor="text1"/>
                <w:sz w:val="24"/>
                <w:highlight w:val="none"/>
                <w:lang w:eastAsia="zh-CN"/>
                <w14:textFill>
                  <w14:solidFill>
                    <w14:schemeClr w14:val="tx1"/>
                  </w14:solidFill>
                </w14:textFill>
              </w:rPr>
              <w:t>可以</w:t>
            </w:r>
            <w:r>
              <w:rPr>
                <w:color w:val="000000" w:themeColor="text1"/>
                <w:sz w:val="24"/>
                <w:highlight w:val="none"/>
                <w14:textFill>
                  <w14:solidFill>
                    <w14:schemeClr w14:val="tx1"/>
                  </w14:solidFill>
                </w14:textFill>
              </w:rPr>
              <w:t>得到有效控制。从环境保护的角度来看，本项目建设是可行的。</w:t>
            </w:r>
          </w:p>
        </w:tc>
      </w:tr>
    </w:tbl>
    <w:p w14:paraId="149AEF0D">
      <w:pPr>
        <w:rPr>
          <w:color w:val="000000" w:themeColor="text1"/>
          <w:highlight w:val="none"/>
          <w14:textFill>
            <w14:solidFill>
              <w14:schemeClr w14:val="tx1"/>
            </w14:solidFill>
          </w14:textFill>
        </w:rPr>
        <w:sectPr>
          <w:footerReference r:id="rId8" w:type="default"/>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6E48D16B">
      <w:pPr>
        <w:pStyle w:val="34"/>
        <w:adjustRightInd w:val="0"/>
        <w:snapToGrid w:val="0"/>
        <w:spacing w:before="0" w:beforeAutospacing="0" w:after="0" w:afterAutospacing="0" w:line="648" w:lineRule="auto"/>
        <w:outlineLvl w:val="0"/>
        <w:rPr>
          <w:rFonts w:ascii="Times New Roman" w:hAnsi="Times New Roman"/>
          <w:snapToGrid w:val="0"/>
          <w:color w:val="000000" w:themeColor="text1"/>
          <w:sz w:val="32"/>
          <w:szCs w:val="32"/>
          <w:highlight w:val="none"/>
          <w14:textFill>
            <w14:solidFill>
              <w14:schemeClr w14:val="tx1"/>
            </w14:solidFill>
          </w14:textFill>
        </w:rPr>
      </w:pPr>
      <w:r>
        <w:rPr>
          <w:rFonts w:ascii="Times New Roman" w:hAnsi="Times New Roman"/>
          <w:snapToGrid w:val="0"/>
          <w:color w:val="000000" w:themeColor="text1"/>
          <w:sz w:val="32"/>
          <w:szCs w:val="32"/>
          <w:highlight w:val="none"/>
          <w14:textFill>
            <w14:solidFill>
              <w14:schemeClr w14:val="tx1"/>
            </w14:solidFill>
          </w14:textFill>
        </w:rPr>
        <w:t>附表</w:t>
      </w:r>
    </w:p>
    <w:p w14:paraId="47F0EF43">
      <w:pPr>
        <w:pStyle w:val="34"/>
        <w:adjustRightInd w:val="0"/>
        <w:snapToGrid w:val="0"/>
        <w:spacing w:before="0" w:beforeAutospacing="0" w:after="0" w:afterAutospacing="0" w:line="552" w:lineRule="auto"/>
        <w:jc w:val="center"/>
        <w:outlineLvl w:val="0"/>
        <w:rPr>
          <w:rFonts w:ascii="Times New Roman" w:hAnsi="Times New Roman"/>
          <w:snapToGrid w:val="0"/>
          <w:color w:val="000000" w:themeColor="text1"/>
          <w:sz w:val="38"/>
          <w:szCs w:val="38"/>
          <w:highlight w:val="none"/>
          <w14:textFill>
            <w14:solidFill>
              <w14:schemeClr w14:val="tx1"/>
            </w14:solidFill>
          </w14:textFill>
        </w:rPr>
      </w:pPr>
      <w:bookmarkStart w:id="18" w:name="OLE_LINK37"/>
      <w:r>
        <w:rPr>
          <w:rFonts w:ascii="Times New Roman" w:hAnsi="Times New Roman"/>
          <w:snapToGrid w:val="0"/>
          <w:color w:val="000000" w:themeColor="text1"/>
          <w:sz w:val="38"/>
          <w:szCs w:val="38"/>
          <w:highlight w:val="none"/>
          <w14:textFill>
            <w14:solidFill>
              <w14:schemeClr w14:val="tx1"/>
            </w14:solidFill>
          </w14:textFill>
        </w:rPr>
        <w:t>建设项目污染物排放量汇总表</w:t>
      </w:r>
    </w:p>
    <w:bookmarkEnd w:id="18"/>
    <w:tbl>
      <w:tblPr>
        <w:tblStyle w:val="38"/>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2"/>
        <w:gridCol w:w="1227"/>
        <w:gridCol w:w="1644"/>
        <w:gridCol w:w="1391"/>
        <w:gridCol w:w="1253"/>
        <w:gridCol w:w="1736"/>
        <w:gridCol w:w="1604"/>
        <w:gridCol w:w="1690"/>
        <w:gridCol w:w="1885"/>
      </w:tblGrid>
      <w:tr w14:paraId="4B0FAA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93" w:type="pct"/>
            <w:tcBorders>
              <w:tl2br w:val="single" w:color="auto" w:sz="4" w:space="0"/>
            </w:tcBorders>
            <w:tcMar>
              <w:left w:w="28" w:type="dxa"/>
              <w:right w:w="28" w:type="dxa"/>
            </w:tcMar>
            <w:vAlign w:val="center"/>
          </w:tcPr>
          <w:p w14:paraId="387FE89F">
            <w:pPr>
              <w:pStyle w:val="78"/>
              <w:spacing w:beforeLines="0" w:afterLines="0" w:line="240" w:lineRule="auto"/>
              <w:jc w:val="center"/>
              <w:rPr>
                <w:rFonts w:ascii="Times New Roman"/>
                <w:snapToGrid w:val="0"/>
                <w:color w:val="000000" w:themeColor="text1"/>
                <w:spacing w:val="-6"/>
                <w:kern w:val="21"/>
                <w:sz w:val="24"/>
                <w:szCs w:val="24"/>
                <w:highlight w:val="none"/>
                <w14:textFill>
                  <w14:solidFill>
                    <w14:schemeClr w14:val="tx1"/>
                  </w14:solidFill>
                </w14:textFill>
              </w:rPr>
            </w:pPr>
            <w:r>
              <w:rPr>
                <w:rFonts w:hint="eastAsia" w:ascii="Times New Roman"/>
                <w:snapToGrid w:val="0"/>
                <w:color w:val="000000" w:themeColor="text1"/>
                <w:spacing w:val="-6"/>
                <w:kern w:val="21"/>
                <w:sz w:val="24"/>
                <w:szCs w:val="24"/>
                <w:highlight w:val="none"/>
                <w:lang w:val="en-US" w:eastAsia="zh-CN"/>
                <w14:textFill>
                  <w14:solidFill>
                    <w14:schemeClr w14:val="tx1"/>
                  </w14:solidFill>
                </w14:textFill>
              </w:rPr>
              <w:t xml:space="preserve">     </w:t>
            </w:r>
            <w:r>
              <w:rPr>
                <w:rFonts w:ascii="Times New Roman"/>
                <w:snapToGrid w:val="0"/>
                <w:color w:val="000000" w:themeColor="text1"/>
                <w:spacing w:val="-6"/>
                <w:kern w:val="21"/>
                <w:sz w:val="24"/>
                <w:szCs w:val="24"/>
                <w:highlight w:val="none"/>
                <w14:textFill>
                  <w14:solidFill>
                    <w14:schemeClr w14:val="tx1"/>
                  </w14:solidFill>
                </w14:textFill>
              </w:rPr>
              <w:t>项目</w:t>
            </w:r>
          </w:p>
          <w:p w14:paraId="63EBCB08">
            <w:pPr>
              <w:pStyle w:val="78"/>
              <w:spacing w:beforeLines="0" w:afterLines="0" w:line="240" w:lineRule="auto"/>
              <w:jc w:val="center"/>
              <w:rPr>
                <w:rFonts w:ascii="Times New Roman"/>
                <w:snapToGrid w:val="0"/>
                <w:color w:val="000000" w:themeColor="text1"/>
                <w:spacing w:val="-6"/>
                <w:kern w:val="21"/>
                <w:sz w:val="24"/>
                <w:szCs w:val="24"/>
                <w:highlight w:val="none"/>
                <w14:textFill>
                  <w14:solidFill>
                    <w14:schemeClr w14:val="tx1"/>
                  </w14:solidFill>
                </w14:textFill>
              </w:rPr>
            </w:pPr>
          </w:p>
          <w:p w14:paraId="7666BD8C">
            <w:pPr>
              <w:pStyle w:val="78"/>
              <w:spacing w:beforeLines="0" w:afterLines="0" w:line="240" w:lineRule="auto"/>
              <w:jc w:val="center"/>
              <w:rPr>
                <w:rFonts w:ascii="Times New Roman"/>
                <w:snapToGrid w:val="0"/>
                <w:color w:val="000000" w:themeColor="text1"/>
                <w:spacing w:val="-6"/>
                <w:kern w:val="21"/>
                <w:sz w:val="24"/>
                <w:szCs w:val="24"/>
                <w:highlight w:val="none"/>
                <w14:textFill>
                  <w14:solidFill>
                    <w14:schemeClr w14:val="tx1"/>
                  </w14:solidFill>
                </w14:textFill>
              </w:rPr>
            </w:pPr>
          </w:p>
          <w:p w14:paraId="19DE1B4E">
            <w:pPr>
              <w:pStyle w:val="78"/>
              <w:spacing w:beforeLines="0" w:afterLines="0" w:line="240" w:lineRule="auto"/>
              <w:jc w:val="center"/>
              <w:rPr>
                <w:rFonts w:ascii="Times New Roman"/>
                <w:snapToGrid w:val="0"/>
                <w:color w:val="000000" w:themeColor="text1"/>
                <w:spacing w:val="-6"/>
                <w:kern w:val="21"/>
                <w:sz w:val="24"/>
                <w:szCs w:val="24"/>
                <w:highlight w:val="none"/>
                <w14:textFill>
                  <w14:solidFill>
                    <w14:schemeClr w14:val="tx1"/>
                  </w14:solidFill>
                </w14:textFill>
              </w:rPr>
            </w:pPr>
          </w:p>
          <w:p w14:paraId="3E7621ED">
            <w:pPr>
              <w:pStyle w:val="78"/>
              <w:spacing w:beforeLines="0" w:afterLines="0" w:line="240" w:lineRule="auto"/>
              <w:jc w:val="center"/>
              <w:rPr>
                <w:rFonts w:ascii="Times New Roman"/>
                <w:snapToGrid w:val="0"/>
                <w:color w:val="000000" w:themeColor="text1"/>
                <w:spacing w:val="-6"/>
                <w:kern w:val="21"/>
                <w:sz w:val="24"/>
                <w:szCs w:val="24"/>
                <w:highlight w:val="none"/>
                <w14:textFill>
                  <w14:solidFill>
                    <w14:schemeClr w14:val="tx1"/>
                  </w14:solidFill>
                </w14:textFill>
              </w:rPr>
            </w:pPr>
          </w:p>
          <w:p w14:paraId="2AFFF632">
            <w:pPr>
              <w:pStyle w:val="78"/>
              <w:spacing w:beforeLines="0" w:afterLines="0" w:line="240" w:lineRule="auto"/>
              <w:jc w:val="both"/>
              <w:rPr>
                <w:rFonts w:ascii="Times New Roman"/>
                <w:snapToGrid w:val="0"/>
                <w:color w:val="000000" w:themeColor="text1"/>
                <w:spacing w:val="-6"/>
                <w:kern w:val="21"/>
                <w:sz w:val="24"/>
                <w:szCs w:val="24"/>
                <w:highlight w:val="none"/>
                <w14:textFill>
                  <w14:solidFill>
                    <w14:schemeClr w14:val="tx1"/>
                  </w14:solidFill>
                </w14:textFill>
              </w:rPr>
            </w:pPr>
            <w:r>
              <w:rPr>
                <w:rFonts w:ascii="Times New Roman"/>
                <w:snapToGrid w:val="0"/>
                <w:color w:val="000000" w:themeColor="text1"/>
                <w:spacing w:val="-6"/>
                <w:kern w:val="21"/>
                <w:sz w:val="24"/>
                <w:szCs w:val="24"/>
                <w:highlight w:val="none"/>
                <w14:textFill>
                  <w14:solidFill>
                    <w14:schemeClr w14:val="tx1"/>
                  </w14:solidFill>
                </w14:textFill>
              </w:rPr>
              <w:t>分类</w:t>
            </w:r>
          </w:p>
        </w:tc>
        <w:tc>
          <w:tcPr>
            <w:tcW w:w="454" w:type="pct"/>
            <w:tcMar>
              <w:left w:w="28" w:type="dxa"/>
              <w:right w:w="28" w:type="dxa"/>
            </w:tcMar>
            <w:vAlign w:val="center"/>
          </w:tcPr>
          <w:p w14:paraId="3828FEF1">
            <w:pPr>
              <w:pStyle w:val="78"/>
              <w:spacing w:beforeLines="0" w:afterLines="0" w:line="240" w:lineRule="auto"/>
              <w:jc w:val="center"/>
              <w:rPr>
                <w:rFonts w:ascii="Times New Roman"/>
                <w:snapToGrid w:val="0"/>
                <w:color w:val="000000" w:themeColor="text1"/>
                <w:spacing w:val="-6"/>
                <w:kern w:val="21"/>
                <w:sz w:val="24"/>
                <w:szCs w:val="24"/>
                <w:highlight w:val="none"/>
                <w14:textFill>
                  <w14:solidFill>
                    <w14:schemeClr w14:val="tx1"/>
                  </w14:solidFill>
                </w14:textFill>
              </w:rPr>
            </w:pPr>
            <w:r>
              <w:rPr>
                <w:rFonts w:ascii="Times New Roman"/>
                <w:snapToGrid w:val="0"/>
                <w:color w:val="000000" w:themeColor="text1"/>
                <w:spacing w:val="-6"/>
                <w:kern w:val="21"/>
                <w:sz w:val="24"/>
                <w:szCs w:val="24"/>
                <w:highlight w:val="none"/>
                <w14:textFill>
                  <w14:solidFill>
                    <w14:schemeClr w14:val="tx1"/>
                  </w14:solidFill>
                </w14:textFill>
              </w:rPr>
              <w:t>污染物名称</w:t>
            </w:r>
          </w:p>
        </w:tc>
        <w:tc>
          <w:tcPr>
            <w:tcW w:w="609" w:type="pct"/>
            <w:tcMar>
              <w:left w:w="28" w:type="dxa"/>
              <w:right w:w="28" w:type="dxa"/>
            </w:tcMar>
            <w:vAlign w:val="center"/>
          </w:tcPr>
          <w:p w14:paraId="3CA77DD5">
            <w:pPr>
              <w:pStyle w:val="78"/>
              <w:spacing w:beforeLines="0" w:afterLines="0" w:line="240" w:lineRule="auto"/>
              <w:jc w:val="center"/>
              <w:rPr>
                <w:rFonts w:ascii="Times New Roman"/>
                <w:snapToGrid w:val="0"/>
                <w:color w:val="000000" w:themeColor="text1"/>
                <w:spacing w:val="-6"/>
                <w:kern w:val="21"/>
                <w:sz w:val="24"/>
                <w:szCs w:val="24"/>
                <w:highlight w:val="none"/>
                <w14:textFill>
                  <w14:solidFill>
                    <w14:schemeClr w14:val="tx1"/>
                  </w14:solidFill>
                </w14:textFill>
              </w:rPr>
            </w:pPr>
            <w:r>
              <w:rPr>
                <w:rFonts w:ascii="Times New Roman"/>
                <w:snapToGrid w:val="0"/>
                <w:color w:val="000000" w:themeColor="text1"/>
                <w:spacing w:val="-6"/>
                <w:kern w:val="21"/>
                <w:sz w:val="24"/>
                <w:szCs w:val="24"/>
                <w:highlight w:val="none"/>
                <w14:textFill>
                  <w14:solidFill>
                    <w14:schemeClr w14:val="tx1"/>
                  </w14:solidFill>
                </w14:textFill>
              </w:rPr>
              <w:t>现有工程</w:t>
            </w:r>
          </w:p>
          <w:p w14:paraId="17BEB6D7">
            <w:pPr>
              <w:pStyle w:val="78"/>
              <w:spacing w:beforeLines="0" w:afterLines="0" w:line="240" w:lineRule="auto"/>
              <w:jc w:val="center"/>
              <w:rPr>
                <w:rFonts w:ascii="Times New Roman"/>
                <w:snapToGrid w:val="0"/>
                <w:color w:val="000000" w:themeColor="text1"/>
                <w:spacing w:val="-6"/>
                <w:kern w:val="21"/>
                <w:sz w:val="24"/>
                <w:szCs w:val="24"/>
                <w:highlight w:val="none"/>
                <w14:textFill>
                  <w14:solidFill>
                    <w14:schemeClr w14:val="tx1"/>
                  </w14:solidFill>
                </w14:textFill>
              </w:rPr>
            </w:pPr>
            <w:r>
              <w:rPr>
                <w:rFonts w:ascii="Times New Roman"/>
                <w:snapToGrid w:val="0"/>
                <w:color w:val="000000" w:themeColor="text1"/>
                <w:spacing w:val="-6"/>
                <w:kern w:val="21"/>
                <w:sz w:val="24"/>
                <w:szCs w:val="24"/>
                <w:highlight w:val="none"/>
                <w14:textFill>
                  <w14:solidFill>
                    <w14:schemeClr w14:val="tx1"/>
                  </w14:solidFill>
                </w14:textFill>
              </w:rPr>
              <w:t>排放量（固体废物产生量）</w:t>
            </w:r>
            <w:r>
              <w:rPr>
                <w:rFonts w:ascii="Times New Roman"/>
                <w:snapToGrid w:val="0"/>
                <w:color w:val="000000" w:themeColor="text1"/>
                <w:spacing w:val="-6"/>
                <w:kern w:val="21"/>
                <w:sz w:val="24"/>
                <w:szCs w:val="24"/>
                <w:highlight w:val="none"/>
                <w14:textFill>
                  <w14:solidFill>
                    <w14:schemeClr w14:val="tx1"/>
                  </w14:solidFill>
                </w14:textFill>
              </w:rPr>
              <w:fldChar w:fldCharType="begin"/>
            </w:r>
            <w:r>
              <w:rPr>
                <w:rFonts w:ascii="Times New Roman"/>
                <w:snapToGrid w:val="0"/>
                <w:color w:val="000000" w:themeColor="text1"/>
                <w:spacing w:val="-6"/>
                <w:kern w:val="21"/>
                <w:sz w:val="24"/>
                <w:szCs w:val="24"/>
                <w:highlight w:val="none"/>
                <w14:textFill>
                  <w14:solidFill>
                    <w14:schemeClr w14:val="tx1"/>
                  </w14:solidFill>
                </w14:textFill>
              </w:rPr>
              <w:instrText xml:space="preserve"> = 1 \* GB3 \* MERGEFORMAT </w:instrText>
            </w:r>
            <w:r>
              <w:rPr>
                <w:rFonts w:ascii="Times New Roman"/>
                <w:snapToGrid w:val="0"/>
                <w:color w:val="000000" w:themeColor="text1"/>
                <w:spacing w:val="-6"/>
                <w:kern w:val="21"/>
                <w:sz w:val="24"/>
                <w:szCs w:val="24"/>
                <w:highlight w:val="none"/>
                <w14:textFill>
                  <w14:solidFill>
                    <w14:schemeClr w14:val="tx1"/>
                  </w14:solidFill>
                </w14:textFill>
              </w:rPr>
              <w:fldChar w:fldCharType="separate"/>
            </w:r>
            <w:r>
              <w:rPr>
                <w:rFonts w:ascii="Times New Roman"/>
                <w:color w:val="000000" w:themeColor="text1"/>
                <w:kern w:val="2"/>
                <w:sz w:val="24"/>
                <w:szCs w:val="24"/>
                <w:highlight w:val="none"/>
                <w14:textFill>
                  <w14:solidFill>
                    <w14:schemeClr w14:val="tx1"/>
                  </w14:solidFill>
                </w14:textFill>
              </w:rPr>
              <w:t>①</w:t>
            </w:r>
            <w:r>
              <w:rPr>
                <w:rFonts w:ascii="Times New Roman"/>
                <w:snapToGrid w:val="0"/>
                <w:color w:val="000000" w:themeColor="text1"/>
                <w:spacing w:val="-6"/>
                <w:kern w:val="21"/>
                <w:sz w:val="24"/>
                <w:szCs w:val="24"/>
                <w:highlight w:val="none"/>
                <w14:textFill>
                  <w14:solidFill>
                    <w14:schemeClr w14:val="tx1"/>
                  </w14:solidFill>
                </w14:textFill>
              </w:rPr>
              <w:fldChar w:fldCharType="end"/>
            </w:r>
          </w:p>
        </w:tc>
        <w:tc>
          <w:tcPr>
            <w:tcW w:w="515" w:type="pct"/>
            <w:tcMar>
              <w:left w:w="28" w:type="dxa"/>
              <w:right w:w="28" w:type="dxa"/>
            </w:tcMar>
            <w:vAlign w:val="center"/>
          </w:tcPr>
          <w:p w14:paraId="52135C8A">
            <w:pPr>
              <w:pStyle w:val="78"/>
              <w:spacing w:beforeLines="0" w:afterLines="0" w:line="240" w:lineRule="auto"/>
              <w:jc w:val="center"/>
              <w:rPr>
                <w:rFonts w:ascii="Times New Roman"/>
                <w:snapToGrid w:val="0"/>
                <w:color w:val="000000" w:themeColor="text1"/>
                <w:spacing w:val="-6"/>
                <w:kern w:val="21"/>
                <w:sz w:val="24"/>
                <w:szCs w:val="24"/>
                <w:highlight w:val="none"/>
                <w14:textFill>
                  <w14:solidFill>
                    <w14:schemeClr w14:val="tx1"/>
                  </w14:solidFill>
                </w14:textFill>
              </w:rPr>
            </w:pPr>
            <w:r>
              <w:rPr>
                <w:rFonts w:ascii="Times New Roman"/>
                <w:snapToGrid w:val="0"/>
                <w:color w:val="000000" w:themeColor="text1"/>
                <w:spacing w:val="-6"/>
                <w:kern w:val="21"/>
                <w:sz w:val="24"/>
                <w:szCs w:val="24"/>
                <w:highlight w:val="none"/>
                <w14:textFill>
                  <w14:solidFill>
                    <w14:schemeClr w14:val="tx1"/>
                  </w14:solidFill>
                </w14:textFill>
              </w:rPr>
              <w:t>现有工程</w:t>
            </w:r>
          </w:p>
          <w:p w14:paraId="56D5B319">
            <w:pPr>
              <w:pStyle w:val="78"/>
              <w:spacing w:beforeLines="0" w:afterLines="0" w:line="240" w:lineRule="auto"/>
              <w:jc w:val="center"/>
              <w:rPr>
                <w:rFonts w:ascii="Times New Roman"/>
                <w:snapToGrid w:val="0"/>
                <w:color w:val="000000" w:themeColor="text1"/>
                <w:spacing w:val="-6"/>
                <w:kern w:val="21"/>
                <w:sz w:val="24"/>
                <w:szCs w:val="24"/>
                <w:highlight w:val="none"/>
                <w14:textFill>
                  <w14:solidFill>
                    <w14:schemeClr w14:val="tx1"/>
                  </w14:solidFill>
                </w14:textFill>
              </w:rPr>
            </w:pPr>
            <w:r>
              <w:rPr>
                <w:rFonts w:ascii="Times New Roman"/>
                <w:snapToGrid w:val="0"/>
                <w:color w:val="000000" w:themeColor="text1"/>
                <w:spacing w:val="-6"/>
                <w:kern w:val="21"/>
                <w:sz w:val="24"/>
                <w:szCs w:val="24"/>
                <w:highlight w:val="none"/>
                <w14:textFill>
                  <w14:solidFill>
                    <w14:schemeClr w14:val="tx1"/>
                  </w14:solidFill>
                </w14:textFill>
              </w:rPr>
              <w:t>许可排放量</w:t>
            </w:r>
          </w:p>
          <w:p w14:paraId="0B1A0E6D">
            <w:pPr>
              <w:pStyle w:val="78"/>
              <w:spacing w:beforeLines="0" w:afterLines="0"/>
              <w:jc w:val="center"/>
              <w:rPr>
                <w:rFonts w:ascii="Times New Roman"/>
                <w:snapToGrid w:val="0"/>
                <w:color w:val="000000" w:themeColor="text1"/>
                <w:spacing w:val="-6"/>
                <w:kern w:val="21"/>
                <w:sz w:val="24"/>
                <w:szCs w:val="24"/>
                <w:highlight w:val="none"/>
                <w14:textFill>
                  <w14:solidFill>
                    <w14:schemeClr w14:val="tx1"/>
                  </w14:solidFill>
                </w14:textFill>
              </w:rPr>
            </w:pPr>
            <w:r>
              <w:rPr>
                <w:rFonts w:ascii="Times New Roman"/>
                <w:snapToGrid w:val="0"/>
                <w:color w:val="000000" w:themeColor="text1"/>
                <w:spacing w:val="-6"/>
                <w:kern w:val="21"/>
                <w:sz w:val="24"/>
                <w:szCs w:val="24"/>
                <w:highlight w:val="none"/>
                <w14:textFill>
                  <w14:solidFill>
                    <w14:schemeClr w14:val="tx1"/>
                  </w14:solidFill>
                </w14:textFill>
              </w:rPr>
              <w:fldChar w:fldCharType="begin"/>
            </w:r>
            <w:r>
              <w:rPr>
                <w:rFonts w:ascii="Times New Roman"/>
                <w:snapToGrid w:val="0"/>
                <w:color w:val="000000" w:themeColor="text1"/>
                <w:spacing w:val="-6"/>
                <w:kern w:val="21"/>
                <w:sz w:val="24"/>
                <w:szCs w:val="24"/>
                <w:highlight w:val="none"/>
                <w14:textFill>
                  <w14:solidFill>
                    <w14:schemeClr w14:val="tx1"/>
                  </w14:solidFill>
                </w14:textFill>
              </w:rPr>
              <w:instrText xml:space="preserve"> = 2 \* GB3 \* MERGEFORMAT </w:instrText>
            </w:r>
            <w:r>
              <w:rPr>
                <w:rFonts w:ascii="Times New Roman"/>
                <w:snapToGrid w:val="0"/>
                <w:color w:val="000000" w:themeColor="text1"/>
                <w:spacing w:val="-6"/>
                <w:kern w:val="21"/>
                <w:sz w:val="24"/>
                <w:szCs w:val="24"/>
                <w:highlight w:val="none"/>
                <w14:textFill>
                  <w14:solidFill>
                    <w14:schemeClr w14:val="tx1"/>
                  </w14:solidFill>
                </w14:textFill>
              </w:rPr>
              <w:fldChar w:fldCharType="separate"/>
            </w:r>
            <w:r>
              <w:rPr>
                <w:rFonts w:ascii="Times New Roman"/>
                <w:snapToGrid w:val="0"/>
                <w:color w:val="000000" w:themeColor="text1"/>
                <w:spacing w:val="-6"/>
                <w:kern w:val="21"/>
                <w:sz w:val="24"/>
                <w:szCs w:val="24"/>
                <w:highlight w:val="none"/>
                <w14:textFill>
                  <w14:solidFill>
                    <w14:schemeClr w14:val="tx1"/>
                  </w14:solidFill>
                </w14:textFill>
              </w:rPr>
              <w:t>②</w:t>
            </w:r>
            <w:r>
              <w:rPr>
                <w:rFonts w:ascii="Times New Roman"/>
                <w:snapToGrid w:val="0"/>
                <w:color w:val="000000" w:themeColor="text1"/>
                <w:spacing w:val="-6"/>
                <w:kern w:val="21"/>
                <w:sz w:val="24"/>
                <w:szCs w:val="24"/>
                <w:highlight w:val="none"/>
                <w14:textFill>
                  <w14:solidFill>
                    <w14:schemeClr w14:val="tx1"/>
                  </w14:solidFill>
                </w14:textFill>
              </w:rPr>
              <w:fldChar w:fldCharType="end"/>
            </w:r>
          </w:p>
        </w:tc>
        <w:tc>
          <w:tcPr>
            <w:tcW w:w="464" w:type="pct"/>
            <w:tcMar>
              <w:left w:w="28" w:type="dxa"/>
              <w:right w:w="28" w:type="dxa"/>
            </w:tcMar>
            <w:vAlign w:val="center"/>
          </w:tcPr>
          <w:p w14:paraId="02C128B0">
            <w:pPr>
              <w:pStyle w:val="78"/>
              <w:spacing w:beforeLines="0" w:afterLines="0" w:line="240" w:lineRule="auto"/>
              <w:jc w:val="center"/>
              <w:rPr>
                <w:rFonts w:ascii="Times New Roman"/>
                <w:snapToGrid w:val="0"/>
                <w:color w:val="000000" w:themeColor="text1"/>
                <w:spacing w:val="-6"/>
                <w:kern w:val="21"/>
                <w:sz w:val="24"/>
                <w:szCs w:val="24"/>
                <w:highlight w:val="none"/>
                <w14:textFill>
                  <w14:solidFill>
                    <w14:schemeClr w14:val="tx1"/>
                  </w14:solidFill>
                </w14:textFill>
              </w:rPr>
            </w:pPr>
            <w:r>
              <w:rPr>
                <w:rFonts w:ascii="Times New Roman"/>
                <w:snapToGrid w:val="0"/>
                <w:color w:val="000000" w:themeColor="text1"/>
                <w:spacing w:val="-6"/>
                <w:kern w:val="21"/>
                <w:sz w:val="24"/>
                <w:szCs w:val="24"/>
                <w:highlight w:val="none"/>
                <w14:textFill>
                  <w14:solidFill>
                    <w14:schemeClr w14:val="tx1"/>
                  </w14:solidFill>
                </w14:textFill>
              </w:rPr>
              <w:t>在建工程</w:t>
            </w:r>
          </w:p>
          <w:p w14:paraId="4722DD96">
            <w:pPr>
              <w:pStyle w:val="78"/>
              <w:spacing w:beforeLines="0" w:afterLines="0" w:line="240" w:lineRule="auto"/>
              <w:jc w:val="center"/>
              <w:rPr>
                <w:rFonts w:ascii="Times New Roman"/>
                <w:snapToGrid w:val="0"/>
                <w:color w:val="000000" w:themeColor="text1"/>
                <w:spacing w:val="-6"/>
                <w:kern w:val="21"/>
                <w:sz w:val="24"/>
                <w:szCs w:val="24"/>
                <w:highlight w:val="none"/>
                <w14:textFill>
                  <w14:solidFill>
                    <w14:schemeClr w14:val="tx1"/>
                  </w14:solidFill>
                </w14:textFill>
              </w:rPr>
            </w:pPr>
            <w:r>
              <w:rPr>
                <w:rFonts w:ascii="Times New Roman"/>
                <w:snapToGrid w:val="0"/>
                <w:color w:val="000000" w:themeColor="text1"/>
                <w:spacing w:val="-6"/>
                <w:kern w:val="21"/>
                <w:sz w:val="24"/>
                <w:szCs w:val="24"/>
                <w:highlight w:val="none"/>
                <w14:textFill>
                  <w14:solidFill>
                    <w14:schemeClr w14:val="tx1"/>
                  </w14:solidFill>
                </w14:textFill>
              </w:rPr>
              <w:t>排放量（固体废物产生量）</w:t>
            </w:r>
            <w:r>
              <w:rPr>
                <w:rFonts w:ascii="Times New Roman"/>
                <w:snapToGrid w:val="0"/>
                <w:color w:val="000000" w:themeColor="text1"/>
                <w:spacing w:val="-6"/>
                <w:kern w:val="21"/>
                <w:sz w:val="24"/>
                <w:szCs w:val="24"/>
                <w:highlight w:val="none"/>
                <w14:textFill>
                  <w14:solidFill>
                    <w14:schemeClr w14:val="tx1"/>
                  </w14:solidFill>
                </w14:textFill>
              </w:rPr>
              <w:fldChar w:fldCharType="begin"/>
            </w:r>
            <w:r>
              <w:rPr>
                <w:rFonts w:ascii="Times New Roman"/>
                <w:snapToGrid w:val="0"/>
                <w:color w:val="000000" w:themeColor="text1"/>
                <w:spacing w:val="-6"/>
                <w:kern w:val="21"/>
                <w:sz w:val="24"/>
                <w:szCs w:val="24"/>
                <w:highlight w:val="none"/>
                <w14:textFill>
                  <w14:solidFill>
                    <w14:schemeClr w14:val="tx1"/>
                  </w14:solidFill>
                </w14:textFill>
              </w:rPr>
              <w:instrText xml:space="preserve"> = 3 \* GB3 \* MERGEFORMAT </w:instrText>
            </w:r>
            <w:r>
              <w:rPr>
                <w:rFonts w:ascii="Times New Roman"/>
                <w:snapToGrid w:val="0"/>
                <w:color w:val="000000" w:themeColor="text1"/>
                <w:spacing w:val="-6"/>
                <w:kern w:val="21"/>
                <w:sz w:val="24"/>
                <w:szCs w:val="24"/>
                <w:highlight w:val="none"/>
                <w14:textFill>
                  <w14:solidFill>
                    <w14:schemeClr w14:val="tx1"/>
                  </w14:solidFill>
                </w14:textFill>
              </w:rPr>
              <w:fldChar w:fldCharType="separate"/>
            </w:r>
            <w:r>
              <w:rPr>
                <w:rFonts w:ascii="Times New Roman"/>
                <w:color w:val="000000" w:themeColor="text1"/>
                <w:kern w:val="2"/>
                <w:sz w:val="24"/>
                <w:szCs w:val="24"/>
                <w:highlight w:val="none"/>
                <w14:textFill>
                  <w14:solidFill>
                    <w14:schemeClr w14:val="tx1"/>
                  </w14:solidFill>
                </w14:textFill>
              </w:rPr>
              <w:t>③</w:t>
            </w:r>
            <w:r>
              <w:rPr>
                <w:rFonts w:ascii="Times New Roman"/>
                <w:snapToGrid w:val="0"/>
                <w:color w:val="000000" w:themeColor="text1"/>
                <w:spacing w:val="-6"/>
                <w:kern w:val="21"/>
                <w:sz w:val="24"/>
                <w:szCs w:val="24"/>
                <w:highlight w:val="none"/>
                <w14:textFill>
                  <w14:solidFill>
                    <w14:schemeClr w14:val="tx1"/>
                  </w14:solidFill>
                </w14:textFill>
              </w:rPr>
              <w:fldChar w:fldCharType="end"/>
            </w:r>
          </w:p>
        </w:tc>
        <w:tc>
          <w:tcPr>
            <w:tcW w:w="643" w:type="pct"/>
            <w:tcMar>
              <w:left w:w="28" w:type="dxa"/>
              <w:right w:w="28" w:type="dxa"/>
            </w:tcMar>
            <w:vAlign w:val="center"/>
          </w:tcPr>
          <w:p w14:paraId="493F82DA">
            <w:pPr>
              <w:pStyle w:val="78"/>
              <w:spacing w:beforeLines="0" w:afterLines="0" w:line="240" w:lineRule="auto"/>
              <w:jc w:val="center"/>
              <w:rPr>
                <w:rFonts w:ascii="Times New Roman"/>
                <w:snapToGrid w:val="0"/>
                <w:color w:val="000000" w:themeColor="text1"/>
                <w:spacing w:val="-6"/>
                <w:kern w:val="21"/>
                <w:sz w:val="24"/>
                <w:szCs w:val="24"/>
                <w:highlight w:val="none"/>
                <w14:textFill>
                  <w14:solidFill>
                    <w14:schemeClr w14:val="tx1"/>
                  </w14:solidFill>
                </w14:textFill>
              </w:rPr>
            </w:pPr>
            <w:r>
              <w:rPr>
                <w:rFonts w:ascii="Times New Roman"/>
                <w:snapToGrid w:val="0"/>
                <w:color w:val="000000" w:themeColor="text1"/>
                <w:spacing w:val="-6"/>
                <w:kern w:val="21"/>
                <w:sz w:val="24"/>
                <w:szCs w:val="24"/>
                <w:highlight w:val="none"/>
                <w14:textFill>
                  <w14:solidFill>
                    <w14:schemeClr w14:val="tx1"/>
                  </w14:solidFill>
                </w14:textFill>
              </w:rPr>
              <w:t>本项目</w:t>
            </w:r>
          </w:p>
          <w:p w14:paraId="4C3200FF">
            <w:pPr>
              <w:pStyle w:val="78"/>
              <w:spacing w:beforeLines="0" w:afterLines="0" w:line="240" w:lineRule="auto"/>
              <w:jc w:val="center"/>
              <w:rPr>
                <w:rFonts w:ascii="Times New Roman"/>
                <w:snapToGrid w:val="0"/>
                <w:color w:val="000000" w:themeColor="text1"/>
                <w:spacing w:val="-6"/>
                <w:kern w:val="21"/>
                <w:sz w:val="24"/>
                <w:szCs w:val="24"/>
                <w:highlight w:val="none"/>
                <w14:textFill>
                  <w14:solidFill>
                    <w14:schemeClr w14:val="tx1"/>
                  </w14:solidFill>
                </w14:textFill>
              </w:rPr>
            </w:pPr>
            <w:r>
              <w:rPr>
                <w:rFonts w:ascii="Times New Roman"/>
                <w:snapToGrid w:val="0"/>
                <w:color w:val="000000" w:themeColor="text1"/>
                <w:spacing w:val="-6"/>
                <w:kern w:val="21"/>
                <w:sz w:val="24"/>
                <w:szCs w:val="24"/>
                <w:highlight w:val="none"/>
                <w14:textFill>
                  <w14:solidFill>
                    <w14:schemeClr w14:val="tx1"/>
                  </w14:solidFill>
                </w14:textFill>
              </w:rPr>
              <w:t>排放量（固体废物产生量）</w:t>
            </w:r>
            <w:r>
              <w:rPr>
                <w:rFonts w:ascii="Times New Roman"/>
                <w:snapToGrid w:val="0"/>
                <w:color w:val="000000" w:themeColor="text1"/>
                <w:spacing w:val="-6"/>
                <w:kern w:val="21"/>
                <w:sz w:val="24"/>
                <w:szCs w:val="24"/>
                <w:highlight w:val="none"/>
                <w14:textFill>
                  <w14:solidFill>
                    <w14:schemeClr w14:val="tx1"/>
                  </w14:solidFill>
                </w14:textFill>
              </w:rPr>
              <w:fldChar w:fldCharType="begin"/>
            </w:r>
            <w:r>
              <w:rPr>
                <w:rFonts w:ascii="Times New Roman"/>
                <w:snapToGrid w:val="0"/>
                <w:color w:val="000000" w:themeColor="text1"/>
                <w:spacing w:val="-6"/>
                <w:kern w:val="21"/>
                <w:sz w:val="24"/>
                <w:szCs w:val="24"/>
                <w:highlight w:val="none"/>
                <w14:textFill>
                  <w14:solidFill>
                    <w14:schemeClr w14:val="tx1"/>
                  </w14:solidFill>
                </w14:textFill>
              </w:rPr>
              <w:instrText xml:space="preserve"> = 4 \* GB3 \* MERGEFORMAT </w:instrText>
            </w:r>
            <w:r>
              <w:rPr>
                <w:rFonts w:ascii="Times New Roman"/>
                <w:snapToGrid w:val="0"/>
                <w:color w:val="000000" w:themeColor="text1"/>
                <w:spacing w:val="-6"/>
                <w:kern w:val="21"/>
                <w:sz w:val="24"/>
                <w:szCs w:val="24"/>
                <w:highlight w:val="none"/>
                <w14:textFill>
                  <w14:solidFill>
                    <w14:schemeClr w14:val="tx1"/>
                  </w14:solidFill>
                </w14:textFill>
              </w:rPr>
              <w:fldChar w:fldCharType="separate"/>
            </w:r>
            <w:r>
              <w:rPr>
                <w:rFonts w:ascii="Times New Roman"/>
                <w:color w:val="000000" w:themeColor="text1"/>
                <w:kern w:val="2"/>
                <w:sz w:val="24"/>
                <w:szCs w:val="24"/>
                <w:highlight w:val="none"/>
                <w14:textFill>
                  <w14:solidFill>
                    <w14:schemeClr w14:val="tx1"/>
                  </w14:solidFill>
                </w14:textFill>
              </w:rPr>
              <w:t>④</w:t>
            </w:r>
            <w:r>
              <w:rPr>
                <w:rFonts w:ascii="Times New Roman"/>
                <w:snapToGrid w:val="0"/>
                <w:color w:val="000000" w:themeColor="text1"/>
                <w:spacing w:val="-6"/>
                <w:kern w:val="21"/>
                <w:sz w:val="24"/>
                <w:szCs w:val="24"/>
                <w:highlight w:val="none"/>
                <w14:textFill>
                  <w14:solidFill>
                    <w14:schemeClr w14:val="tx1"/>
                  </w14:solidFill>
                </w14:textFill>
              </w:rPr>
              <w:fldChar w:fldCharType="end"/>
            </w:r>
          </w:p>
        </w:tc>
        <w:tc>
          <w:tcPr>
            <w:tcW w:w="594" w:type="pct"/>
            <w:tcMar>
              <w:left w:w="28" w:type="dxa"/>
              <w:right w:w="28" w:type="dxa"/>
            </w:tcMar>
            <w:vAlign w:val="center"/>
          </w:tcPr>
          <w:p w14:paraId="5CFE9E0A">
            <w:pPr>
              <w:pStyle w:val="78"/>
              <w:spacing w:beforeLines="0" w:afterLines="0" w:line="240" w:lineRule="auto"/>
              <w:jc w:val="center"/>
              <w:rPr>
                <w:rFonts w:ascii="Times New Roman"/>
                <w:snapToGrid w:val="0"/>
                <w:color w:val="000000" w:themeColor="text1"/>
                <w:spacing w:val="-16"/>
                <w:kern w:val="21"/>
                <w:sz w:val="24"/>
                <w:szCs w:val="24"/>
                <w:highlight w:val="none"/>
                <w14:textFill>
                  <w14:solidFill>
                    <w14:schemeClr w14:val="tx1"/>
                  </w14:solidFill>
                </w14:textFill>
              </w:rPr>
            </w:pPr>
            <w:r>
              <w:rPr>
                <w:rFonts w:ascii="Times New Roman"/>
                <w:snapToGrid w:val="0"/>
                <w:color w:val="000000" w:themeColor="text1"/>
                <w:spacing w:val="-16"/>
                <w:kern w:val="21"/>
                <w:sz w:val="24"/>
                <w:szCs w:val="24"/>
                <w:highlight w:val="none"/>
                <w14:textFill>
                  <w14:solidFill>
                    <w14:schemeClr w14:val="tx1"/>
                  </w14:solidFill>
                </w14:textFill>
              </w:rPr>
              <w:t>以新带老削减量</w:t>
            </w:r>
          </w:p>
          <w:p w14:paraId="554E1A43">
            <w:pPr>
              <w:pStyle w:val="78"/>
              <w:spacing w:beforeLines="0" w:afterLines="0" w:line="240" w:lineRule="auto"/>
              <w:jc w:val="center"/>
              <w:rPr>
                <w:rFonts w:ascii="Times New Roman"/>
                <w:snapToGrid w:val="0"/>
                <w:color w:val="000000" w:themeColor="text1"/>
                <w:spacing w:val="-16"/>
                <w:kern w:val="21"/>
                <w:sz w:val="24"/>
                <w:szCs w:val="24"/>
                <w:highlight w:val="none"/>
                <w14:textFill>
                  <w14:solidFill>
                    <w14:schemeClr w14:val="tx1"/>
                  </w14:solidFill>
                </w14:textFill>
              </w:rPr>
            </w:pPr>
            <w:r>
              <w:rPr>
                <w:rFonts w:ascii="Times New Roman"/>
                <w:snapToGrid w:val="0"/>
                <w:color w:val="000000" w:themeColor="text1"/>
                <w:spacing w:val="-16"/>
                <w:kern w:val="21"/>
                <w:sz w:val="24"/>
                <w:szCs w:val="24"/>
                <w:highlight w:val="none"/>
                <w14:textFill>
                  <w14:solidFill>
                    <w14:schemeClr w14:val="tx1"/>
                  </w14:solidFill>
                </w14:textFill>
              </w:rPr>
              <w:t>（新建项目不填）</w:t>
            </w:r>
            <w:r>
              <w:rPr>
                <w:rFonts w:ascii="Times New Roman"/>
                <w:snapToGrid w:val="0"/>
                <w:color w:val="000000" w:themeColor="text1"/>
                <w:spacing w:val="-16"/>
                <w:kern w:val="21"/>
                <w:sz w:val="24"/>
                <w:szCs w:val="24"/>
                <w:highlight w:val="none"/>
                <w14:textFill>
                  <w14:solidFill>
                    <w14:schemeClr w14:val="tx1"/>
                  </w14:solidFill>
                </w14:textFill>
              </w:rPr>
              <w:fldChar w:fldCharType="begin"/>
            </w:r>
            <w:r>
              <w:rPr>
                <w:rFonts w:ascii="Times New Roman"/>
                <w:snapToGrid w:val="0"/>
                <w:color w:val="000000" w:themeColor="text1"/>
                <w:spacing w:val="-16"/>
                <w:kern w:val="21"/>
                <w:sz w:val="24"/>
                <w:szCs w:val="24"/>
                <w:highlight w:val="none"/>
                <w14:textFill>
                  <w14:solidFill>
                    <w14:schemeClr w14:val="tx1"/>
                  </w14:solidFill>
                </w14:textFill>
              </w:rPr>
              <w:instrText xml:space="preserve"> = 5 \* GB3 \* MERGEFORMAT </w:instrText>
            </w:r>
            <w:r>
              <w:rPr>
                <w:rFonts w:ascii="Times New Roman"/>
                <w:snapToGrid w:val="0"/>
                <w:color w:val="000000" w:themeColor="text1"/>
                <w:spacing w:val="-16"/>
                <w:kern w:val="21"/>
                <w:sz w:val="24"/>
                <w:szCs w:val="24"/>
                <w:highlight w:val="none"/>
                <w14:textFill>
                  <w14:solidFill>
                    <w14:schemeClr w14:val="tx1"/>
                  </w14:solidFill>
                </w14:textFill>
              </w:rPr>
              <w:fldChar w:fldCharType="separate"/>
            </w:r>
            <w:r>
              <w:rPr>
                <w:rFonts w:ascii="Times New Roman"/>
                <w:color w:val="000000" w:themeColor="text1"/>
                <w:kern w:val="2"/>
                <w:sz w:val="24"/>
                <w:szCs w:val="24"/>
                <w:highlight w:val="none"/>
                <w14:textFill>
                  <w14:solidFill>
                    <w14:schemeClr w14:val="tx1"/>
                  </w14:solidFill>
                </w14:textFill>
              </w:rPr>
              <w:t>⑤</w:t>
            </w:r>
            <w:r>
              <w:rPr>
                <w:rFonts w:ascii="Times New Roman"/>
                <w:snapToGrid w:val="0"/>
                <w:color w:val="000000" w:themeColor="text1"/>
                <w:spacing w:val="-16"/>
                <w:kern w:val="21"/>
                <w:sz w:val="24"/>
                <w:szCs w:val="24"/>
                <w:highlight w:val="none"/>
                <w14:textFill>
                  <w14:solidFill>
                    <w14:schemeClr w14:val="tx1"/>
                  </w14:solidFill>
                </w14:textFill>
              </w:rPr>
              <w:fldChar w:fldCharType="end"/>
            </w:r>
          </w:p>
        </w:tc>
        <w:tc>
          <w:tcPr>
            <w:tcW w:w="626" w:type="pct"/>
            <w:tcMar>
              <w:left w:w="28" w:type="dxa"/>
              <w:right w:w="28" w:type="dxa"/>
            </w:tcMar>
            <w:vAlign w:val="center"/>
          </w:tcPr>
          <w:p w14:paraId="7D19C7F2">
            <w:pPr>
              <w:pStyle w:val="78"/>
              <w:spacing w:beforeLines="0" w:afterLines="0" w:line="240" w:lineRule="auto"/>
              <w:jc w:val="center"/>
              <w:rPr>
                <w:rFonts w:ascii="Times New Roman"/>
                <w:snapToGrid w:val="0"/>
                <w:color w:val="000000" w:themeColor="text1"/>
                <w:spacing w:val="-16"/>
                <w:kern w:val="21"/>
                <w:sz w:val="24"/>
                <w:szCs w:val="24"/>
                <w:highlight w:val="none"/>
                <w14:textFill>
                  <w14:solidFill>
                    <w14:schemeClr w14:val="tx1"/>
                  </w14:solidFill>
                </w14:textFill>
              </w:rPr>
            </w:pPr>
            <w:r>
              <w:rPr>
                <w:rFonts w:ascii="Times New Roman"/>
                <w:snapToGrid w:val="0"/>
                <w:color w:val="000000" w:themeColor="text1"/>
                <w:spacing w:val="-16"/>
                <w:kern w:val="21"/>
                <w:sz w:val="24"/>
                <w:szCs w:val="24"/>
                <w:highlight w:val="none"/>
                <w14:textFill>
                  <w14:solidFill>
                    <w14:schemeClr w14:val="tx1"/>
                  </w14:solidFill>
                </w14:textFill>
              </w:rPr>
              <w:t>本项目建成后</w:t>
            </w:r>
          </w:p>
          <w:p w14:paraId="4DA840F3">
            <w:pPr>
              <w:pStyle w:val="78"/>
              <w:spacing w:beforeLines="0" w:afterLines="0" w:line="240" w:lineRule="auto"/>
              <w:jc w:val="center"/>
              <w:rPr>
                <w:rFonts w:ascii="Times New Roman"/>
                <w:snapToGrid w:val="0"/>
                <w:color w:val="000000" w:themeColor="text1"/>
                <w:spacing w:val="-16"/>
                <w:kern w:val="21"/>
                <w:sz w:val="24"/>
                <w:szCs w:val="24"/>
                <w:highlight w:val="none"/>
                <w14:textFill>
                  <w14:solidFill>
                    <w14:schemeClr w14:val="tx1"/>
                  </w14:solidFill>
                </w14:textFill>
              </w:rPr>
            </w:pPr>
            <w:r>
              <w:rPr>
                <w:rFonts w:ascii="Times New Roman"/>
                <w:snapToGrid w:val="0"/>
                <w:color w:val="000000" w:themeColor="text1"/>
                <w:spacing w:val="-16"/>
                <w:kern w:val="21"/>
                <w:sz w:val="24"/>
                <w:szCs w:val="24"/>
                <w:highlight w:val="none"/>
                <w14:textFill>
                  <w14:solidFill>
                    <w14:schemeClr w14:val="tx1"/>
                  </w14:solidFill>
                </w14:textFill>
              </w:rPr>
              <w:t>全厂排放量（固体废物产生量）</w:t>
            </w:r>
            <w:r>
              <w:rPr>
                <w:rFonts w:ascii="Times New Roman"/>
                <w:snapToGrid w:val="0"/>
                <w:color w:val="000000" w:themeColor="text1"/>
                <w:spacing w:val="-16"/>
                <w:kern w:val="21"/>
                <w:sz w:val="24"/>
                <w:szCs w:val="24"/>
                <w:highlight w:val="none"/>
                <w14:textFill>
                  <w14:solidFill>
                    <w14:schemeClr w14:val="tx1"/>
                  </w14:solidFill>
                </w14:textFill>
              </w:rPr>
              <w:fldChar w:fldCharType="begin"/>
            </w:r>
            <w:r>
              <w:rPr>
                <w:rFonts w:ascii="Times New Roman"/>
                <w:snapToGrid w:val="0"/>
                <w:color w:val="000000" w:themeColor="text1"/>
                <w:spacing w:val="-16"/>
                <w:kern w:val="21"/>
                <w:sz w:val="24"/>
                <w:szCs w:val="24"/>
                <w:highlight w:val="none"/>
                <w14:textFill>
                  <w14:solidFill>
                    <w14:schemeClr w14:val="tx1"/>
                  </w14:solidFill>
                </w14:textFill>
              </w:rPr>
              <w:instrText xml:space="preserve"> = 6 \* GB3 \* MERGEFORMAT </w:instrText>
            </w:r>
            <w:r>
              <w:rPr>
                <w:rFonts w:ascii="Times New Roman"/>
                <w:snapToGrid w:val="0"/>
                <w:color w:val="000000" w:themeColor="text1"/>
                <w:spacing w:val="-16"/>
                <w:kern w:val="21"/>
                <w:sz w:val="24"/>
                <w:szCs w:val="24"/>
                <w:highlight w:val="none"/>
                <w14:textFill>
                  <w14:solidFill>
                    <w14:schemeClr w14:val="tx1"/>
                  </w14:solidFill>
                </w14:textFill>
              </w:rPr>
              <w:fldChar w:fldCharType="separate"/>
            </w:r>
            <w:r>
              <w:rPr>
                <w:rFonts w:ascii="Times New Roman"/>
                <w:color w:val="000000" w:themeColor="text1"/>
                <w:kern w:val="2"/>
                <w:sz w:val="24"/>
                <w:szCs w:val="24"/>
                <w:highlight w:val="none"/>
                <w14:textFill>
                  <w14:solidFill>
                    <w14:schemeClr w14:val="tx1"/>
                  </w14:solidFill>
                </w14:textFill>
              </w:rPr>
              <w:t>⑥</w:t>
            </w:r>
            <w:r>
              <w:rPr>
                <w:rFonts w:ascii="Times New Roman"/>
                <w:snapToGrid w:val="0"/>
                <w:color w:val="000000" w:themeColor="text1"/>
                <w:spacing w:val="-16"/>
                <w:kern w:val="21"/>
                <w:sz w:val="24"/>
                <w:szCs w:val="24"/>
                <w:highlight w:val="none"/>
                <w14:textFill>
                  <w14:solidFill>
                    <w14:schemeClr w14:val="tx1"/>
                  </w14:solidFill>
                </w14:textFill>
              </w:rPr>
              <w:fldChar w:fldCharType="end"/>
            </w:r>
          </w:p>
        </w:tc>
        <w:tc>
          <w:tcPr>
            <w:tcW w:w="698" w:type="pct"/>
            <w:tcMar>
              <w:left w:w="28" w:type="dxa"/>
              <w:right w:w="28" w:type="dxa"/>
            </w:tcMar>
            <w:vAlign w:val="center"/>
          </w:tcPr>
          <w:p w14:paraId="69939756">
            <w:pPr>
              <w:pStyle w:val="78"/>
              <w:spacing w:beforeLines="0" w:afterLines="0" w:line="240" w:lineRule="auto"/>
              <w:jc w:val="center"/>
              <w:rPr>
                <w:rFonts w:ascii="Times New Roman"/>
                <w:snapToGrid w:val="0"/>
                <w:color w:val="000000" w:themeColor="text1"/>
                <w:spacing w:val="-6"/>
                <w:kern w:val="21"/>
                <w:sz w:val="24"/>
                <w:szCs w:val="24"/>
                <w:highlight w:val="none"/>
                <w14:textFill>
                  <w14:solidFill>
                    <w14:schemeClr w14:val="tx1"/>
                  </w14:solidFill>
                </w14:textFill>
              </w:rPr>
            </w:pPr>
            <w:r>
              <w:rPr>
                <w:rFonts w:ascii="Times New Roman"/>
                <w:snapToGrid w:val="0"/>
                <w:color w:val="000000" w:themeColor="text1"/>
                <w:spacing w:val="-6"/>
                <w:kern w:val="21"/>
                <w:sz w:val="24"/>
                <w:szCs w:val="24"/>
                <w:highlight w:val="none"/>
                <w14:textFill>
                  <w14:solidFill>
                    <w14:schemeClr w14:val="tx1"/>
                  </w14:solidFill>
                </w14:textFill>
              </w:rPr>
              <w:t>变化量</w:t>
            </w:r>
          </w:p>
          <w:p w14:paraId="63AC8F66">
            <w:pPr>
              <w:pStyle w:val="78"/>
              <w:spacing w:beforeLines="0" w:afterLines="0" w:line="240" w:lineRule="auto"/>
              <w:jc w:val="center"/>
              <w:rPr>
                <w:rFonts w:ascii="Times New Roman"/>
                <w:snapToGrid w:val="0"/>
                <w:color w:val="000000" w:themeColor="text1"/>
                <w:spacing w:val="-6"/>
                <w:kern w:val="21"/>
                <w:sz w:val="24"/>
                <w:szCs w:val="24"/>
                <w:highlight w:val="none"/>
                <w14:textFill>
                  <w14:solidFill>
                    <w14:schemeClr w14:val="tx1"/>
                  </w14:solidFill>
                </w14:textFill>
              </w:rPr>
            </w:pPr>
            <w:r>
              <w:rPr>
                <w:rFonts w:ascii="Times New Roman"/>
                <w:snapToGrid w:val="0"/>
                <w:color w:val="000000" w:themeColor="text1"/>
                <w:spacing w:val="-6"/>
                <w:kern w:val="21"/>
                <w:sz w:val="24"/>
                <w:szCs w:val="24"/>
                <w:highlight w:val="none"/>
                <w14:textFill>
                  <w14:solidFill>
                    <w14:schemeClr w14:val="tx1"/>
                  </w14:solidFill>
                </w14:textFill>
              </w:rPr>
              <w:fldChar w:fldCharType="begin"/>
            </w:r>
            <w:r>
              <w:rPr>
                <w:rFonts w:ascii="Times New Roman"/>
                <w:snapToGrid w:val="0"/>
                <w:color w:val="000000" w:themeColor="text1"/>
                <w:spacing w:val="-6"/>
                <w:kern w:val="21"/>
                <w:sz w:val="24"/>
                <w:szCs w:val="24"/>
                <w:highlight w:val="none"/>
                <w14:textFill>
                  <w14:solidFill>
                    <w14:schemeClr w14:val="tx1"/>
                  </w14:solidFill>
                </w14:textFill>
              </w:rPr>
              <w:instrText xml:space="preserve"> = 7 \* GB3 \* MERGEFORMAT </w:instrText>
            </w:r>
            <w:r>
              <w:rPr>
                <w:rFonts w:ascii="Times New Roman"/>
                <w:snapToGrid w:val="0"/>
                <w:color w:val="000000" w:themeColor="text1"/>
                <w:spacing w:val="-6"/>
                <w:kern w:val="21"/>
                <w:sz w:val="24"/>
                <w:szCs w:val="24"/>
                <w:highlight w:val="none"/>
                <w14:textFill>
                  <w14:solidFill>
                    <w14:schemeClr w14:val="tx1"/>
                  </w14:solidFill>
                </w14:textFill>
              </w:rPr>
              <w:fldChar w:fldCharType="separate"/>
            </w:r>
            <w:r>
              <w:rPr>
                <w:rFonts w:ascii="Times New Roman"/>
                <w:color w:val="000000" w:themeColor="text1"/>
                <w:kern w:val="2"/>
                <w:sz w:val="24"/>
                <w:szCs w:val="24"/>
                <w:highlight w:val="none"/>
                <w14:textFill>
                  <w14:solidFill>
                    <w14:schemeClr w14:val="tx1"/>
                  </w14:solidFill>
                </w14:textFill>
              </w:rPr>
              <w:t>⑦</w:t>
            </w:r>
            <w:r>
              <w:rPr>
                <w:rFonts w:ascii="Times New Roman"/>
                <w:snapToGrid w:val="0"/>
                <w:color w:val="000000" w:themeColor="text1"/>
                <w:spacing w:val="-6"/>
                <w:kern w:val="21"/>
                <w:sz w:val="24"/>
                <w:szCs w:val="24"/>
                <w:highlight w:val="none"/>
                <w14:textFill>
                  <w14:solidFill>
                    <w14:schemeClr w14:val="tx1"/>
                  </w14:solidFill>
                </w14:textFill>
              </w:rPr>
              <w:fldChar w:fldCharType="end"/>
            </w:r>
          </w:p>
        </w:tc>
      </w:tr>
      <w:tr w14:paraId="23FEDA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93" w:type="pct"/>
            <w:vMerge w:val="restart"/>
            <w:vAlign w:val="center"/>
          </w:tcPr>
          <w:p w14:paraId="7A78C8B6">
            <w:pPr>
              <w:pStyle w:val="78"/>
              <w:spacing w:beforeLines="0" w:afterLines="0" w:line="240" w:lineRule="auto"/>
              <w:jc w:val="center"/>
              <w:rPr>
                <w:rFonts w:ascii="Times New Roman"/>
                <w:snapToGrid w:val="0"/>
                <w:color w:val="000000" w:themeColor="text1"/>
                <w:kern w:val="21"/>
                <w:sz w:val="24"/>
                <w:szCs w:val="24"/>
                <w:highlight w:val="none"/>
                <w14:textFill>
                  <w14:solidFill>
                    <w14:schemeClr w14:val="tx1"/>
                  </w14:solidFill>
                </w14:textFill>
              </w:rPr>
            </w:pPr>
            <w:r>
              <w:rPr>
                <w:rFonts w:ascii="Times New Roman"/>
                <w:snapToGrid w:val="0"/>
                <w:color w:val="000000" w:themeColor="text1"/>
                <w:kern w:val="21"/>
                <w:sz w:val="24"/>
                <w:szCs w:val="24"/>
                <w:highlight w:val="none"/>
                <w14:textFill>
                  <w14:solidFill>
                    <w14:schemeClr w14:val="tx1"/>
                  </w14:solidFill>
                </w14:textFill>
              </w:rPr>
              <w:t>废气</w:t>
            </w:r>
            <w:r>
              <w:rPr>
                <w:rFonts w:ascii="Times New Roman"/>
                <w:color w:val="000000" w:themeColor="text1"/>
                <w:sz w:val="24"/>
                <w:szCs w:val="24"/>
                <w:highlight w:val="none"/>
                <w14:textFill>
                  <w14:solidFill>
                    <w14:schemeClr w14:val="tx1"/>
                  </w14:solidFill>
                </w14:textFill>
              </w:rPr>
              <w:t>（有组织）</w:t>
            </w:r>
          </w:p>
        </w:tc>
        <w:tc>
          <w:tcPr>
            <w:tcW w:w="454" w:type="pct"/>
            <w:vAlign w:val="center"/>
          </w:tcPr>
          <w:p w14:paraId="49A24C96">
            <w:pPr>
              <w:pStyle w:val="78"/>
              <w:spacing w:beforeLines="0" w:afterLines="0" w:line="240" w:lineRule="auto"/>
              <w:jc w:val="center"/>
              <w:rPr>
                <w:rFonts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t>VOCs（以非甲烷总烃计）</w:t>
            </w:r>
          </w:p>
        </w:tc>
        <w:tc>
          <w:tcPr>
            <w:tcW w:w="609" w:type="pct"/>
            <w:vAlign w:val="center"/>
          </w:tcPr>
          <w:p w14:paraId="4995D3CC">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515" w:type="pct"/>
            <w:vAlign w:val="center"/>
          </w:tcPr>
          <w:p w14:paraId="0BC72AA3">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464" w:type="pct"/>
            <w:vAlign w:val="center"/>
          </w:tcPr>
          <w:p w14:paraId="480297A6">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736" w:type="dxa"/>
            <w:vAlign w:val="center"/>
          </w:tcPr>
          <w:p w14:paraId="71271078">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0.0</w:t>
            </w:r>
            <w:r>
              <w:rPr>
                <w:rFonts w:hint="eastAsia"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2</w:t>
            </w:r>
            <w:r>
              <w:rPr>
                <w:rFonts w:hint="eastAsia" w:cs="Times New Roman"/>
                <w:i w:val="0"/>
                <w:iCs w:val="0"/>
                <w:color w:val="000000" w:themeColor="text1"/>
                <w:kern w:val="0"/>
                <w:sz w:val="24"/>
                <w:szCs w:val="24"/>
                <w:highlight w:val="none"/>
                <w:u w:val="none"/>
                <w:lang w:val="en-US" w:eastAsia="zh-CN" w:bidi="ar"/>
                <w14:textFill>
                  <w14:solidFill>
                    <w14:schemeClr w14:val="tx1"/>
                  </w14:solidFill>
                </w14:textFill>
              </w:rPr>
              <w:t>53</w:t>
            </w:r>
          </w:p>
        </w:tc>
        <w:tc>
          <w:tcPr>
            <w:tcW w:w="594" w:type="pct"/>
            <w:vAlign w:val="center"/>
          </w:tcPr>
          <w:p w14:paraId="065C9955">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690" w:type="dxa"/>
            <w:vAlign w:val="center"/>
          </w:tcPr>
          <w:p w14:paraId="7C022174">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0.0</w:t>
            </w:r>
            <w:r>
              <w:rPr>
                <w:rFonts w:hint="eastAsia"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2</w:t>
            </w:r>
            <w:r>
              <w:rPr>
                <w:rFonts w:hint="eastAsia" w:cs="Times New Roman"/>
                <w:i w:val="0"/>
                <w:iCs w:val="0"/>
                <w:color w:val="000000" w:themeColor="text1"/>
                <w:kern w:val="0"/>
                <w:sz w:val="24"/>
                <w:szCs w:val="24"/>
                <w:highlight w:val="none"/>
                <w:u w:val="none"/>
                <w:lang w:val="en-US" w:eastAsia="zh-CN" w:bidi="ar"/>
                <w14:textFill>
                  <w14:solidFill>
                    <w14:schemeClr w14:val="tx1"/>
                  </w14:solidFill>
                </w14:textFill>
              </w:rPr>
              <w:t>53</w:t>
            </w:r>
          </w:p>
        </w:tc>
        <w:tc>
          <w:tcPr>
            <w:tcW w:w="1885" w:type="dxa"/>
            <w:vAlign w:val="center"/>
          </w:tcPr>
          <w:p w14:paraId="6FE9FDF0">
            <w:pPr>
              <w:keepNext w:val="0"/>
              <w:keepLines w:val="0"/>
              <w:widowControl/>
              <w:suppressLineNumbers w:val="0"/>
              <w:jc w:val="center"/>
              <w:textAlignment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0.0</w:t>
            </w:r>
            <w:r>
              <w:rPr>
                <w:rFonts w:hint="eastAsia"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2</w:t>
            </w:r>
            <w:r>
              <w:rPr>
                <w:rFonts w:hint="eastAsia" w:cs="Times New Roman"/>
                <w:i w:val="0"/>
                <w:iCs w:val="0"/>
                <w:color w:val="000000" w:themeColor="text1"/>
                <w:kern w:val="0"/>
                <w:sz w:val="24"/>
                <w:szCs w:val="24"/>
                <w:highlight w:val="none"/>
                <w:u w:val="none"/>
                <w:lang w:val="en-US" w:eastAsia="zh-CN" w:bidi="ar"/>
                <w14:textFill>
                  <w14:solidFill>
                    <w14:schemeClr w14:val="tx1"/>
                  </w14:solidFill>
                </w14:textFill>
              </w:rPr>
              <w:t>53</w:t>
            </w:r>
          </w:p>
        </w:tc>
      </w:tr>
      <w:tr w14:paraId="40D974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93" w:type="pct"/>
            <w:vMerge w:val="continue"/>
            <w:vAlign w:val="center"/>
          </w:tcPr>
          <w:p w14:paraId="4C446A8F">
            <w:pPr>
              <w:pStyle w:val="78"/>
              <w:spacing w:beforeLines="0" w:afterLines="0" w:line="240" w:lineRule="auto"/>
              <w:jc w:val="center"/>
              <w:rPr>
                <w:rFonts w:ascii="Times New Roman"/>
                <w:snapToGrid w:val="0"/>
                <w:color w:val="000000" w:themeColor="text1"/>
                <w:kern w:val="21"/>
                <w:sz w:val="24"/>
                <w:szCs w:val="24"/>
                <w:highlight w:val="none"/>
                <w14:textFill>
                  <w14:solidFill>
                    <w14:schemeClr w14:val="tx1"/>
                  </w14:solidFill>
                </w14:textFill>
              </w:rPr>
            </w:pPr>
          </w:p>
        </w:tc>
        <w:tc>
          <w:tcPr>
            <w:tcW w:w="454" w:type="pct"/>
            <w:vAlign w:val="center"/>
          </w:tcPr>
          <w:p w14:paraId="3DE5B4CA">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乙醛</w:t>
            </w:r>
          </w:p>
        </w:tc>
        <w:tc>
          <w:tcPr>
            <w:tcW w:w="609" w:type="pct"/>
            <w:vAlign w:val="center"/>
          </w:tcPr>
          <w:p w14:paraId="79AD14FE">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515" w:type="pct"/>
            <w:vAlign w:val="center"/>
          </w:tcPr>
          <w:p w14:paraId="456ACC2D">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464" w:type="pct"/>
            <w:vAlign w:val="center"/>
          </w:tcPr>
          <w:p w14:paraId="53FB1C57">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736" w:type="dxa"/>
            <w:vAlign w:val="center"/>
          </w:tcPr>
          <w:p w14:paraId="02C225B6">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0.0003</w:t>
            </w:r>
          </w:p>
        </w:tc>
        <w:tc>
          <w:tcPr>
            <w:tcW w:w="594" w:type="pct"/>
            <w:vAlign w:val="center"/>
          </w:tcPr>
          <w:p w14:paraId="4BF09BBF">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690" w:type="dxa"/>
            <w:vAlign w:val="center"/>
          </w:tcPr>
          <w:p w14:paraId="0648C9BA">
            <w:pPr>
              <w:keepNext w:val="0"/>
              <w:keepLines w:val="0"/>
              <w:widowControl/>
              <w:suppressLineNumbers w:val="0"/>
              <w:jc w:val="center"/>
              <w:textAlignment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0.0003</w:t>
            </w:r>
          </w:p>
        </w:tc>
        <w:tc>
          <w:tcPr>
            <w:tcW w:w="1885" w:type="dxa"/>
            <w:vAlign w:val="center"/>
          </w:tcPr>
          <w:p w14:paraId="2A38C3AF">
            <w:pPr>
              <w:keepNext w:val="0"/>
              <w:keepLines w:val="0"/>
              <w:widowControl/>
              <w:suppressLineNumbers w:val="0"/>
              <w:jc w:val="center"/>
              <w:textAlignment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0.0003</w:t>
            </w:r>
          </w:p>
        </w:tc>
      </w:tr>
      <w:tr w14:paraId="5FF896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93" w:type="pct"/>
            <w:vMerge w:val="continue"/>
            <w:vAlign w:val="center"/>
          </w:tcPr>
          <w:p w14:paraId="0A852E84">
            <w:pPr>
              <w:pStyle w:val="78"/>
              <w:spacing w:beforeLines="0" w:afterLines="0" w:line="240" w:lineRule="auto"/>
              <w:jc w:val="center"/>
              <w:rPr>
                <w:rFonts w:ascii="Times New Roman"/>
                <w:snapToGrid w:val="0"/>
                <w:color w:val="000000" w:themeColor="text1"/>
                <w:kern w:val="21"/>
                <w:sz w:val="24"/>
                <w:szCs w:val="24"/>
                <w:highlight w:val="none"/>
                <w14:textFill>
                  <w14:solidFill>
                    <w14:schemeClr w14:val="tx1"/>
                  </w14:solidFill>
                </w14:textFill>
              </w:rPr>
            </w:pPr>
          </w:p>
        </w:tc>
        <w:tc>
          <w:tcPr>
            <w:tcW w:w="454" w:type="pct"/>
            <w:vAlign w:val="center"/>
          </w:tcPr>
          <w:p w14:paraId="7AEC96A8">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四氢呋喃</w:t>
            </w:r>
          </w:p>
        </w:tc>
        <w:tc>
          <w:tcPr>
            <w:tcW w:w="609" w:type="pct"/>
            <w:vAlign w:val="center"/>
          </w:tcPr>
          <w:p w14:paraId="42CD92C0">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515" w:type="pct"/>
            <w:vAlign w:val="center"/>
          </w:tcPr>
          <w:p w14:paraId="1185EE06">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464" w:type="pct"/>
            <w:vAlign w:val="center"/>
          </w:tcPr>
          <w:p w14:paraId="5BFF1210">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736" w:type="dxa"/>
            <w:vAlign w:val="center"/>
          </w:tcPr>
          <w:p w14:paraId="08D0D570">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cs="Times New Roman"/>
                <w:i w:val="0"/>
                <w:iCs w:val="0"/>
                <w:color w:val="000000" w:themeColor="text1"/>
                <w:kern w:val="0"/>
                <w:sz w:val="24"/>
                <w:szCs w:val="24"/>
                <w:highlight w:val="none"/>
                <w:u w:val="none"/>
                <w:lang w:val="en-US" w:eastAsia="zh-CN" w:bidi="ar"/>
                <w14:textFill>
                  <w14:solidFill>
                    <w14:schemeClr w14:val="tx1"/>
                  </w14:solidFill>
                </w14:textFill>
              </w:rPr>
              <w:t>0.003</w:t>
            </w:r>
          </w:p>
        </w:tc>
        <w:tc>
          <w:tcPr>
            <w:tcW w:w="594" w:type="pct"/>
            <w:vAlign w:val="center"/>
          </w:tcPr>
          <w:p w14:paraId="123013C2">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690" w:type="dxa"/>
            <w:vAlign w:val="center"/>
          </w:tcPr>
          <w:p w14:paraId="6AA5710F">
            <w:pPr>
              <w:keepNext w:val="0"/>
              <w:keepLines w:val="0"/>
              <w:widowControl/>
              <w:suppressLineNumbers w:val="0"/>
              <w:jc w:val="center"/>
              <w:textAlignment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cs="Times New Roman"/>
                <w:i w:val="0"/>
                <w:iCs w:val="0"/>
                <w:color w:val="000000" w:themeColor="text1"/>
                <w:kern w:val="0"/>
                <w:sz w:val="24"/>
                <w:szCs w:val="24"/>
                <w:highlight w:val="none"/>
                <w:u w:val="none"/>
                <w:lang w:val="en-US" w:eastAsia="zh-CN" w:bidi="ar"/>
                <w14:textFill>
                  <w14:solidFill>
                    <w14:schemeClr w14:val="tx1"/>
                  </w14:solidFill>
                </w14:textFill>
              </w:rPr>
              <w:t>0.003</w:t>
            </w:r>
          </w:p>
        </w:tc>
        <w:tc>
          <w:tcPr>
            <w:tcW w:w="1885" w:type="dxa"/>
            <w:vAlign w:val="center"/>
          </w:tcPr>
          <w:p w14:paraId="61741088">
            <w:pPr>
              <w:keepNext w:val="0"/>
              <w:keepLines w:val="0"/>
              <w:widowControl/>
              <w:suppressLineNumbers w:val="0"/>
              <w:jc w:val="center"/>
              <w:textAlignment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cs="Times New Roman"/>
                <w:i w:val="0"/>
                <w:iCs w:val="0"/>
                <w:color w:val="000000" w:themeColor="text1"/>
                <w:kern w:val="0"/>
                <w:sz w:val="24"/>
                <w:szCs w:val="24"/>
                <w:highlight w:val="none"/>
                <w:u w:val="none"/>
                <w:lang w:val="en-US" w:eastAsia="zh-CN" w:bidi="ar"/>
                <w14:textFill>
                  <w14:solidFill>
                    <w14:schemeClr w14:val="tx1"/>
                  </w14:solidFill>
                </w14:textFill>
              </w:rPr>
              <w:t>+0.003</w:t>
            </w:r>
          </w:p>
        </w:tc>
      </w:tr>
      <w:tr w14:paraId="726A8F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93" w:type="pct"/>
            <w:vMerge w:val="restart"/>
            <w:vAlign w:val="center"/>
          </w:tcPr>
          <w:p w14:paraId="74EFD06B">
            <w:pPr>
              <w:pStyle w:val="78"/>
              <w:spacing w:beforeLines="0" w:afterLines="0" w:line="240" w:lineRule="auto"/>
              <w:jc w:val="center"/>
              <w:rPr>
                <w:rFonts w:ascii="Times New Roman"/>
                <w:snapToGrid w:val="0"/>
                <w:color w:val="000000" w:themeColor="text1"/>
                <w:kern w:val="21"/>
                <w:sz w:val="24"/>
                <w:szCs w:val="24"/>
                <w:highlight w:val="none"/>
                <w14:textFill>
                  <w14:solidFill>
                    <w14:schemeClr w14:val="tx1"/>
                  </w14:solidFill>
                </w14:textFill>
              </w:rPr>
            </w:pPr>
            <w:r>
              <w:rPr>
                <w:rFonts w:ascii="Times New Roman"/>
                <w:snapToGrid w:val="0"/>
                <w:color w:val="000000" w:themeColor="text1"/>
                <w:kern w:val="21"/>
                <w:sz w:val="24"/>
                <w:szCs w:val="24"/>
                <w:highlight w:val="none"/>
                <w14:textFill>
                  <w14:solidFill>
                    <w14:schemeClr w14:val="tx1"/>
                  </w14:solidFill>
                </w14:textFill>
              </w:rPr>
              <w:t>废气</w:t>
            </w:r>
            <w:r>
              <w:rPr>
                <w:rFonts w:ascii="Times New Roman"/>
                <w:color w:val="000000" w:themeColor="text1"/>
                <w:sz w:val="24"/>
                <w:szCs w:val="24"/>
                <w:highlight w:val="none"/>
                <w14:textFill>
                  <w14:solidFill>
                    <w14:schemeClr w14:val="tx1"/>
                  </w14:solidFill>
                </w14:textFill>
              </w:rPr>
              <w:t>（无组织）</w:t>
            </w:r>
          </w:p>
        </w:tc>
        <w:tc>
          <w:tcPr>
            <w:tcW w:w="454" w:type="pct"/>
            <w:vAlign w:val="center"/>
          </w:tcPr>
          <w:p w14:paraId="0374D0D8">
            <w:pPr>
              <w:pStyle w:val="78"/>
              <w:spacing w:beforeLines="0" w:afterLines="0" w:line="240" w:lineRule="auto"/>
              <w:jc w:val="center"/>
              <w:rPr>
                <w:rFonts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t>VOCs（以非甲烷总烃计）</w:t>
            </w:r>
          </w:p>
        </w:tc>
        <w:tc>
          <w:tcPr>
            <w:tcW w:w="609" w:type="pct"/>
            <w:vAlign w:val="center"/>
          </w:tcPr>
          <w:p w14:paraId="4212E963">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515" w:type="pct"/>
            <w:vAlign w:val="center"/>
          </w:tcPr>
          <w:p w14:paraId="5C32741E">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464" w:type="pct"/>
            <w:vAlign w:val="center"/>
          </w:tcPr>
          <w:p w14:paraId="39F19EF9">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736" w:type="dxa"/>
            <w:shd w:val="clear" w:color="auto" w:fill="auto"/>
            <w:vAlign w:val="center"/>
          </w:tcPr>
          <w:p w14:paraId="49652B92">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color w:val="000000" w:themeColor="text1"/>
                <w:kern w:val="0"/>
                <w:sz w:val="24"/>
                <w:szCs w:val="24"/>
                <w:highlight w:val="none"/>
                <w:lang w:val="en-US" w:eastAsia="zh-CN" w:bidi="ar"/>
                <w14:textFill>
                  <w14:solidFill>
                    <w14:schemeClr w14:val="tx1"/>
                  </w14:solidFill>
                </w14:textFill>
              </w:rPr>
              <w:t>0.0281</w:t>
            </w:r>
          </w:p>
        </w:tc>
        <w:tc>
          <w:tcPr>
            <w:tcW w:w="594" w:type="pct"/>
            <w:vAlign w:val="center"/>
          </w:tcPr>
          <w:p w14:paraId="43258D96">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690" w:type="dxa"/>
            <w:vAlign w:val="center"/>
          </w:tcPr>
          <w:p w14:paraId="5402922F">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color w:val="000000" w:themeColor="text1"/>
                <w:kern w:val="0"/>
                <w:sz w:val="24"/>
                <w:szCs w:val="24"/>
                <w:highlight w:val="none"/>
                <w:lang w:val="en-US" w:eastAsia="zh-CN" w:bidi="ar"/>
                <w14:textFill>
                  <w14:solidFill>
                    <w14:schemeClr w14:val="tx1"/>
                  </w14:solidFill>
                </w14:textFill>
              </w:rPr>
              <w:t>0.0281</w:t>
            </w:r>
          </w:p>
        </w:tc>
        <w:tc>
          <w:tcPr>
            <w:tcW w:w="1885" w:type="dxa"/>
            <w:vAlign w:val="center"/>
          </w:tcPr>
          <w:p w14:paraId="0B93AD54">
            <w:pPr>
              <w:keepNext w:val="0"/>
              <w:keepLines w:val="0"/>
              <w:widowControl/>
              <w:suppressLineNumbers w:val="0"/>
              <w:jc w:val="center"/>
              <w:textAlignment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color w:val="000000" w:themeColor="text1"/>
                <w:kern w:val="0"/>
                <w:sz w:val="24"/>
                <w:szCs w:val="24"/>
                <w:highlight w:val="none"/>
                <w:lang w:val="en-US" w:eastAsia="zh-CN" w:bidi="ar"/>
                <w14:textFill>
                  <w14:solidFill>
                    <w14:schemeClr w14:val="tx1"/>
                  </w14:solidFill>
                </w14:textFill>
              </w:rPr>
              <w:t>+0.0281</w:t>
            </w:r>
          </w:p>
        </w:tc>
      </w:tr>
      <w:tr w14:paraId="4F75B2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93" w:type="pct"/>
            <w:vMerge w:val="continue"/>
            <w:vAlign w:val="center"/>
          </w:tcPr>
          <w:p w14:paraId="05C5F840">
            <w:pPr>
              <w:pStyle w:val="78"/>
              <w:spacing w:beforeLines="0" w:afterLines="0" w:line="240" w:lineRule="auto"/>
              <w:jc w:val="center"/>
              <w:rPr>
                <w:rFonts w:ascii="Times New Roman"/>
                <w:snapToGrid w:val="0"/>
                <w:color w:val="000000" w:themeColor="text1"/>
                <w:kern w:val="21"/>
                <w:sz w:val="24"/>
                <w:szCs w:val="24"/>
                <w:highlight w:val="none"/>
                <w14:textFill>
                  <w14:solidFill>
                    <w14:schemeClr w14:val="tx1"/>
                  </w14:solidFill>
                </w14:textFill>
              </w:rPr>
            </w:pPr>
          </w:p>
        </w:tc>
        <w:tc>
          <w:tcPr>
            <w:tcW w:w="1227" w:type="dxa"/>
            <w:vAlign w:val="center"/>
          </w:tcPr>
          <w:p w14:paraId="09209566">
            <w:pPr>
              <w:pStyle w:val="78"/>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乙醛</w:t>
            </w:r>
          </w:p>
        </w:tc>
        <w:tc>
          <w:tcPr>
            <w:tcW w:w="609" w:type="pct"/>
            <w:vAlign w:val="center"/>
          </w:tcPr>
          <w:p w14:paraId="425C3D85">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515" w:type="pct"/>
            <w:vAlign w:val="center"/>
          </w:tcPr>
          <w:p w14:paraId="49CAA9FE">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464" w:type="pct"/>
            <w:vAlign w:val="center"/>
          </w:tcPr>
          <w:p w14:paraId="30286F17">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736" w:type="dxa"/>
            <w:shd w:val="clear" w:color="auto" w:fill="auto"/>
            <w:vAlign w:val="center"/>
          </w:tcPr>
          <w:p w14:paraId="7DD93470">
            <w:pPr>
              <w:keepNext w:val="0"/>
              <w:keepLines w:val="0"/>
              <w:widowControl/>
              <w:suppressLineNumbers w:val="0"/>
              <w:jc w:val="center"/>
              <w:textAlignment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0.0003</w:t>
            </w:r>
          </w:p>
        </w:tc>
        <w:tc>
          <w:tcPr>
            <w:tcW w:w="594" w:type="pct"/>
            <w:vAlign w:val="center"/>
          </w:tcPr>
          <w:p w14:paraId="5AB4B0F1">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690" w:type="dxa"/>
            <w:vAlign w:val="center"/>
          </w:tcPr>
          <w:p w14:paraId="11CB1B12">
            <w:pPr>
              <w:keepNext w:val="0"/>
              <w:keepLines w:val="0"/>
              <w:widowControl/>
              <w:suppressLineNumbers w:val="0"/>
              <w:jc w:val="center"/>
              <w:textAlignment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0.0003</w:t>
            </w:r>
          </w:p>
        </w:tc>
        <w:tc>
          <w:tcPr>
            <w:tcW w:w="1885" w:type="dxa"/>
            <w:vAlign w:val="center"/>
          </w:tcPr>
          <w:p w14:paraId="2B4392E8">
            <w:pPr>
              <w:keepNext w:val="0"/>
              <w:keepLines w:val="0"/>
              <w:widowControl/>
              <w:suppressLineNumbers w:val="0"/>
              <w:jc w:val="center"/>
              <w:textAlignment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+0.0003</w:t>
            </w:r>
          </w:p>
        </w:tc>
      </w:tr>
      <w:tr w14:paraId="64CC6C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93" w:type="pct"/>
            <w:vMerge w:val="continue"/>
            <w:vAlign w:val="center"/>
          </w:tcPr>
          <w:p w14:paraId="7DC7CE71">
            <w:pPr>
              <w:pStyle w:val="78"/>
              <w:spacing w:beforeLines="0" w:afterLines="0" w:line="240" w:lineRule="auto"/>
              <w:jc w:val="center"/>
              <w:rPr>
                <w:rFonts w:ascii="Times New Roman"/>
                <w:snapToGrid w:val="0"/>
                <w:color w:val="000000" w:themeColor="text1"/>
                <w:kern w:val="21"/>
                <w:sz w:val="24"/>
                <w:szCs w:val="24"/>
                <w:highlight w:val="none"/>
                <w14:textFill>
                  <w14:solidFill>
                    <w14:schemeClr w14:val="tx1"/>
                  </w14:solidFill>
                </w14:textFill>
              </w:rPr>
            </w:pPr>
          </w:p>
        </w:tc>
        <w:tc>
          <w:tcPr>
            <w:tcW w:w="1227" w:type="dxa"/>
            <w:vAlign w:val="center"/>
          </w:tcPr>
          <w:p w14:paraId="208F8216">
            <w:pPr>
              <w:pStyle w:val="78"/>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四氢呋喃</w:t>
            </w:r>
          </w:p>
        </w:tc>
        <w:tc>
          <w:tcPr>
            <w:tcW w:w="609" w:type="pct"/>
            <w:vAlign w:val="center"/>
          </w:tcPr>
          <w:p w14:paraId="3A171B52">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515" w:type="pct"/>
            <w:vAlign w:val="center"/>
          </w:tcPr>
          <w:p w14:paraId="20CCBAC4">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464" w:type="pct"/>
            <w:vAlign w:val="center"/>
          </w:tcPr>
          <w:p w14:paraId="14077B9E">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736" w:type="dxa"/>
            <w:shd w:val="clear" w:color="auto" w:fill="auto"/>
            <w:vAlign w:val="center"/>
          </w:tcPr>
          <w:p w14:paraId="08CDD41C">
            <w:pPr>
              <w:keepNext w:val="0"/>
              <w:keepLines w:val="0"/>
              <w:widowControl/>
              <w:suppressLineNumbers w:val="0"/>
              <w:jc w:val="center"/>
              <w:textAlignment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0.00</w:t>
            </w:r>
            <w:r>
              <w:rPr>
                <w:rFonts w:hint="eastAsia" w:cs="Times New Roman"/>
                <w:color w:val="000000" w:themeColor="text1"/>
                <w:kern w:val="0"/>
                <w:sz w:val="24"/>
                <w:szCs w:val="24"/>
                <w:highlight w:val="none"/>
                <w:lang w:val="en-US" w:eastAsia="zh-CN" w:bidi="ar"/>
                <w14:textFill>
                  <w14:solidFill>
                    <w14:schemeClr w14:val="tx1"/>
                  </w14:solidFill>
                </w14:textFill>
              </w:rPr>
              <w:t>34</w:t>
            </w:r>
          </w:p>
        </w:tc>
        <w:tc>
          <w:tcPr>
            <w:tcW w:w="594" w:type="pct"/>
            <w:vAlign w:val="center"/>
          </w:tcPr>
          <w:p w14:paraId="076012DE">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690" w:type="dxa"/>
            <w:vAlign w:val="center"/>
          </w:tcPr>
          <w:p w14:paraId="3E34E1EB">
            <w:pPr>
              <w:keepNext w:val="0"/>
              <w:keepLines w:val="0"/>
              <w:widowControl/>
              <w:suppressLineNumbers w:val="0"/>
              <w:jc w:val="center"/>
              <w:textAlignment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0.00</w:t>
            </w:r>
            <w:r>
              <w:rPr>
                <w:rFonts w:hint="eastAsia" w:cs="Times New Roman"/>
                <w:color w:val="000000" w:themeColor="text1"/>
                <w:kern w:val="0"/>
                <w:sz w:val="24"/>
                <w:szCs w:val="24"/>
                <w:highlight w:val="none"/>
                <w:lang w:val="en-US" w:eastAsia="zh-CN" w:bidi="ar"/>
                <w14:textFill>
                  <w14:solidFill>
                    <w14:schemeClr w14:val="tx1"/>
                  </w14:solidFill>
                </w14:textFill>
              </w:rPr>
              <w:t>34</w:t>
            </w:r>
          </w:p>
        </w:tc>
        <w:tc>
          <w:tcPr>
            <w:tcW w:w="1885" w:type="dxa"/>
            <w:vAlign w:val="center"/>
          </w:tcPr>
          <w:p w14:paraId="0B2BF1F9">
            <w:pPr>
              <w:keepNext w:val="0"/>
              <w:keepLines w:val="0"/>
              <w:widowControl/>
              <w:suppressLineNumbers w:val="0"/>
              <w:jc w:val="center"/>
              <w:textAlignment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+0.00</w:t>
            </w:r>
            <w:r>
              <w:rPr>
                <w:rFonts w:hint="eastAsia" w:cs="Times New Roman"/>
                <w:color w:val="000000" w:themeColor="text1"/>
                <w:kern w:val="0"/>
                <w:sz w:val="24"/>
                <w:szCs w:val="24"/>
                <w:highlight w:val="none"/>
                <w:lang w:val="en-US" w:eastAsia="zh-CN" w:bidi="ar"/>
                <w14:textFill>
                  <w14:solidFill>
                    <w14:schemeClr w14:val="tx1"/>
                  </w14:solidFill>
                </w14:textFill>
              </w:rPr>
              <w:t>34</w:t>
            </w:r>
          </w:p>
        </w:tc>
      </w:tr>
      <w:tr w14:paraId="4A3B4D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93" w:type="pct"/>
            <w:vMerge w:val="restart"/>
            <w:vAlign w:val="center"/>
          </w:tcPr>
          <w:p w14:paraId="383AAA81">
            <w:pPr>
              <w:pStyle w:val="78"/>
              <w:spacing w:beforeLines="0" w:afterLines="0" w:line="240" w:lineRule="auto"/>
              <w:jc w:val="center"/>
              <w:rPr>
                <w:rFonts w:ascii="Times New Roman"/>
                <w:snapToGrid w:val="0"/>
                <w:color w:val="000000" w:themeColor="text1"/>
                <w:kern w:val="21"/>
                <w:sz w:val="24"/>
                <w:szCs w:val="24"/>
                <w:highlight w:val="none"/>
                <w14:textFill>
                  <w14:solidFill>
                    <w14:schemeClr w14:val="tx1"/>
                  </w14:solidFill>
                </w14:textFill>
              </w:rPr>
            </w:pPr>
            <w:r>
              <w:rPr>
                <w:rFonts w:ascii="Times New Roman"/>
                <w:snapToGrid w:val="0"/>
                <w:color w:val="000000" w:themeColor="text1"/>
                <w:kern w:val="21"/>
                <w:sz w:val="24"/>
                <w:szCs w:val="24"/>
                <w:highlight w:val="none"/>
                <w14:textFill>
                  <w14:solidFill>
                    <w14:schemeClr w14:val="tx1"/>
                  </w14:solidFill>
                </w14:textFill>
              </w:rPr>
              <w:t>废水</w:t>
            </w:r>
          </w:p>
        </w:tc>
        <w:tc>
          <w:tcPr>
            <w:tcW w:w="454" w:type="pct"/>
            <w:vAlign w:val="center"/>
          </w:tcPr>
          <w:p w14:paraId="3EA33A8E">
            <w:pPr>
              <w:pStyle w:val="78"/>
              <w:spacing w:beforeLines="0" w:afterLines="0" w:line="240" w:lineRule="auto"/>
              <w:jc w:val="center"/>
              <w:rPr>
                <w:rFonts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ascii="Times New Roman" w:hAnsi="Times New Roman" w:eastAsia="宋体" w:cs="Times New Roman"/>
                <w:snapToGrid w:val="0"/>
                <w:color w:val="000000" w:themeColor="text1"/>
                <w:kern w:val="21"/>
                <w:sz w:val="24"/>
                <w:szCs w:val="24"/>
                <w:highlight w:val="none"/>
                <w:lang w:eastAsia="zh-TW"/>
                <w14:textFill>
                  <w14:solidFill>
                    <w14:schemeClr w14:val="tx1"/>
                  </w14:solidFill>
                </w14:textFill>
              </w:rPr>
              <w:t>废水量m</w:t>
            </w:r>
            <w:r>
              <w:rPr>
                <w:rFonts w:ascii="Times New Roman" w:hAnsi="Times New Roman" w:eastAsia="宋体" w:cs="Times New Roman"/>
                <w:snapToGrid w:val="0"/>
                <w:color w:val="000000" w:themeColor="text1"/>
                <w:kern w:val="21"/>
                <w:sz w:val="24"/>
                <w:szCs w:val="24"/>
                <w:highlight w:val="none"/>
                <w:vertAlign w:val="superscript"/>
                <w:lang w:eastAsia="zh-TW"/>
                <w14:textFill>
                  <w14:solidFill>
                    <w14:schemeClr w14:val="tx1"/>
                  </w14:solidFill>
                </w14:textFill>
              </w:rPr>
              <w:t>3</w:t>
            </w:r>
            <w:r>
              <w:rPr>
                <w:rFonts w:ascii="Times New Roman" w:hAnsi="Times New Roman" w:eastAsia="宋体" w:cs="Times New Roman"/>
                <w:snapToGrid w:val="0"/>
                <w:color w:val="000000" w:themeColor="text1"/>
                <w:kern w:val="21"/>
                <w:sz w:val="24"/>
                <w:szCs w:val="24"/>
                <w:highlight w:val="none"/>
                <w:lang w:eastAsia="zh-TW"/>
                <w14:textFill>
                  <w14:solidFill>
                    <w14:schemeClr w14:val="tx1"/>
                  </w14:solidFill>
                </w14:textFill>
              </w:rPr>
              <w:t>/a</w:t>
            </w:r>
          </w:p>
        </w:tc>
        <w:tc>
          <w:tcPr>
            <w:tcW w:w="609" w:type="pct"/>
            <w:vAlign w:val="center"/>
          </w:tcPr>
          <w:p w14:paraId="4079D25B">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515" w:type="pct"/>
            <w:vAlign w:val="center"/>
          </w:tcPr>
          <w:p w14:paraId="18D71F8A">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464" w:type="pct"/>
            <w:vAlign w:val="center"/>
          </w:tcPr>
          <w:p w14:paraId="6475F069">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643" w:type="pct"/>
            <w:vAlign w:val="center"/>
          </w:tcPr>
          <w:p w14:paraId="3C3EE8D6">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192</w:t>
            </w:r>
          </w:p>
        </w:tc>
        <w:tc>
          <w:tcPr>
            <w:tcW w:w="594" w:type="pct"/>
            <w:vAlign w:val="center"/>
          </w:tcPr>
          <w:p w14:paraId="0BC58F2C">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690" w:type="dxa"/>
            <w:vAlign w:val="center"/>
          </w:tcPr>
          <w:p w14:paraId="3303724C">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192</w:t>
            </w:r>
          </w:p>
        </w:tc>
        <w:tc>
          <w:tcPr>
            <w:tcW w:w="1885" w:type="dxa"/>
            <w:vAlign w:val="center"/>
          </w:tcPr>
          <w:p w14:paraId="325EC99A">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192</w:t>
            </w:r>
          </w:p>
        </w:tc>
      </w:tr>
      <w:tr w14:paraId="09B6DD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93" w:type="pct"/>
            <w:vMerge w:val="continue"/>
            <w:vAlign w:val="center"/>
          </w:tcPr>
          <w:p w14:paraId="58B88D69">
            <w:pPr>
              <w:pStyle w:val="78"/>
              <w:spacing w:beforeLines="0" w:afterLines="0" w:line="240" w:lineRule="auto"/>
              <w:jc w:val="center"/>
              <w:rPr>
                <w:rFonts w:ascii="Times New Roman"/>
                <w:snapToGrid w:val="0"/>
                <w:color w:val="000000" w:themeColor="text1"/>
                <w:kern w:val="21"/>
                <w:sz w:val="24"/>
                <w:szCs w:val="24"/>
                <w:highlight w:val="none"/>
                <w14:textFill>
                  <w14:solidFill>
                    <w14:schemeClr w14:val="tx1"/>
                  </w14:solidFill>
                </w14:textFill>
              </w:rPr>
            </w:pPr>
            <w:bookmarkStart w:id="19" w:name="OLE_LINK29" w:colFirst="5" w:colLast="8"/>
          </w:p>
        </w:tc>
        <w:tc>
          <w:tcPr>
            <w:tcW w:w="454" w:type="pct"/>
            <w:vAlign w:val="center"/>
          </w:tcPr>
          <w:p w14:paraId="005F3368">
            <w:pPr>
              <w:pStyle w:val="78"/>
              <w:spacing w:beforeLines="0" w:afterLines="0" w:line="240" w:lineRule="auto"/>
              <w:jc w:val="center"/>
              <w:rPr>
                <w:rFonts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COD</w:t>
            </w:r>
          </w:p>
        </w:tc>
        <w:tc>
          <w:tcPr>
            <w:tcW w:w="609" w:type="pct"/>
            <w:vAlign w:val="center"/>
          </w:tcPr>
          <w:p w14:paraId="58F4921D">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515" w:type="pct"/>
            <w:vAlign w:val="center"/>
          </w:tcPr>
          <w:p w14:paraId="044BC026">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464" w:type="pct"/>
            <w:vAlign w:val="center"/>
          </w:tcPr>
          <w:p w14:paraId="055D655D">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643" w:type="pct"/>
            <w:vAlign w:val="center"/>
          </w:tcPr>
          <w:p w14:paraId="130D2E21">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0.0576/0.0058</w:t>
            </w:r>
          </w:p>
        </w:tc>
        <w:tc>
          <w:tcPr>
            <w:tcW w:w="594" w:type="pct"/>
            <w:vAlign w:val="center"/>
          </w:tcPr>
          <w:p w14:paraId="244048C4">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690" w:type="dxa"/>
            <w:vAlign w:val="center"/>
          </w:tcPr>
          <w:p w14:paraId="47088D42">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0.0576/0.0058</w:t>
            </w:r>
          </w:p>
        </w:tc>
        <w:tc>
          <w:tcPr>
            <w:tcW w:w="1885" w:type="dxa"/>
            <w:vAlign w:val="center"/>
          </w:tcPr>
          <w:p w14:paraId="6F05DCBB">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0.0576/0.0058</w:t>
            </w:r>
          </w:p>
        </w:tc>
      </w:tr>
      <w:tr w14:paraId="5AC98E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93" w:type="pct"/>
            <w:vMerge w:val="continue"/>
            <w:vAlign w:val="center"/>
          </w:tcPr>
          <w:p w14:paraId="0B4BBB09">
            <w:pPr>
              <w:pStyle w:val="78"/>
              <w:spacing w:beforeLines="0" w:afterLines="0" w:line="240" w:lineRule="auto"/>
              <w:jc w:val="center"/>
              <w:rPr>
                <w:rFonts w:ascii="Times New Roman"/>
                <w:snapToGrid w:val="0"/>
                <w:color w:val="000000" w:themeColor="text1"/>
                <w:kern w:val="21"/>
                <w:sz w:val="24"/>
                <w:szCs w:val="24"/>
                <w:highlight w:val="none"/>
                <w14:textFill>
                  <w14:solidFill>
                    <w14:schemeClr w14:val="tx1"/>
                  </w14:solidFill>
                </w14:textFill>
              </w:rPr>
            </w:pPr>
          </w:p>
        </w:tc>
        <w:tc>
          <w:tcPr>
            <w:tcW w:w="454" w:type="pct"/>
            <w:vAlign w:val="center"/>
          </w:tcPr>
          <w:p w14:paraId="5BFB2965">
            <w:pPr>
              <w:pStyle w:val="78"/>
              <w:spacing w:beforeLines="0" w:afterLines="0" w:line="240" w:lineRule="auto"/>
              <w:jc w:val="center"/>
              <w:rPr>
                <w:rFonts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SS</w:t>
            </w:r>
          </w:p>
        </w:tc>
        <w:tc>
          <w:tcPr>
            <w:tcW w:w="609" w:type="pct"/>
            <w:vAlign w:val="center"/>
          </w:tcPr>
          <w:p w14:paraId="246083B2">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515" w:type="pct"/>
            <w:vAlign w:val="center"/>
          </w:tcPr>
          <w:p w14:paraId="79FA8B99">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464" w:type="pct"/>
            <w:vAlign w:val="center"/>
          </w:tcPr>
          <w:p w14:paraId="3C247CF9">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643" w:type="pct"/>
            <w:vAlign w:val="center"/>
          </w:tcPr>
          <w:p w14:paraId="637903CE">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0.0288/0.001</w:t>
            </w:r>
          </w:p>
        </w:tc>
        <w:tc>
          <w:tcPr>
            <w:tcW w:w="594" w:type="pct"/>
            <w:vAlign w:val="center"/>
          </w:tcPr>
          <w:p w14:paraId="67AFC48F">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690" w:type="dxa"/>
            <w:vAlign w:val="center"/>
          </w:tcPr>
          <w:p w14:paraId="4D9EAB66">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0.0288/0.001</w:t>
            </w:r>
          </w:p>
        </w:tc>
        <w:tc>
          <w:tcPr>
            <w:tcW w:w="1885" w:type="dxa"/>
            <w:vAlign w:val="center"/>
          </w:tcPr>
          <w:p w14:paraId="1658FF63">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0.0288/0.001</w:t>
            </w:r>
          </w:p>
        </w:tc>
      </w:tr>
      <w:tr w14:paraId="26D5B6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93" w:type="pct"/>
            <w:vMerge w:val="continue"/>
            <w:vAlign w:val="center"/>
          </w:tcPr>
          <w:p w14:paraId="574ED006">
            <w:pPr>
              <w:pStyle w:val="78"/>
              <w:spacing w:beforeLines="0" w:afterLines="0" w:line="240" w:lineRule="auto"/>
              <w:jc w:val="center"/>
              <w:rPr>
                <w:rFonts w:ascii="Times New Roman"/>
                <w:snapToGrid w:val="0"/>
                <w:color w:val="000000" w:themeColor="text1"/>
                <w:kern w:val="21"/>
                <w:sz w:val="24"/>
                <w:szCs w:val="24"/>
                <w:highlight w:val="none"/>
                <w14:textFill>
                  <w14:solidFill>
                    <w14:schemeClr w14:val="tx1"/>
                  </w14:solidFill>
                </w14:textFill>
              </w:rPr>
            </w:pPr>
          </w:p>
        </w:tc>
        <w:tc>
          <w:tcPr>
            <w:tcW w:w="454" w:type="pct"/>
            <w:vAlign w:val="center"/>
          </w:tcPr>
          <w:p w14:paraId="4858C980">
            <w:pPr>
              <w:pStyle w:val="78"/>
              <w:spacing w:beforeLines="0" w:afterLines="0" w:line="240" w:lineRule="auto"/>
              <w:jc w:val="center"/>
              <w:rPr>
                <w:rFonts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NH</w:t>
            </w:r>
            <w:r>
              <w:rPr>
                <w:rFonts w:hint="default" w:ascii="Times New Roman" w:hAnsi="Times New Roman" w:eastAsia="宋体" w:cs="Times New Roman"/>
                <w:snapToGrid w:val="0"/>
                <w:color w:val="000000" w:themeColor="text1"/>
                <w:kern w:val="21"/>
                <w:sz w:val="24"/>
                <w:szCs w:val="24"/>
                <w:highlight w:val="none"/>
                <w:vertAlign w:val="subscript"/>
                <w:lang w:val="en-US" w:eastAsia="zh-CN"/>
                <w14:textFill>
                  <w14:solidFill>
                    <w14:schemeClr w14:val="tx1"/>
                  </w14:solidFill>
                </w14:textFill>
              </w:rPr>
              <w:t>3</w:t>
            </w: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-N</w:t>
            </w:r>
          </w:p>
        </w:tc>
        <w:tc>
          <w:tcPr>
            <w:tcW w:w="609" w:type="pct"/>
            <w:vAlign w:val="center"/>
          </w:tcPr>
          <w:p w14:paraId="790FFAA0">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515" w:type="pct"/>
            <w:vAlign w:val="center"/>
          </w:tcPr>
          <w:p w14:paraId="650D6EFA">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464" w:type="pct"/>
            <w:vAlign w:val="center"/>
          </w:tcPr>
          <w:p w14:paraId="6BF59BDC">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643" w:type="pct"/>
            <w:vAlign w:val="center"/>
          </w:tcPr>
          <w:p w14:paraId="14D93268">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0.0048/0.0003</w:t>
            </w:r>
          </w:p>
        </w:tc>
        <w:tc>
          <w:tcPr>
            <w:tcW w:w="594" w:type="pct"/>
            <w:vAlign w:val="center"/>
          </w:tcPr>
          <w:p w14:paraId="2476E7C2">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690" w:type="dxa"/>
            <w:vAlign w:val="center"/>
          </w:tcPr>
          <w:p w14:paraId="7263EB0B">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0.0048/0.0003</w:t>
            </w:r>
          </w:p>
        </w:tc>
        <w:tc>
          <w:tcPr>
            <w:tcW w:w="1885" w:type="dxa"/>
            <w:vAlign w:val="center"/>
          </w:tcPr>
          <w:p w14:paraId="4579C788">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0.0048/0.0003</w:t>
            </w:r>
          </w:p>
        </w:tc>
      </w:tr>
      <w:tr w14:paraId="1DD8E0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93" w:type="pct"/>
            <w:vMerge w:val="continue"/>
            <w:vAlign w:val="center"/>
          </w:tcPr>
          <w:p w14:paraId="62B30579">
            <w:pPr>
              <w:pStyle w:val="78"/>
              <w:spacing w:beforeLines="0" w:afterLines="0" w:line="240" w:lineRule="auto"/>
              <w:jc w:val="center"/>
              <w:rPr>
                <w:rFonts w:ascii="Times New Roman"/>
                <w:snapToGrid w:val="0"/>
                <w:color w:val="000000" w:themeColor="text1"/>
                <w:kern w:val="21"/>
                <w:sz w:val="24"/>
                <w:szCs w:val="24"/>
                <w:highlight w:val="none"/>
                <w14:textFill>
                  <w14:solidFill>
                    <w14:schemeClr w14:val="tx1"/>
                  </w14:solidFill>
                </w14:textFill>
              </w:rPr>
            </w:pPr>
          </w:p>
        </w:tc>
        <w:tc>
          <w:tcPr>
            <w:tcW w:w="454" w:type="pct"/>
            <w:vAlign w:val="center"/>
          </w:tcPr>
          <w:p w14:paraId="5BDB1D49">
            <w:pPr>
              <w:pStyle w:val="78"/>
              <w:spacing w:beforeLines="0" w:afterLines="0" w:line="240" w:lineRule="auto"/>
              <w:jc w:val="center"/>
              <w:rPr>
                <w:rFonts w:ascii="Times New Roman" w:hAnsi="Times New Roman" w:eastAsia="宋体" w:cs="Times New Roman"/>
                <w:snapToGrid w:val="0"/>
                <w:color w:val="000000" w:themeColor="text1"/>
                <w:kern w:val="21"/>
                <w:sz w:val="24"/>
                <w:szCs w:val="24"/>
                <w:highlight w:val="none"/>
                <w:lang w:eastAsia="zh-TW"/>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TP</w:t>
            </w:r>
          </w:p>
        </w:tc>
        <w:tc>
          <w:tcPr>
            <w:tcW w:w="609" w:type="pct"/>
            <w:vAlign w:val="center"/>
          </w:tcPr>
          <w:p w14:paraId="56735E37">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515" w:type="pct"/>
            <w:vAlign w:val="center"/>
          </w:tcPr>
          <w:p w14:paraId="0602C95D">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464" w:type="pct"/>
            <w:vAlign w:val="center"/>
          </w:tcPr>
          <w:p w14:paraId="6B7E384C">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643" w:type="pct"/>
            <w:vAlign w:val="center"/>
          </w:tcPr>
          <w:p w14:paraId="241D99CD">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0.0008/0.0001</w:t>
            </w:r>
          </w:p>
        </w:tc>
        <w:tc>
          <w:tcPr>
            <w:tcW w:w="594" w:type="pct"/>
            <w:vAlign w:val="center"/>
          </w:tcPr>
          <w:p w14:paraId="4F6C9EA4">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690" w:type="dxa"/>
            <w:vAlign w:val="center"/>
          </w:tcPr>
          <w:p w14:paraId="6D96746D">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0.0008/0.0001</w:t>
            </w:r>
          </w:p>
        </w:tc>
        <w:tc>
          <w:tcPr>
            <w:tcW w:w="1885" w:type="dxa"/>
            <w:vAlign w:val="center"/>
          </w:tcPr>
          <w:p w14:paraId="6B634EB3">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0.0008/0.0001</w:t>
            </w:r>
          </w:p>
        </w:tc>
      </w:tr>
      <w:tr w14:paraId="5E3599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93" w:type="pct"/>
            <w:vMerge w:val="continue"/>
            <w:vAlign w:val="center"/>
          </w:tcPr>
          <w:p w14:paraId="69AC2DE5">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p>
        </w:tc>
        <w:tc>
          <w:tcPr>
            <w:tcW w:w="454" w:type="pct"/>
            <w:vAlign w:val="center"/>
          </w:tcPr>
          <w:p w14:paraId="3D3F6AC7">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TN</w:t>
            </w:r>
          </w:p>
        </w:tc>
        <w:tc>
          <w:tcPr>
            <w:tcW w:w="609" w:type="pct"/>
            <w:vAlign w:val="center"/>
          </w:tcPr>
          <w:p w14:paraId="07EC48F5">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515" w:type="pct"/>
            <w:vAlign w:val="center"/>
          </w:tcPr>
          <w:p w14:paraId="174D4729">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464" w:type="pct"/>
            <w:vAlign w:val="center"/>
          </w:tcPr>
          <w:p w14:paraId="0B0130F9">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643" w:type="pct"/>
            <w:vAlign w:val="center"/>
          </w:tcPr>
          <w:p w14:paraId="321DBA9B">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0.0067/0.0023</w:t>
            </w:r>
          </w:p>
        </w:tc>
        <w:tc>
          <w:tcPr>
            <w:tcW w:w="594" w:type="pct"/>
            <w:vAlign w:val="center"/>
          </w:tcPr>
          <w:p w14:paraId="798EEEC8">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690" w:type="dxa"/>
            <w:vAlign w:val="center"/>
          </w:tcPr>
          <w:p w14:paraId="24F27E3F">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0.0067/0.0023</w:t>
            </w:r>
          </w:p>
        </w:tc>
        <w:tc>
          <w:tcPr>
            <w:tcW w:w="1885" w:type="dxa"/>
            <w:vAlign w:val="center"/>
          </w:tcPr>
          <w:p w14:paraId="49B44852">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0.0067/0.0023</w:t>
            </w:r>
          </w:p>
        </w:tc>
      </w:tr>
      <w:tr w14:paraId="55CD97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93" w:type="pct"/>
            <w:vMerge w:val="restart"/>
            <w:vAlign w:val="center"/>
          </w:tcPr>
          <w:p w14:paraId="4A9D24E0">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bookmarkStart w:id="20" w:name="OLE_LINK30"/>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生活垃圾</w:t>
            </w:r>
          </w:p>
        </w:tc>
        <w:tc>
          <w:tcPr>
            <w:tcW w:w="454" w:type="pct"/>
            <w:vAlign w:val="center"/>
          </w:tcPr>
          <w:p w14:paraId="45B80C28">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生活垃圾</w:t>
            </w:r>
          </w:p>
        </w:tc>
        <w:tc>
          <w:tcPr>
            <w:tcW w:w="609" w:type="pct"/>
            <w:vAlign w:val="center"/>
          </w:tcPr>
          <w:p w14:paraId="29818877">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515" w:type="pct"/>
            <w:vAlign w:val="center"/>
          </w:tcPr>
          <w:p w14:paraId="64840E81">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464" w:type="pct"/>
            <w:vAlign w:val="center"/>
          </w:tcPr>
          <w:p w14:paraId="4DA069AE">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643" w:type="pct"/>
            <w:vAlign w:val="center"/>
          </w:tcPr>
          <w:p w14:paraId="3489A55E">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2.4</w:t>
            </w:r>
          </w:p>
        </w:tc>
        <w:tc>
          <w:tcPr>
            <w:tcW w:w="594" w:type="pct"/>
            <w:vAlign w:val="center"/>
          </w:tcPr>
          <w:p w14:paraId="6B86BC7B">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690" w:type="dxa"/>
            <w:vAlign w:val="center"/>
          </w:tcPr>
          <w:p w14:paraId="67B49275">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2.4</w:t>
            </w:r>
          </w:p>
        </w:tc>
        <w:tc>
          <w:tcPr>
            <w:tcW w:w="1885" w:type="dxa"/>
            <w:vAlign w:val="center"/>
          </w:tcPr>
          <w:p w14:paraId="1F690F7F">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+2.4</w:t>
            </w:r>
          </w:p>
        </w:tc>
      </w:tr>
      <w:tr w14:paraId="1A211F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93" w:type="pct"/>
            <w:vMerge w:val="continue"/>
            <w:vAlign w:val="center"/>
          </w:tcPr>
          <w:p w14:paraId="6E154013">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p>
        </w:tc>
        <w:tc>
          <w:tcPr>
            <w:tcW w:w="454" w:type="pct"/>
            <w:vAlign w:val="center"/>
          </w:tcPr>
          <w:p w14:paraId="7EC320D7">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化粪池污泥</w:t>
            </w:r>
          </w:p>
        </w:tc>
        <w:tc>
          <w:tcPr>
            <w:tcW w:w="609" w:type="pct"/>
            <w:vAlign w:val="center"/>
          </w:tcPr>
          <w:p w14:paraId="4160607A">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515" w:type="pct"/>
            <w:vAlign w:val="center"/>
          </w:tcPr>
          <w:p w14:paraId="1B870E76">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464" w:type="pct"/>
            <w:vAlign w:val="center"/>
          </w:tcPr>
          <w:p w14:paraId="15A818AA">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643" w:type="pct"/>
            <w:vAlign w:val="center"/>
          </w:tcPr>
          <w:p w14:paraId="5FD0A1C9">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0.48</w:t>
            </w:r>
          </w:p>
        </w:tc>
        <w:tc>
          <w:tcPr>
            <w:tcW w:w="594" w:type="pct"/>
            <w:vAlign w:val="center"/>
          </w:tcPr>
          <w:p w14:paraId="12465FA7">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690" w:type="dxa"/>
            <w:vAlign w:val="center"/>
          </w:tcPr>
          <w:p w14:paraId="683CAA3E">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0.48</w:t>
            </w:r>
          </w:p>
        </w:tc>
        <w:tc>
          <w:tcPr>
            <w:tcW w:w="1885" w:type="dxa"/>
            <w:vAlign w:val="center"/>
          </w:tcPr>
          <w:p w14:paraId="22BB449A">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0.48</w:t>
            </w:r>
          </w:p>
        </w:tc>
      </w:tr>
      <w:tr w14:paraId="5557CA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93" w:type="pct"/>
            <w:vMerge w:val="restart"/>
            <w:vAlign w:val="center"/>
          </w:tcPr>
          <w:p w14:paraId="69A1190E">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一般工业</w:t>
            </w:r>
          </w:p>
          <w:p w14:paraId="50D9C67E">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固体废物</w:t>
            </w:r>
          </w:p>
        </w:tc>
        <w:tc>
          <w:tcPr>
            <w:tcW w:w="454" w:type="pct"/>
            <w:vAlign w:val="center"/>
          </w:tcPr>
          <w:p w14:paraId="426D7ECD">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边角料</w:t>
            </w:r>
          </w:p>
        </w:tc>
        <w:tc>
          <w:tcPr>
            <w:tcW w:w="609" w:type="pct"/>
            <w:vAlign w:val="center"/>
          </w:tcPr>
          <w:p w14:paraId="75F3B12C">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515" w:type="pct"/>
            <w:vAlign w:val="center"/>
          </w:tcPr>
          <w:p w14:paraId="18EAFC9C">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464" w:type="pct"/>
            <w:vAlign w:val="center"/>
          </w:tcPr>
          <w:p w14:paraId="6C486B7F">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736" w:type="dxa"/>
            <w:vAlign w:val="center"/>
          </w:tcPr>
          <w:p w14:paraId="70C8618C">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7.5</w:t>
            </w:r>
          </w:p>
        </w:tc>
        <w:tc>
          <w:tcPr>
            <w:tcW w:w="594" w:type="pct"/>
            <w:vAlign w:val="center"/>
          </w:tcPr>
          <w:p w14:paraId="1FC7C30E">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690" w:type="dxa"/>
            <w:vAlign w:val="center"/>
          </w:tcPr>
          <w:p w14:paraId="09321980">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7.5</w:t>
            </w:r>
          </w:p>
        </w:tc>
        <w:tc>
          <w:tcPr>
            <w:tcW w:w="1885" w:type="dxa"/>
            <w:vAlign w:val="center"/>
          </w:tcPr>
          <w:p w14:paraId="1B5188F2">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+7.5</w:t>
            </w:r>
          </w:p>
        </w:tc>
      </w:tr>
      <w:tr w14:paraId="184F70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93" w:type="pct"/>
            <w:vMerge w:val="continue"/>
            <w:vAlign w:val="center"/>
          </w:tcPr>
          <w:p w14:paraId="6B27A9B0">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p>
        </w:tc>
        <w:tc>
          <w:tcPr>
            <w:tcW w:w="1227" w:type="dxa"/>
            <w:vAlign w:val="center"/>
          </w:tcPr>
          <w:p w14:paraId="1508EBB1">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不合格品</w:t>
            </w:r>
          </w:p>
        </w:tc>
        <w:tc>
          <w:tcPr>
            <w:tcW w:w="1644" w:type="dxa"/>
            <w:vAlign w:val="center"/>
          </w:tcPr>
          <w:p w14:paraId="4EB0479F">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391" w:type="dxa"/>
            <w:vAlign w:val="center"/>
          </w:tcPr>
          <w:p w14:paraId="2C03A563">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253" w:type="dxa"/>
            <w:vAlign w:val="center"/>
          </w:tcPr>
          <w:p w14:paraId="429354CE">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736" w:type="dxa"/>
            <w:vAlign w:val="center"/>
          </w:tcPr>
          <w:p w14:paraId="6FDB0B55">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1.5</w:t>
            </w:r>
          </w:p>
        </w:tc>
        <w:tc>
          <w:tcPr>
            <w:tcW w:w="1604" w:type="dxa"/>
            <w:vAlign w:val="center"/>
          </w:tcPr>
          <w:p w14:paraId="06379EFC">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690" w:type="dxa"/>
            <w:vAlign w:val="center"/>
          </w:tcPr>
          <w:p w14:paraId="41260FC3">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1.5</w:t>
            </w:r>
          </w:p>
        </w:tc>
        <w:tc>
          <w:tcPr>
            <w:tcW w:w="1885" w:type="dxa"/>
            <w:vAlign w:val="center"/>
          </w:tcPr>
          <w:p w14:paraId="4162F277">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+1.5</w:t>
            </w:r>
          </w:p>
        </w:tc>
      </w:tr>
      <w:tr w14:paraId="4B8985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93" w:type="pct"/>
            <w:vMerge w:val="continue"/>
            <w:vAlign w:val="center"/>
          </w:tcPr>
          <w:p w14:paraId="3A06090C">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p>
        </w:tc>
        <w:tc>
          <w:tcPr>
            <w:tcW w:w="454" w:type="pct"/>
            <w:vAlign w:val="center"/>
          </w:tcPr>
          <w:p w14:paraId="25EE27D5">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废包装材料</w:t>
            </w:r>
          </w:p>
        </w:tc>
        <w:tc>
          <w:tcPr>
            <w:tcW w:w="609" w:type="pct"/>
            <w:vAlign w:val="center"/>
          </w:tcPr>
          <w:p w14:paraId="5DC1423C">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515" w:type="pct"/>
            <w:vAlign w:val="center"/>
          </w:tcPr>
          <w:p w14:paraId="04F67385">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464" w:type="pct"/>
            <w:vAlign w:val="center"/>
          </w:tcPr>
          <w:p w14:paraId="41096F84">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736" w:type="dxa"/>
            <w:vAlign w:val="center"/>
          </w:tcPr>
          <w:p w14:paraId="424E6AD2">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0.1</w:t>
            </w:r>
          </w:p>
        </w:tc>
        <w:tc>
          <w:tcPr>
            <w:tcW w:w="594" w:type="pct"/>
            <w:vAlign w:val="center"/>
          </w:tcPr>
          <w:p w14:paraId="27A72A94">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690" w:type="dxa"/>
            <w:vAlign w:val="center"/>
          </w:tcPr>
          <w:p w14:paraId="1E64566F">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0.1</w:t>
            </w:r>
          </w:p>
        </w:tc>
        <w:tc>
          <w:tcPr>
            <w:tcW w:w="1885" w:type="dxa"/>
            <w:vAlign w:val="center"/>
          </w:tcPr>
          <w:p w14:paraId="13E6EC2C">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+0.1</w:t>
            </w:r>
          </w:p>
        </w:tc>
      </w:tr>
      <w:bookmarkEnd w:id="19"/>
      <w:tr w14:paraId="02BAC0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93" w:type="pct"/>
            <w:vMerge w:val="restart"/>
            <w:vAlign w:val="center"/>
          </w:tcPr>
          <w:p w14:paraId="76743D48">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危险废</w:t>
            </w:r>
            <w:bookmarkEnd w:id="20"/>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物</w:t>
            </w:r>
          </w:p>
        </w:tc>
        <w:tc>
          <w:tcPr>
            <w:tcW w:w="1227" w:type="dxa"/>
            <w:vAlign w:val="center"/>
          </w:tcPr>
          <w:p w14:paraId="7726DA47">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废过滤棉</w:t>
            </w:r>
          </w:p>
        </w:tc>
        <w:tc>
          <w:tcPr>
            <w:tcW w:w="609" w:type="pct"/>
            <w:vAlign w:val="center"/>
          </w:tcPr>
          <w:p w14:paraId="1E963A2A">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515" w:type="pct"/>
            <w:vAlign w:val="center"/>
          </w:tcPr>
          <w:p w14:paraId="26F2C1B0">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464" w:type="pct"/>
            <w:vAlign w:val="center"/>
          </w:tcPr>
          <w:p w14:paraId="3338D7B3">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736" w:type="dxa"/>
            <w:vAlign w:val="center"/>
          </w:tcPr>
          <w:p w14:paraId="5BCFC399">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0.6</w:t>
            </w:r>
          </w:p>
        </w:tc>
        <w:tc>
          <w:tcPr>
            <w:tcW w:w="594" w:type="pct"/>
            <w:vAlign w:val="center"/>
          </w:tcPr>
          <w:p w14:paraId="0DF5FFD7">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690" w:type="dxa"/>
            <w:vAlign w:val="center"/>
          </w:tcPr>
          <w:p w14:paraId="72525926">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0.6</w:t>
            </w:r>
          </w:p>
        </w:tc>
        <w:tc>
          <w:tcPr>
            <w:tcW w:w="1885" w:type="dxa"/>
            <w:vAlign w:val="center"/>
          </w:tcPr>
          <w:p w14:paraId="3145BB61">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+0.6</w:t>
            </w:r>
          </w:p>
        </w:tc>
      </w:tr>
      <w:tr w14:paraId="27CF90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93" w:type="pct"/>
            <w:vMerge w:val="continue"/>
            <w:vAlign w:val="center"/>
          </w:tcPr>
          <w:p w14:paraId="77B246AF">
            <w:pPr>
              <w:keepNext w:val="0"/>
              <w:keepLines w:val="0"/>
              <w:widowControl/>
              <w:suppressLineNumbers w:val="0"/>
              <w:jc w:val="center"/>
              <w:textAlignment w:val="cente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p>
        </w:tc>
        <w:tc>
          <w:tcPr>
            <w:tcW w:w="1227" w:type="dxa"/>
            <w:shd w:val="clear" w:color="auto" w:fill="auto"/>
            <w:vAlign w:val="center"/>
          </w:tcPr>
          <w:p w14:paraId="0FF2B96F">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废活性炭</w:t>
            </w:r>
          </w:p>
        </w:tc>
        <w:tc>
          <w:tcPr>
            <w:tcW w:w="609" w:type="pct"/>
            <w:shd w:val="clear" w:color="auto" w:fill="auto"/>
            <w:vAlign w:val="center"/>
          </w:tcPr>
          <w:p w14:paraId="4D744E62">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515" w:type="pct"/>
            <w:shd w:val="clear" w:color="auto" w:fill="auto"/>
            <w:vAlign w:val="center"/>
          </w:tcPr>
          <w:p w14:paraId="1F645254">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464" w:type="pct"/>
            <w:shd w:val="clear" w:color="auto" w:fill="auto"/>
            <w:vAlign w:val="center"/>
          </w:tcPr>
          <w:p w14:paraId="0FC13CCD">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736" w:type="dxa"/>
            <w:shd w:val="clear" w:color="auto" w:fill="auto"/>
            <w:vAlign w:val="center"/>
          </w:tcPr>
          <w:p w14:paraId="1225D6C0">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5.6</w:t>
            </w:r>
          </w:p>
        </w:tc>
        <w:tc>
          <w:tcPr>
            <w:tcW w:w="594" w:type="pct"/>
            <w:shd w:val="clear" w:color="auto" w:fill="auto"/>
            <w:vAlign w:val="center"/>
          </w:tcPr>
          <w:p w14:paraId="22B5FFB1">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690" w:type="dxa"/>
            <w:shd w:val="clear" w:color="auto" w:fill="auto"/>
            <w:vAlign w:val="center"/>
          </w:tcPr>
          <w:p w14:paraId="301BD9C6">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5.6</w:t>
            </w:r>
          </w:p>
        </w:tc>
        <w:tc>
          <w:tcPr>
            <w:tcW w:w="1885" w:type="dxa"/>
            <w:shd w:val="clear" w:color="auto" w:fill="auto"/>
            <w:vAlign w:val="center"/>
          </w:tcPr>
          <w:p w14:paraId="2676A128">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5.6</w:t>
            </w:r>
          </w:p>
        </w:tc>
      </w:tr>
      <w:tr w14:paraId="737677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93" w:type="pct"/>
            <w:vMerge w:val="continue"/>
            <w:vAlign w:val="center"/>
          </w:tcPr>
          <w:p w14:paraId="39E59A4F">
            <w:pPr>
              <w:keepNext w:val="0"/>
              <w:keepLines w:val="0"/>
              <w:widowControl/>
              <w:suppressLineNumbers w:val="0"/>
              <w:jc w:val="center"/>
              <w:textAlignment w:val="cente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p>
        </w:tc>
        <w:tc>
          <w:tcPr>
            <w:tcW w:w="1227" w:type="dxa"/>
            <w:shd w:val="clear" w:color="auto" w:fill="auto"/>
            <w:vAlign w:val="center"/>
          </w:tcPr>
          <w:p w14:paraId="2A566850">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废包装物</w:t>
            </w:r>
          </w:p>
        </w:tc>
        <w:tc>
          <w:tcPr>
            <w:tcW w:w="609" w:type="pct"/>
            <w:shd w:val="clear" w:color="auto" w:fill="auto"/>
            <w:vAlign w:val="center"/>
          </w:tcPr>
          <w:p w14:paraId="1CF95D5C">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515" w:type="pct"/>
            <w:shd w:val="clear" w:color="auto" w:fill="auto"/>
            <w:vAlign w:val="center"/>
          </w:tcPr>
          <w:p w14:paraId="1045F89C">
            <w:pPr>
              <w:pStyle w:val="78"/>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464" w:type="pct"/>
            <w:shd w:val="clear" w:color="auto" w:fill="auto"/>
            <w:vAlign w:val="center"/>
          </w:tcPr>
          <w:p w14:paraId="1DD3A6E4">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736" w:type="dxa"/>
            <w:shd w:val="clear" w:color="auto" w:fill="auto"/>
            <w:vAlign w:val="center"/>
          </w:tcPr>
          <w:p w14:paraId="50BFF5AE">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1.25</w:t>
            </w:r>
          </w:p>
        </w:tc>
        <w:tc>
          <w:tcPr>
            <w:tcW w:w="594" w:type="pct"/>
            <w:shd w:val="clear" w:color="auto" w:fill="auto"/>
            <w:vAlign w:val="center"/>
          </w:tcPr>
          <w:p w14:paraId="4CE95A20">
            <w:pPr>
              <w:pStyle w:val="78"/>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p>
        </w:tc>
        <w:tc>
          <w:tcPr>
            <w:tcW w:w="1690" w:type="dxa"/>
            <w:shd w:val="clear" w:color="auto" w:fill="auto"/>
            <w:vAlign w:val="center"/>
          </w:tcPr>
          <w:p w14:paraId="6BEFF395">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1.25</w:t>
            </w:r>
          </w:p>
        </w:tc>
        <w:tc>
          <w:tcPr>
            <w:tcW w:w="1885" w:type="dxa"/>
            <w:shd w:val="clear" w:color="auto" w:fill="auto"/>
            <w:vAlign w:val="center"/>
          </w:tcPr>
          <w:p w14:paraId="384C51B8">
            <w:pPr>
              <w:pStyle w:val="78"/>
              <w:spacing w:beforeLines="0" w:afterLines="0" w:line="240" w:lineRule="auto"/>
              <w:ind w:firstLine="0" w:firstLineChars="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+1.25</w:t>
            </w:r>
          </w:p>
        </w:tc>
      </w:tr>
    </w:tbl>
    <w:p w14:paraId="50E3CAC4">
      <w:pPr>
        <w:pStyle w:val="78"/>
        <w:spacing w:before="192" w:beforeLines="80" w:after="24"/>
        <w:jc w:val="left"/>
        <w:rPr>
          <w:color w:val="000000" w:themeColor="text1"/>
          <w:highlight w:val="none"/>
          <w14:textFill>
            <w14:solidFill>
              <w14:schemeClr w14:val="tx1"/>
            </w14:solidFill>
          </w14:textFill>
        </w:rPr>
        <w:sectPr>
          <w:footerReference r:id="rId9" w:type="default"/>
          <w:pgSz w:w="16838" w:h="11906" w:orient="landscape"/>
          <w:pgMar w:top="1531" w:right="1701" w:bottom="1531" w:left="1701" w:header="851" w:footer="851" w:gutter="0"/>
          <w:pgBorders>
            <w:top w:val="none" w:sz="0" w:space="0"/>
            <w:left w:val="none" w:sz="0" w:space="0"/>
            <w:bottom w:val="none" w:sz="0" w:space="0"/>
            <w:right w:val="none" w:sz="0" w:space="0"/>
          </w:pgBorders>
          <w:pgNumType w:fmt="numberInDash"/>
          <w:cols w:space="720" w:num="1"/>
          <w:docGrid w:linePitch="312" w:charSpace="0"/>
        </w:sectPr>
      </w:pPr>
      <w:r>
        <w:rPr>
          <w:rFonts w:ascii="Times New Roman"/>
          <w:snapToGrid w:val="0"/>
          <w:color w:val="000000" w:themeColor="text1"/>
          <w:kern w:val="21"/>
          <w:szCs w:val="21"/>
          <w:highlight w:val="none"/>
          <w14:textFill>
            <w14:solidFill>
              <w14:schemeClr w14:val="tx1"/>
            </w14:solidFill>
          </w14:textFill>
        </w:rPr>
        <w:t>注：</w:t>
      </w:r>
      <w:r>
        <w:rPr>
          <w:rFonts w:ascii="Times New Roman"/>
          <w:snapToGrid w:val="0"/>
          <w:color w:val="000000" w:themeColor="text1"/>
          <w:spacing w:val="-16"/>
          <w:kern w:val="21"/>
          <w:szCs w:val="21"/>
          <w:highlight w:val="none"/>
          <w14:textFill>
            <w14:solidFill>
              <w14:schemeClr w14:val="tx1"/>
            </w14:solidFill>
          </w14:textFill>
        </w:rPr>
        <w:fldChar w:fldCharType="begin"/>
      </w:r>
      <w:r>
        <w:rPr>
          <w:rFonts w:ascii="Times New Roman"/>
          <w:snapToGrid w:val="0"/>
          <w:color w:val="000000" w:themeColor="text1"/>
          <w:spacing w:val="-16"/>
          <w:kern w:val="21"/>
          <w:szCs w:val="21"/>
          <w:highlight w:val="none"/>
          <w14:textFill>
            <w14:solidFill>
              <w14:schemeClr w14:val="tx1"/>
            </w14:solidFill>
          </w14:textFill>
        </w:rPr>
        <w:instrText xml:space="preserve"> = 6 \* GB3 \* MERGEFORMAT </w:instrText>
      </w:r>
      <w:r>
        <w:rPr>
          <w:rFonts w:ascii="Times New Roman"/>
          <w:snapToGrid w:val="0"/>
          <w:color w:val="000000" w:themeColor="text1"/>
          <w:spacing w:val="-16"/>
          <w:kern w:val="21"/>
          <w:szCs w:val="21"/>
          <w:highlight w:val="none"/>
          <w14:textFill>
            <w14:solidFill>
              <w14:schemeClr w14:val="tx1"/>
            </w14:solidFill>
          </w14:textFill>
        </w:rPr>
        <w:fldChar w:fldCharType="separate"/>
      </w:r>
      <w:r>
        <w:rPr>
          <w:rFonts w:ascii="Times New Roman"/>
          <w:color w:val="000000" w:themeColor="text1"/>
          <w:szCs w:val="21"/>
          <w:highlight w:val="none"/>
          <w14:textFill>
            <w14:solidFill>
              <w14:schemeClr w14:val="tx1"/>
            </w14:solidFill>
          </w14:textFill>
        </w:rPr>
        <w:t>⑥</w:t>
      </w:r>
      <w:r>
        <w:rPr>
          <w:rFonts w:ascii="Times New Roman"/>
          <w:snapToGrid w:val="0"/>
          <w:color w:val="000000" w:themeColor="text1"/>
          <w:spacing w:val="-16"/>
          <w:kern w:val="21"/>
          <w:szCs w:val="21"/>
          <w:highlight w:val="none"/>
          <w14:textFill>
            <w14:solidFill>
              <w14:schemeClr w14:val="tx1"/>
            </w14:solidFill>
          </w14:textFill>
        </w:rPr>
        <w:fldChar w:fldCharType="end"/>
      </w:r>
      <w:r>
        <w:rPr>
          <w:rFonts w:ascii="Times New Roman"/>
          <w:snapToGrid w:val="0"/>
          <w:color w:val="000000" w:themeColor="text1"/>
          <w:spacing w:val="-16"/>
          <w:kern w:val="21"/>
          <w:szCs w:val="21"/>
          <w:highlight w:val="none"/>
          <w14:textFill>
            <w14:solidFill>
              <w14:schemeClr w14:val="tx1"/>
            </w14:solidFill>
          </w14:textFill>
        </w:rPr>
        <w:t>=</w:t>
      </w:r>
      <w:r>
        <w:rPr>
          <w:rFonts w:ascii="Times New Roman"/>
          <w:snapToGrid w:val="0"/>
          <w:color w:val="000000" w:themeColor="text1"/>
          <w:spacing w:val="-6"/>
          <w:kern w:val="21"/>
          <w:szCs w:val="21"/>
          <w:highlight w:val="none"/>
          <w14:textFill>
            <w14:solidFill>
              <w14:schemeClr w14:val="tx1"/>
            </w14:solidFill>
          </w14:textFill>
        </w:rPr>
        <w:t>②+</w:t>
      </w:r>
      <w:r>
        <w:rPr>
          <w:rFonts w:ascii="Times New Roman"/>
          <w:snapToGrid w:val="0"/>
          <w:color w:val="000000" w:themeColor="text1"/>
          <w:spacing w:val="-6"/>
          <w:kern w:val="21"/>
          <w:szCs w:val="21"/>
          <w:highlight w:val="none"/>
          <w14:textFill>
            <w14:solidFill>
              <w14:schemeClr w14:val="tx1"/>
            </w14:solidFill>
          </w14:textFill>
        </w:rPr>
        <w:fldChar w:fldCharType="begin"/>
      </w:r>
      <w:r>
        <w:rPr>
          <w:rFonts w:ascii="Times New Roman"/>
          <w:snapToGrid w:val="0"/>
          <w:color w:val="000000" w:themeColor="text1"/>
          <w:spacing w:val="-6"/>
          <w:kern w:val="21"/>
          <w:szCs w:val="21"/>
          <w:highlight w:val="none"/>
          <w14:textFill>
            <w14:solidFill>
              <w14:schemeClr w14:val="tx1"/>
            </w14:solidFill>
          </w14:textFill>
        </w:rPr>
        <w:instrText xml:space="preserve"> = 3 \* GB3 \* MERGEFORMAT </w:instrText>
      </w:r>
      <w:r>
        <w:rPr>
          <w:rFonts w:ascii="Times New Roman"/>
          <w:snapToGrid w:val="0"/>
          <w:color w:val="000000" w:themeColor="text1"/>
          <w:spacing w:val="-6"/>
          <w:kern w:val="21"/>
          <w:szCs w:val="21"/>
          <w:highlight w:val="none"/>
          <w14:textFill>
            <w14:solidFill>
              <w14:schemeClr w14:val="tx1"/>
            </w14:solidFill>
          </w14:textFill>
        </w:rPr>
        <w:fldChar w:fldCharType="separate"/>
      </w:r>
      <w:r>
        <w:rPr>
          <w:rFonts w:ascii="Times New Roman"/>
          <w:color w:val="000000" w:themeColor="text1"/>
          <w:szCs w:val="21"/>
          <w:highlight w:val="none"/>
          <w14:textFill>
            <w14:solidFill>
              <w14:schemeClr w14:val="tx1"/>
            </w14:solidFill>
          </w14:textFill>
        </w:rPr>
        <w:t>③</w:t>
      </w:r>
      <w:r>
        <w:rPr>
          <w:rFonts w:ascii="Times New Roman"/>
          <w:snapToGrid w:val="0"/>
          <w:color w:val="000000" w:themeColor="text1"/>
          <w:spacing w:val="-6"/>
          <w:kern w:val="21"/>
          <w:szCs w:val="21"/>
          <w:highlight w:val="none"/>
          <w14:textFill>
            <w14:solidFill>
              <w14:schemeClr w14:val="tx1"/>
            </w14:solidFill>
          </w14:textFill>
        </w:rPr>
        <w:fldChar w:fldCharType="end"/>
      </w:r>
      <w:r>
        <w:rPr>
          <w:rFonts w:ascii="Times New Roman"/>
          <w:snapToGrid w:val="0"/>
          <w:color w:val="000000" w:themeColor="text1"/>
          <w:spacing w:val="-6"/>
          <w:kern w:val="21"/>
          <w:szCs w:val="21"/>
          <w:highlight w:val="none"/>
          <w14:textFill>
            <w14:solidFill>
              <w14:schemeClr w14:val="tx1"/>
            </w14:solidFill>
          </w14:textFill>
        </w:rPr>
        <w:t>+</w:t>
      </w:r>
      <w:r>
        <w:rPr>
          <w:rFonts w:ascii="Times New Roman"/>
          <w:snapToGrid w:val="0"/>
          <w:color w:val="000000" w:themeColor="text1"/>
          <w:spacing w:val="-6"/>
          <w:kern w:val="21"/>
          <w:szCs w:val="21"/>
          <w:highlight w:val="none"/>
          <w14:textFill>
            <w14:solidFill>
              <w14:schemeClr w14:val="tx1"/>
            </w14:solidFill>
          </w14:textFill>
        </w:rPr>
        <w:fldChar w:fldCharType="begin"/>
      </w:r>
      <w:r>
        <w:rPr>
          <w:rFonts w:ascii="Times New Roman"/>
          <w:snapToGrid w:val="0"/>
          <w:color w:val="000000" w:themeColor="text1"/>
          <w:spacing w:val="-6"/>
          <w:kern w:val="21"/>
          <w:szCs w:val="21"/>
          <w:highlight w:val="none"/>
          <w14:textFill>
            <w14:solidFill>
              <w14:schemeClr w14:val="tx1"/>
            </w14:solidFill>
          </w14:textFill>
        </w:rPr>
        <w:instrText xml:space="preserve"> = 4 \* GB3 \* MERGEFORMAT </w:instrText>
      </w:r>
      <w:r>
        <w:rPr>
          <w:rFonts w:ascii="Times New Roman"/>
          <w:snapToGrid w:val="0"/>
          <w:color w:val="000000" w:themeColor="text1"/>
          <w:spacing w:val="-6"/>
          <w:kern w:val="21"/>
          <w:szCs w:val="21"/>
          <w:highlight w:val="none"/>
          <w14:textFill>
            <w14:solidFill>
              <w14:schemeClr w14:val="tx1"/>
            </w14:solidFill>
          </w14:textFill>
        </w:rPr>
        <w:fldChar w:fldCharType="separate"/>
      </w:r>
      <w:r>
        <w:rPr>
          <w:rFonts w:ascii="Times New Roman"/>
          <w:color w:val="000000" w:themeColor="text1"/>
          <w:szCs w:val="21"/>
          <w:highlight w:val="none"/>
          <w14:textFill>
            <w14:solidFill>
              <w14:schemeClr w14:val="tx1"/>
            </w14:solidFill>
          </w14:textFill>
        </w:rPr>
        <w:t>④</w:t>
      </w:r>
      <w:r>
        <w:rPr>
          <w:rFonts w:ascii="Times New Roman"/>
          <w:snapToGrid w:val="0"/>
          <w:color w:val="000000" w:themeColor="text1"/>
          <w:spacing w:val="-6"/>
          <w:kern w:val="21"/>
          <w:szCs w:val="21"/>
          <w:highlight w:val="none"/>
          <w14:textFill>
            <w14:solidFill>
              <w14:schemeClr w14:val="tx1"/>
            </w14:solidFill>
          </w14:textFill>
        </w:rPr>
        <w:fldChar w:fldCharType="end"/>
      </w:r>
      <w:r>
        <w:rPr>
          <w:rFonts w:ascii="Times New Roman"/>
          <w:snapToGrid w:val="0"/>
          <w:color w:val="000000" w:themeColor="text1"/>
          <w:spacing w:val="-6"/>
          <w:kern w:val="21"/>
          <w:szCs w:val="21"/>
          <w:highlight w:val="none"/>
          <w14:textFill>
            <w14:solidFill>
              <w14:schemeClr w14:val="tx1"/>
            </w14:solidFill>
          </w14:textFill>
        </w:rPr>
        <w:t>-</w:t>
      </w:r>
      <w:r>
        <w:rPr>
          <w:rFonts w:ascii="Times New Roman"/>
          <w:snapToGrid w:val="0"/>
          <w:color w:val="000000" w:themeColor="text1"/>
          <w:spacing w:val="-16"/>
          <w:kern w:val="21"/>
          <w:szCs w:val="21"/>
          <w:highlight w:val="none"/>
          <w14:textFill>
            <w14:solidFill>
              <w14:schemeClr w14:val="tx1"/>
            </w14:solidFill>
          </w14:textFill>
        </w:rPr>
        <w:fldChar w:fldCharType="begin"/>
      </w:r>
      <w:r>
        <w:rPr>
          <w:rFonts w:ascii="Times New Roman"/>
          <w:snapToGrid w:val="0"/>
          <w:color w:val="000000" w:themeColor="text1"/>
          <w:spacing w:val="-16"/>
          <w:kern w:val="21"/>
          <w:szCs w:val="21"/>
          <w:highlight w:val="none"/>
          <w14:textFill>
            <w14:solidFill>
              <w14:schemeClr w14:val="tx1"/>
            </w14:solidFill>
          </w14:textFill>
        </w:rPr>
        <w:instrText xml:space="preserve"> = 5 \* GB3 \* MERGEFORMAT </w:instrText>
      </w:r>
      <w:r>
        <w:rPr>
          <w:rFonts w:ascii="Times New Roman"/>
          <w:snapToGrid w:val="0"/>
          <w:color w:val="000000" w:themeColor="text1"/>
          <w:spacing w:val="-16"/>
          <w:kern w:val="21"/>
          <w:szCs w:val="21"/>
          <w:highlight w:val="none"/>
          <w14:textFill>
            <w14:solidFill>
              <w14:schemeClr w14:val="tx1"/>
            </w14:solidFill>
          </w14:textFill>
        </w:rPr>
        <w:fldChar w:fldCharType="separate"/>
      </w:r>
      <w:r>
        <w:rPr>
          <w:rFonts w:ascii="Times New Roman"/>
          <w:color w:val="000000" w:themeColor="text1"/>
          <w:szCs w:val="21"/>
          <w:highlight w:val="none"/>
          <w14:textFill>
            <w14:solidFill>
              <w14:schemeClr w14:val="tx1"/>
            </w14:solidFill>
          </w14:textFill>
        </w:rPr>
        <w:t>⑤</w:t>
      </w:r>
      <w:r>
        <w:rPr>
          <w:rFonts w:ascii="Times New Roman"/>
          <w:snapToGrid w:val="0"/>
          <w:color w:val="000000" w:themeColor="text1"/>
          <w:spacing w:val="-16"/>
          <w:kern w:val="21"/>
          <w:szCs w:val="21"/>
          <w:highlight w:val="none"/>
          <w14:textFill>
            <w14:solidFill>
              <w14:schemeClr w14:val="tx1"/>
            </w14:solidFill>
          </w14:textFill>
        </w:rPr>
        <w:fldChar w:fldCharType="end"/>
      </w:r>
      <w:r>
        <w:rPr>
          <w:rFonts w:ascii="Times New Roman"/>
          <w:snapToGrid w:val="0"/>
          <w:color w:val="000000" w:themeColor="text1"/>
          <w:spacing w:val="-16"/>
          <w:kern w:val="21"/>
          <w:szCs w:val="21"/>
          <w:highlight w:val="none"/>
          <w14:textFill>
            <w14:solidFill>
              <w14:schemeClr w14:val="tx1"/>
            </w14:solidFill>
          </w14:textFill>
        </w:rPr>
        <w:t>；</w:t>
      </w:r>
      <w:r>
        <w:rPr>
          <w:rFonts w:ascii="Times New Roman"/>
          <w:snapToGrid w:val="0"/>
          <w:color w:val="000000" w:themeColor="text1"/>
          <w:spacing w:val="-6"/>
          <w:kern w:val="21"/>
          <w:szCs w:val="21"/>
          <w:highlight w:val="none"/>
          <w14:textFill>
            <w14:solidFill>
              <w14:schemeClr w14:val="tx1"/>
            </w14:solidFill>
          </w14:textFill>
        </w:rPr>
        <w:fldChar w:fldCharType="begin"/>
      </w:r>
      <w:r>
        <w:rPr>
          <w:rFonts w:ascii="Times New Roman"/>
          <w:snapToGrid w:val="0"/>
          <w:color w:val="000000" w:themeColor="text1"/>
          <w:spacing w:val="-6"/>
          <w:kern w:val="21"/>
          <w:szCs w:val="21"/>
          <w:highlight w:val="none"/>
          <w14:textFill>
            <w14:solidFill>
              <w14:schemeClr w14:val="tx1"/>
            </w14:solidFill>
          </w14:textFill>
        </w:rPr>
        <w:instrText xml:space="preserve"> = 7 \* GB3 \* MERGEFORMAT </w:instrText>
      </w:r>
      <w:r>
        <w:rPr>
          <w:rFonts w:ascii="Times New Roman"/>
          <w:snapToGrid w:val="0"/>
          <w:color w:val="000000" w:themeColor="text1"/>
          <w:spacing w:val="-6"/>
          <w:kern w:val="21"/>
          <w:szCs w:val="21"/>
          <w:highlight w:val="none"/>
          <w14:textFill>
            <w14:solidFill>
              <w14:schemeClr w14:val="tx1"/>
            </w14:solidFill>
          </w14:textFill>
        </w:rPr>
        <w:fldChar w:fldCharType="separate"/>
      </w:r>
      <w:r>
        <w:rPr>
          <w:rFonts w:ascii="Times New Roman"/>
          <w:color w:val="000000" w:themeColor="text1"/>
          <w:szCs w:val="21"/>
          <w:highlight w:val="none"/>
          <w14:textFill>
            <w14:solidFill>
              <w14:schemeClr w14:val="tx1"/>
            </w14:solidFill>
          </w14:textFill>
        </w:rPr>
        <w:t>⑦</w:t>
      </w:r>
      <w:r>
        <w:rPr>
          <w:rFonts w:ascii="Times New Roman"/>
          <w:snapToGrid w:val="0"/>
          <w:color w:val="000000" w:themeColor="text1"/>
          <w:spacing w:val="-6"/>
          <w:kern w:val="21"/>
          <w:szCs w:val="21"/>
          <w:highlight w:val="none"/>
          <w14:textFill>
            <w14:solidFill>
              <w14:schemeClr w14:val="tx1"/>
            </w14:solidFill>
          </w14:textFill>
        </w:rPr>
        <w:fldChar w:fldCharType="end"/>
      </w:r>
      <w:r>
        <w:rPr>
          <w:rFonts w:ascii="Times New Roman"/>
          <w:snapToGrid w:val="0"/>
          <w:color w:val="000000" w:themeColor="text1"/>
          <w:spacing w:val="-6"/>
          <w:kern w:val="21"/>
          <w:szCs w:val="21"/>
          <w:highlight w:val="none"/>
          <w14:textFill>
            <w14:solidFill>
              <w14:schemeClr w14:val="tx1"/>
            </w14:solidFill>
          </w14:textFill>
        </w:rPr>
        <w:t>=</w:t>
      </w:r>
      <w:r>
        <w:rPr>
          <w:rFonts w:ascii="Times New Roman"/>
          <w:snapToGrid w:val="0"/>
          <w:color w:val="000000" w:themeColor="text1"/>
          <w:spacing w:val="-16"/>
          <w:kern w:val="21"/>
          <w:szCs w:val="21"/>
          <w:highlight w:val="none"/>
          <w14:textFill>
            <w14:solidFill>
              <w14:schemeClr w14:val="tx1"/>
            </w14:solidFill>
          </w14:textFill>
        </w:rPr>
        <w:fldChar w:fldCharType="begin"/>
      </w:r>
      <w:r>
        <w:rPr>
          <w:rFonts w:ascii="Times New Roman"/>
          <w:snapToGrid w:val="0"/>
          <w:color w:val="000000" w:themeColor="text1"/>
          <w:spacing w:val="-16"/>
          <w:kern w:val="21"/>
          <w:szCs w:val="21"/>
          <w:highlight w:val="none"/>
          <w14:textFill>
            <w14:solidFill>
              <w14:schemeClr w14:val="tx1"/>
            </w14:solidFill>
          </w14:textFill>
        </w:rPr>
        <w:instrText xml:space="preserve"> = 6 \* GB3 \* MERGEFORMAT </w:instrText>
      </w:r>
      <w:r>
        <w:rPr>
          <w:rFonts w:ascii="Times New Roman"/>
          <w:snapToGrid w:val="0"/>
          <w:color w:val="000000" w:themeColor="text1"/>
          <w:spacing w:val="-16"/>
          <w:kern w:val="21"/>
          <w:szCs w:val="21"/>
          <w:highlight w:val="none"/>
          <w14:textFill>
            <w14:solidFill>
              <w14:schemeClr w14:val="tx1"/>
            </w14:solidFill>
          </w14:textFill>
        </w:rPr>
        <w:fldChar w:fldCharType="separate"/>
      </w:r>
      <w:r>
        <w:rPr>
          <w:rFonts w:ascii="Times New Roman"/>
          <w:color w:val="000000" w:themeColor="text1"/>
          <w:szCs w:val="21"/>
          <w:highlight w:val="none"/>
          <w14:textFill>
            <w14:solidFill>
              <w14:schemeClr w14:val="tx1"/>
            </w14:solidFill>
          </w14:textFill>
        </w:rPr>
        <w:t>⑥</w:t>
      </w:r>
      <w:r>
        <w:rPr>
          <w:rFonts w:ascii="Times New Roman"/>
          <w:snapToGrid w:val="0"/>
          <w:color w:val="000000" w:themeColor="text1"/>
          <w:spacing w:val="-16"/>
          <w:kern w:val="21"/>
          <w:szCs w:val="21"/>
          <w:highlight w:val="none"/>
          <w14:textFill>
            <w14:solidFill>
              <w14:schemeClr w14:val="tx1"/>
            </w14:solidFill>
          </w14:textFill>
        </w:rPr>
        <w:fldChar w:fldCharType="end"/>
      </w:r>
      <w:r>
        <w:rPr>
          <w:rFonts w:ascii="Times New Roman"/>
          <w:snapToGrid w:val="0"/>
          <w:color w:val="000000" w:themeColor="text1"/>
          <w:spacing w:val="-16"/>
          <w:kern w:val="21"/>
          <w:szCs w:val="21"/>
          <w:highlight w:val="none"/>
          <w14:textFill>
            <w14:solidFill>
              <w14:schemeClr w14:val="tx1"/>
            </w14:solidFill>
          </w14:textFill>
        </w:rPr>
        <w:t>-</w:t>
      </w:r>
      <w:r>
        <w:rPr>
          <w:rFonts w:ascii="Times New Roman"/>
          <w:snapToGrid w:val="0"/>
          <w:color w:val="000000" w:themeColor="text1"/>
          <w:spacing w:val="-6"/>
          <w:kern w:val="21"/>
          <w:szCs w:val="21"/>
          <w:highlight w:val="none"/>
          <w14:textFill>
            <w14:solidFill>
              <w14:schemeClr w14:val="tx1"/>
            </w14:solidFill>
          </w14:textFill>
        </w:rPr>
        <w:t>②</w:t>
      </w:r>
      <w:r>
        <w:rPr>
          <w:rFonts w:ascii="Times New Roman"/>
          <w:color w:val="000000" w:themeColor="text1"/>
          <w:highlight w:val="none"/>
          <w14:textFill>
            <w14:solidFill>
              <w14:schemeClr w14:val="tx1"/>
            </w14:solidFill>
          </w14:textFill>
        </w:rPr>
        <w:t>；括号外是外排量，括号内是接管量。</w:t>
      </w:r>
    </w:p>
    <w:p w14:paraId="434B0210">
      <w:pPr>
        <w:rPr>
          <w:rFonts w:hint="default" w:ascii="Times New Roman" w:hAnsi="Times New Roman" w:cs="Times New Roman"/>
          <w:color w:val="000000" w:themeColor="text1"/>
          <w:sz w:val="28"/>
          <w:szCs w:val="28"/>
          <w:highlight w:val="none"/>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附件附图</w:t>
      </w:r>
    </w:p>
    <w:p w14:paraId="5FE6B30C">
      <w:pP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附件1委托书</w:t>
      </w:r>
    </w:p>
    <w:p w14:paraId="56593630">
      <w:pPr>
        <w:rPr>
          <w:rFonts w:hint="default" w:ascii="Times New Roman" w:hAnsi="Times New Roman" w:cs="Times New Roman"/>
          <w:color w:val="000000" w:themeColor="text1"/>
          <w:sz w:val="28"/>
          <w:szCs w:val="28"/>
          <w:highlight w:val="none"/>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附件2环评合同</w:t>
      </w:r>
    </w:p>
    <w:p w14:paraId="60F3FD70">
      <w:pPr>
        <w:rPr>
          <w:rFonts w:hint="default" w:ascii="Times New Roman" w:hAnsi="Times New Roman" w:cs="Times New Roman"/>
          <w:color w:val="000000" w:themeColor="text1"/>
          <w:sz w:val="28"/>
          <w:szCs w:val="28"/>
          <w:highlight w:val="none"/>
          <w:lang w:val="en-US"/>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附件3立项材料</w:t>
      </w:r>
    </w:p>
    <w:p w14:paraId="75F9B434">
      <w:pPr>
        <w:rPr>
          <w:rFonts w:hint="default" w:ascii="Times New Roman" w:hAnsi="Times New Roman" w:cs="Times New Roman"/>
          <w:color w:val="000000" w:themeColor="text1"/>
          <w:sz w:val="28"/>
          <w:szCs w:val="28"/>
          <w:highlight w:val="none"/>
          <w:lang w:val="en-US"/>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附件</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4</w:t>
      </w:r>
      <w:r>
        <w:rPr>
          <w:rFonts w:hint="eastAsia" w:cs="Times New Roman"/>
          <w:color w:val="000000" w:themeColor="text1"/>
          <w:sz w:val="28"/>
          <w:szCs w:val="28"/>
          <w:highlight w:val="none"/>
          <w:lang w:val="en-US" w:eastAsia="zh-CN"/>
          <w14:textFill>
            <w14:solidFill>
              <w14:schemeClr w14:val="tx1"/>
            </w14:solidFill>
          </w14:textFill>
        </w:rPr>
        <w:t>土地</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证</w:t>
      </w:r>
      <w:r>
        <w:rPr>
          <w:rFonts w:hint="eastAsia" w:cs="Times New Roman"/>
          <w:color w:val="000000" w:themeColor="text1"/>
          <w:sz w:val="28"/>
          <w:szCs w:val="28"/>
          <w:highlight w:val="none"/>
          <w:lang w:val="en-US" w:eastAsia="zh-CN"/>
          <w14:textFill>
            <w14:solidFill>
              <w14:schemeClr w14:val="tx1"/>
            </w14:solidFill>
          </w14:textFill>
        </w:rPr>
        <w:t>及租赁协议</w:t>
      </w:r>
    </w:p>
    <w:p w14:paraId="1D81F8E2">
      <w:pPr>
        <w:rPr>
          <w:rFonts w:hint="default" w:ascii="Times New Roman" w:hAnsi="Times New Roman" w:cs="Times New Roman"/>
          <w:color w:val="000000" w:themeColor="text1"/>
          <w:sz w:val="28"/>
          <w:szCs w:val="28"/>
          <w:highlight w:val="none"/>
          <w:lang w:val="en-US"/>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附件</w:t>
      </w:r>
      <w:r>
        <w:rPr>
          <w:rFonts w:hint="eastAsia" w:cs="Times New Roman"/>
          <w:color w:val="000000" w:themeColor="text1"/>
          <w:sz w:val="28"/>
          <w:szCs w:val="28"/>
          <w:highlight w:val="none"/>
          <w:lang w:val="en-US" w:eastAsia="zh-CN"/>
          <w14:textFill>
            <w14:solidFill>
              <w14:schemeClr w14:val="tx1"/>
            </w14:solidFill>
          </w14:textFill>
        </w:rPr>
        <w:t>5</w:t>
      </w:r>
      <w:r>
        <w:rPr>
          <w:rFonts w:hint="default" w:ascii="Times New Roman" w:hAnsi="Times New Roman" w:cs="Times New Roman"/>
          <w:color w:val="000000" w:themeColor="text1"/>
          <w:sz w:val="28"/>
          <w:szCs w:val="28"/>
          <w:highlight w:val="none"/>
          <w:lang w:eastAsia="zh-CN"/>
          <w14:textFill>
            <w14:solidFill>
              <w14:schemeClr w14:val="tx1"/>
            </w14:solidFill>
          </w14:textFill>
        </w:rPr>
        <w:t>生态空间查询结果</w:t>
      </w:r>
    </w:p>
    <w:p w14:paraId="0CD68284">
      <w:pP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附件</w:t>
      </w:r>
      <w:r>
        <w:rPr>
          <w:rFonts w:hint="eastAsia" w:cs="Times New Roman"/>
          <w:color w:val="000000" w:themeColor="text1"/>
          <w:sz w:val="28"/>
          <w:szCs w:val="28"/>
          <w:highlight w:val="none"/>
          <w:lang w:val="en-US" w:eastAsia="zh-CN"/>
          <w14:textFill>
            <w14:solidFill>
              <w14:schemeClr w14:val="tx1"/>
            </w14:solidFill>
          </w14:textFill>
        </w:rPr>
        <w:t>6</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原</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辅料MSDS报告</w:t>
      </w:r>
    </w:p>
    <w:p w14:paraId="2A0AF54F">
      <w:pPr>
        <w:rPr>
          <w:rFonts w:hint="default" w:cs="Times New Roman"/>
          <w:color w:val="000000" w:themeColor="text1"/>
          <w:sz w:val="28"/>
          <w:szCs w:val="28"/>
          <w:highlight w:val="none"/>
          <w:lang w:val="en-US" w:eastAsia="zh-CN"/>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附件</w:t>
      </w:r>
      <w:r>
        <w:rPr>
          <w:rFonts w:hint="eastAsia" w:cs="Times New Roman"/>
          <w:color w:val="000000" w:themeColor="text1"/>
          <w:sz w:val="28"/>
          <w:szCs w:val="28"/>
          <w:highlight w:val="none"/>
          <w:lang w:val="en-US" w:eastAsia="zh-CN"/>
          <w14:textFill>
            <w14:solidFill>
              <w14:schemeClr w14:val="tx1"/>
            </w14:solidFill>
          </w14:textFill>
        </w:rPr>
        <w:t>7</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规划环评审查意见</w:t>
      </w:r>
    </w:p>
    <w:p w14:paraId="628FADCD">
      <w:pPr>
        <w:rPr>
          <w:rFonts w:hint="default" w:ascii="Times New Roman" w:hAnsi="Times New Roman" w:cs="Times New Roman"/>
          <w:color w:val="000000" w:themeColor="text1"/>
          <w:sz w:val="28"/>
          <w:szCs w:val="28"/>
          <w:highlight w:val="none"/>
          <w:lang w:val="en-US"/>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附件</w:t>
      </w:r>
      <w:r>
        <w:rPr>
          <w:rFonts w:hint="eastAsia" w:cs="Times New Roman"/>
          <w:color w:val="000000" w:themeColor="text1"/>
          <w:sz w:val="28"/>
          <w:szCs w:val="28"/>
          <w:highlight w:val="none"/>
          <w:lang w:val="en-US" w:eastAsia="zh-CN"/>
          <w14:textFill>
            <w14:solidFill>
              <w14:schemeClr w14:val="tx1"/>
            </w14:solidFill>
          </w14:textFill>
        </w:rPr>
        <w:t>8</w:t>
      </w:r>
      <w:r>
        <w:rPr>
          <w:rFonts w:hint="default" w:ascii="Times New Roman" w:hAnsi="Times New Roman" w:cs="Times New Roman"/>
          <w:color w:val="000000" w:themeColor="text1"/>
          <w:sz w:val="28"/>
          <w:szCs w:val="28"/>
          <w:highlight w:val="none"/>
          <w14:textFill>
            <w14:solidFill>
              <w14:schemeClr w14:val="tx1"/>
            </w14:solidFill>
          </w14:textFill>
        </w:rPr>
        <w:t>区域评估引用承诺书</w:t>
      </w:r>
    </w:p>
    <w:p w14:paraId="4E008CC6">
      <w:pPr>
        <w:rPr>
          <w:rFonts w:hint="default" w:ascii="Times New Roman" w:hAnsi="Times New Roman" w:cs="Times New Roman"/>
          <w:color w:val="000000" w:themeColor="text1"/>
          <w:sz w:val="28"/>
          <w:szCs w:val="28"/>
          <w:highlight w:val="none"/>
          <w:lang w:val="en-US"/>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附件</w:t>
      </w:r>
      <w:r>
        <w:rPr>
          <w:rFonts w:hint="eastAsia" w:cs="Times New Roman"/>
          <w:color w:val="000000" w:themeColor="text1"/>
          <w:sz w:val="28"/>
          <w:szCs w:val="28"/>
          <w:highlight w:val="none"/>
          <w:lang w:val="en-US" w:eastAsia="zh-CN"/>
          <w14:textFill>
            <w14:solidFill>
              <w14:schemeClr w14:val="tx1"/>
            </w14:solidFill>
          </w14:textFill>
        </w:rPr>
        <w:t>9</w:t>
      </w:r>
      <w:r>
        <w:rPr>
          <w:rFonts w:hint="default" w:ascii="Times New Roman" w:hAnsi="Times New Roman" w:cs="Times New Roman"/>
          <w:color w:val="000000" w:themeColor="text1"/>
          <w:sz w:val="28"/>
          <w:szCs w:val="28"/>
          <w:highlight w:val="none"/>
          <w14:textFill>
            <w14:solidFill>
              <w14:schemeClr w14:val="tx1"/>
            </w14:solidFill>
          </w14:textFill>
        </w:rPr>
        <w:t>声明</w:t>
      </w:r>
    </w:p>
    <w:p w14:paraId="1A233F28">
      <w:pPr>
        <w:rPr>
          <w:rFonts w:hint="default" w:ascii="Times New Roman" w:hAnsi="Times New Roman" w:cs="Times New Roman"/>
          <w:color w:val="000000" w:themeColor="text1"/>
          <w:sz w:val="28"/>
          <w:szCs w:val="28"/>
          <w:highlight w:val="none"/>
          <w:lang w:val="en-US"/>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附件</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1</w:t>
      </w:r>
      <w:r>
        <w:rPr>
          <w:rFonts w:hint="eastAsia" w:cs="Times New Roman"/>
          <w:color w:val="000000" w:themeColor="text1"/>
          <w:sz w:val="28"/>
          <w:szCs w:val="28"/>
          <w:highlight w:val="none"/>
          <w:lang w:val="en-US" w:eastAsia="zh-CN"/>
          <w14:textFill>
            <w14:solidFill>
              <w14:schemeClr w14:val="tx1"/>
            </w14:solidFill>
          </w14:textFill>
        </w:rPr>
        <w:t>0</w:t>
      </w:r>
      <w:r>
        <w:rPr>
          <w:rFonts w:hint="default" w:ascii="Times New Roman" w:hAnsi="Times New Roman" w:cs="Times New Roman"/>
          <w:color w:val="000000" w:themeColor="text1"/>
          <w:sz w:val="28"/>
          <w:szCs w:val="28"/>
          <w:highlight w:val="none"/>
          <w14:textFill>
            <w14:solidFill>
              <w14:schemeClr w14:val="tx1"/>
            </w14:solidFill>
          </w14:textFill>
        </w:rPr>
        <w:t>未开工承诺书</w:t>
      </w:r>
    </w:p>
    <w:p w14:paraId="2056460E">
      <w:pPr>
        <w:rPr>
          <w:rFonts w:hint="default" w:ascii="Times New Roman" w:hAnsi="Times New Roman" w:cs="Times New Roman"/>
          <w:color w:val="000000" w:themeColor="text1"/>
          <w:sz w:val="28"/>
          <w:szCs w:val="28"/>
          <w:highlight w:val="none"/>
          <w:lang w:val="en-US"/>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附件</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1</w:t>
      </w:r>
      <w:r>
        <w:rPr>
          <w:rFonts w:hint="eastAsia" w:cs="Times New Roman"/>
          <w:color w:val="000000" w:themeColor="text1"/>
          <w:sz w:val="28"/>
          <w:szCs w:val="28"/>
          <w:highlight w:val="none"/>
          <w:lang w:val="en-US" w:eastAsia="zh-CN"/>
          <w14:textFill>
            <w14:solidFill>
              <w14:schemeClr w14:val="tx1"/>
            </w14:solidFill>
          </w14:textFill>
        </w:rPr>
        <w:t>1</w:t>
      </w:r>
      <w:r>
        <w:rPr>
          <w:rFonts w:hint="eastAsia" w:ascii="Times New Roman" w:hAnsi="Times New Roman" w:cs="Times New Roman"/>
          <w:color w:val="000000" w:themeColor="text1"/>
          <w:sz w:val="28"/>
          <w:szCs w:val="28"/>
          <w:highlight w:val="none"/>
          <w:lang w:val="en-US" w:eastAsia="zh-CN"/>
          <w14:textFill>
            <w14:solidFill>
              <w14:schemeClr w14:val="tx1"/>
            </w14:solidFill>
          </w14:textFill>
        </w:rPr>
        <w:t>危废处置</w:t>
      </w:r>
      <w:r>
        <w:rPr>
          <w:rFonts w:hint="default" w:ascii="Times New Roman" w:hAnsi="Times New Roman" w:cs="Times New Roman"/>
          <w:color w:val="000000" w:themeColor="text1"/>
          <w:sz w:val="28"/>
          <w:szCs w:val="28"/>
          <w:highlight w:val="none"/>
          <w14:textFill>
            <w14:solidFill>
              <w14:schemeClr w14:val="tx1"/>
            </w14:solidFill>
          </w14:textFill>
        </w:rPr>
        <w:t>承诺书</w:t>
      </w:r>
    </w:p>
    <w:p w14:paraId="379E80CF">
      <w:pPr>
        <w:rPr>
          <w:rFonts w:hint="default" w:ascii="Times New Roman" w:hAnsi="Times New Roman" w:cs="Times New Roman"/>
          <w:color w:val="000000" w:themeColor="text1"/>
          <w:sz w:val="28"/>
          <w:szCs w:val="28"/>
          <w:highlight w:val="none"/>
          <w:lang w:val="en-US"/>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附件1</w:t>
      </w:r>
      <w:r>
        <w:rPr>
          <w:rFonts w:hint="eastAsia" w:cs="Times New Roman"/>
          <w:color w:val="000000" w:themeColor="text1"/>
          <w:sz w:val="28"/>
          <w:szCs w:val="28"/>
          <w:highlight w:val="none"/>
          <w:lang w:val="en-US" w:eastAsia="zh-CN"/>
          <w14:textFill>
            <w14:solidFill>
              <w14:schemeClr w14:val="tx1"/>
            </w14:solidFill>
          </w14:textFill>
        </w:rPr>
        <w:t>2</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报批申请书</w:t>
      </w:r>
    </w:p>
    <w:p w14:paraId="24AA30D2">
      <w:pPr>
        <w:rPr>
          <w:rFonts w:hint="default" w:ascii="Times New Roman" w:hAnsi="Times New Roman" w:cs="Times New Roman"/>
          <w:color w:val="000000" w:themeColor="text1"/>
          <w:sz w:val="28"/>
          <w:szCs w:val="28"/>
          <w:highlight w:val="none"/>
          <w:lang w:val="en-US"/>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附件1</w:t>
      </w:r>
      <w:r>
        <w:rPr>
          <w:rFonts w:hint="eastAsia" w:cs="Times New Roman"/>
          <w:color w:val="000000" w:themeColor="text1"/>
          <w:sz w:val="28"/>
          <w:szCs w:val="28"/>
          <w:highlight w:val="none"/>
          <w:lang w:val="en-US" w:eastAsia="zh-CN"/>
          <w14:textFill>
            <w14:solidFill>
              <w14:schemeClr w14:val="tx1"/>
            </w14:solidFill>
          </w14:textFill>
        </w:rPr>
        <w:t>3</w:t>
      </w:r>
      <w:r>
        <w:rPr>
          <w:rFonts w:hint="default" w:ascii="Times New Roman" w:hAnsi="Times New Roman" w:cs="Times New Roman"/>
          <w:color w:val="000000" w:themeColor="text1"/>
          <w:sz w:val="28"/>
          <w:szCs w:val="28"/>
          <w:highlight w:val="none"/>
          <w14:textFill>
            <w14:solidFill>
              <w14:schemeClr w14:val="tx1"/>
            </w14:solidFill>
          </w14:textFill>
        </w:rPr>
        <w:t>公示截图</w:t>
      </w:r>
    </w:p>
    <w:p w14:paraId="53457597">
      <w:pPr>
        <w:rPr>
          <w:rFonts w:hint="default" w:ascii="Times New Roman" w:hAnsi="Times New Roman" w:cs="Times New Roman"/>
          <w:color w:val="000000" w:themeColor="text1"/>
          <w:sz w:val="28"/>
          <w:szCs w:val="28"/>
          <w:highlight w:val="none"/>
          <w:lang w:val="en-US"/>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附件</w:t>
      </w:r>
      <w:r>
        <w:rPr>
          <w:rFonts w:hint="eastAsia" w:cs="Times New Roman"/>
          <w:color w:val="000000" w:themeColor="text1"/>
          <w:sz w:val="28"/>
          <w:szCs w:val="28"/>
          <w:highlight w:val="none"/>
          <w:lang w:val="en-US" w:eastAsia="zh-CN"/>
          <w14:textFill>
            <w14:solidFill>
              <w14:schemeClr w14:val="tx1"/>
            </w14:solidFill>
          </w14:textFill>
        </w:rPr>
        <w:t>14</w:t>
      </w:r>
      <w:r>
        <w:rPr>
          <w:rFonts w:hint="default" w:ascii="Times New Roman" w:hAnsi="Times New Roman" w:cs="Times New Roman"/>
          <w:color w:val="000000" w:themeColor="text1"/>
          <w:sz w:val="28"/>
          <w:szCs w:val="28"/>
          <w:highlight w:val="none"/>
          <w14:textFill>
            <w14:solidFill>
              <w14:schemeClr w14:val="tx1"/>
            </w14:solidFill>
          </w14:textFill>
        </w:rPr>
        <w:t>工程师照片</w:t>
      </w:r>
    </w:p>
    <w:p w14:paraId="03471B3D">
      <w:pPr>
        <w:rPr>
          <w:rFonts w:hint="default" w:ascii="Times New Roman" w:hAnsi="Times New Roman" w:cs="Times New Roman"/>
          <w:color w:val="000000" w:themeColor="text1"/>
          <w:sz w:val="28"/>
          <w:szCs w:val="28"/>
          <w:highlight w:val="none"/>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附件</w:t>
      </w:r>
      <w:r>
        <w:rPr>
          <w:rFonts w:hint="eastAsia" w:cs="Times New Roman"/>
          <w:color w:val="000000" w:themeColor="text1"/>
          <w:sz w:val="28"/>
          <w:szCs w:val="28"/>
          <w:highlight w:val="none"/>
          <w:lang w:val="en-US" w:eastAsia="zh-CN"/>
          <w14:textFill>
            <w14:solidFill>
              <w14:schemeClr w14:val="tx1"/>
            </w14:solidFill>
          </w14:textFill>
        </w:rPr>
        <w:t>15</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质量审核单</w:t>
      </w:r>
    </w:p>
    <w:p w14:paraId="2E16CE37">
      <w:pPr>
        <w:rPr>
          <w:rFonts w:hint="default" w:ascii="Times New Roman" w:hAnsi="Times New Roman" w:cs="Times New Roman"/>
          <w:color w:val="000000" w:themeColor="text1"/>
          <w:sz w:val="28"/>
          <w:szCs w:val="28"/>
          <w:highlight w:val="none"/>
          <w14:textFill>
            <w14:solidFill>
              <w14:schemeClr w14:val="tx1"/>
            </w14:solidFill>
          </w14:textFill>
        </w:rPr>
      </w:pPr>
    </w:p>
    <w:p w14:paraId="6810F431">
      <w:pPr>
        <w:rPr>
          <w:rFonts w:hint="default" w:ascii="Times New Roman" w:hAnsi="Times New Roman" w:cs="Times New Roman"/>
          <w:color w:val="000000" w:themeColor="text1"/>
          <w:sz w:val="28"/>
          <w:szCs w:val="28"/>
          <w:highlight w:val="none"/>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附图1企业地理位置图</w:t>
      </w:r>
    </w:p>
    <w:p w14:paraId="757A4F52">
      <w:pPr>
        <w:rPr>
          <w:rFonts w:hint="default" w:ascii="Times New Roman" w:hAnsi="Times New Roman" w:cs="Times New Roman"/>
          <w:color w:val="000000" w:themeColor="text1"/>
          <w:sz w:val="28"/>
          <w:szCs w:val="28"/>
          <w:highlight w:val="none"/>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附图2</w:t>
      </w:r>
      <w:r>
        <w:rPr>
          <w:rFonts w:hint="eastAsia" w:cs="Times New Roman"/>
          <w:color w:val="000000" w:themeColor="text1"/>
          <w:sz w:val="28"/>
          <w:szCs w:val="28"/>
          <w:highlight w:val="none"/>
          <w:lang w:val="en-US" w:eastAsia="zh-CN"/>
          <w14:textFill>
            <w14:solidFill>
              <w14:schemeClr w14:val="tx1"/>
            </w14:solidFill>
          </w14:textFill>
        </w:rPr>
        <w:t>企业</w:t>
      </w:r>
      <w:r>
        <w:rPr>
          <w:rFonts w:hint="default" w:ascii="Times New Roman" w:hAnsi="Times New Roman" w:cs="Times New Roman"/>
          <w:color w:val="000000" w:themeColor="text1"/>
          <w:sz w:val="28"/>
          <w:szCs w:val="28"/>
          <w:highlight w:val="none"/>
          <w14:textFill>
            <w14:solidFill>
              <w14:schemeClr w14:val="tx1"/>
            </w14:solidFill>
          </w14:textFill>
        </w:rPr>
        <w:t>周边</w:t>
      </w:r>
      <w:r>
        <w:rPr>
          <w:rFonts w:hint="eastAsia" w:cs="Times New Roman"/>
          <w:color w:val="000000" w:themeColor="text1"/>
          <w:sz w:val="28"/>
          <w:szCs w:val="28"/>
          <w:highlight w:val="none"/>
          <w:lang w:val="en-US" w:eastAsia="zh-CN"/>
          <w14:textFill>
            <w14:solidFill>
              <w14:schemeClr w14:val="tx1"/>
            </w14:solidFill>
          </w14:textFill>
        </w:rPr>
        <w:t>500m环境保护目标分布</w:t>
      </w:r>
      <w:r>
        <w:rPr>
          <w:rFonts w:hint="default" w:ascii="Times New Roman" w:hAnsi="Times New Roman" w:cs="Times New Roman"/>
          <w:color w:val="000000" w:themeColor="text1"/>
          <w:sz w:val="28"/>
          <w:szCs w:val="28"/>
          <w:highlight w:val="none"/>
          <w14:textFill>
            <w14:solidFill>
              <w14:schemeClr w14:val="tx1"/>
            </w14:solidFill>
          </w14:textFill>
        </w:rPr>
        <w:t>图</w:t>
      </w:r>
    </w:p>
    <w:p w14:paraId="7F68939F">
      <w:pPr>
        <w:rPr>
          <w:rFonts w:hint="default" w:ascii="Times New Roman" w:hAnsi="Times New Roman" w:cs="Times New Roman"/>
          <w:color w:val="000000" w:themeColor="text1"/>
          <w:sz w:val="28"/>
          <w:szCs w:val="28"/>
          <w:highlight w:val="none"/>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附图3</w:t>
      </w:r>
      <w:r>
        <w:rPr>
          <w:rFonts w:hint="eastAsia" w:cs="Times New Roman"/>
          <w:color w:val="000000" w:themeColor="text1"/>
          <w:sz w:val="28"/>
          <w:szCs w:val="28"/>
          <w:highlight w:val="none"/>
          <w:lang w:val="en-US" w:eastAsia="zh-CN"/>
          <w14:textFill>
            <w14:solidFill>
              <w14:schemeClr w14:val="tx1"/>
            </w14:solidFill>
          </w14:textFill>
        </w:rPr>
        <w:t>厂区</w:t>
      </w:r>
      <w:r>
        <w:rPr>
          <w:rFonts w:hint="default" w:ascii="Times New Roman" w:hAnsi="Times New Roman" w:cs="Times New Roman"/>
          <w:color w:val="000000" w:themeColor="text1"/>
          <w:sz w:val="28"/>
          <w:szCs w:val="28"/>
          <w:highlight w:val="none"/>
          <w14:textFill>
            <w14:solidFill>
              <w14:schemeClr w14:val="tx1"/>
            </w14:solidFill>
          </w14:textFill>
        </w:rPr>
        <w:t>平面布</w:t>
      </w:r>
      <w:bookmarkStart w:id="21" w:name="OLE_LINK38"/>
      <w:r>
        <w:rPr>
          <w:rFonts w:hint="default" w:ascii="Times New Roman" w:hAnsi="Times New Roman" w:cs="Times New Roman"/>
          <w:color w:val="000000" w:themeColor="text1"/>
          <w:sz w:val="28"/>
          <w:szCs w:val="28"/>
          <w:highlight w:val="none"/>
          <w14:textFill>
            <w14:solidFill>
              <w14:schemeClr w14:val="tx1"/>
            </w14:solidFill>
          </w14:textFill>
        </w:rPr>
        <w:t>置图</w:t>
      </w:r>
      <w:bookmarkEnd w:id="21"/>
    </w:p>
    <w:p w14:paraId="150E3823">
      <w:pPr>
        <w:rPr>
          <w:rFonts w:hint="default" w:ascii="Times New Roman" w:hAnsi="Times New Roman" w:cs="Times New Roman"/>
          <w:color w:val="000000" w:themeColor="text1"/>
          <w:sz w:val="28"/>
          <w:szCs w:val="28"/>
          <w:highlight w:val="none"/>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附图3</w:t>
      </w:r>
      <w:r>
        <w:rPr>
          <w:rFonts w:hint="eastAsia" w:ascii="Times New Roman" w:hAnsi="Times New Roman" w:cs="Times New Roman"/>
          <w:color w:val="000000" w:themeColor="text1"/>
          <w:sz w:val="28"/>
          <w:szCs w:val="28"/>
          <w:highlight w:val="none"/>
          <w:lang w:val="en-US" w:eastAsia="zh-CN"/>
          <w14:textFill>
            <w14:solidFill>
              <w14:schemeClr w14:val="tx1"/>
            </w14:solidFill>
          </w14:textFill>
        </w:rPr>
        <w:t>-1</w:t>
      </w:r>
      <w:r>
        <w:rPr>
          <w:rFonts w:hint="eastAsia" w:cs="Times New Roman"/>
          <w:color w:val="000000" w:themeColor="text1"/>
          <w:sz w:val="28"/>
          <w:szCs w:val="28"/>
          <w:highlight w:val="none"/>
          <w:lang w:val="en-US" w:eastAsia="zh-CN"/>
          <w14:textFill>
            <w14:solidFill>
              <w14:schemeClr w14:val="tx1"/>
            </w14:solidFill>
          </w14:textFill>
        </w:rPr>
        <w:t>生产车间</w:t>
      </w:r>
      <w:r>
        <w:rPr>
          <w:rFonts w:hint="default" w:ascii="Times New Roman" w:hAnsi="Times New Roman" w:cs="Times New Roman"/>
          <w:color w:val="000000" w:themeColor="text1"/>
          <w:sz w:val="28"/>
          <w:szCs w:val="28"/>
          <w:highlight w:val="none"/>
          <w14:textFill>
            <w14:solidFill>
              <w14:schemeClr w14:val="tx1"/>
            </w14:solidFill>
          </w14:textFill>
        </w:rPr>
        <w:t>平面布置图</w:t>
      </w:r>
    </w:p>
    <w:p w14:paraId="798F4656">
      <w:pPr>
        <w:rPr>
          <w:rFonts w:hint="default" w:ascii="Times New Roman" w:hAnsi="Times New Roman" w:cs="Times New Roman"/>
          <w:color w:val="000000" w:themeColor="text1"/>
          <w:sz w:val="28"/>
          <w:szCs w:val="28"/>
          <w:highlight w:val="none"/>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附图4本项目与江苏省环境管控单元图位置图</w:t>
      </w:r>
    </w:p>
    <w:p w14:paraId="1989FE93">
      <w:pPr>
        <w:rPr>
          <w:rFonts w:hint="default" w:ascii="Times New Roman" w:hAnsi="Times New Roman" w:cs="Times New Roman"/>
          <w:color w:val="000000" w:themeColor="text1"/>
          <w:sz w:val="28"/>
          <w:szCs w:val="28"/>
          <w:highlight w:val="none"/>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附图5本项目与江宁区生态保护红线位置关系图</w:t>
      </w:r>
    </w:p>
    <w:p w14:paraId="70D8949F">
      <w:pPr>
        <w:rPr>
          <w:rFonts w:hint="default" w:ascii="Times New Roman" w:hAnsi="Times New Roman" w:cs="Times New Roman"/>
          <w:color w:val="000000" w:themeColor="text1"/>
          <w:sz w:val="28"/>
          <w:szCs w:val="28"/>
          <w:highlight w:val="none"/>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附图</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6</w:t>
      </w:r>
      <w:r>
        <w:rPr>
          <w:rFonts w:hint="default" w:ascii="Times New Roman" w:hAnsi="Times New Roman" w:cs="Times New Roman"/>
          <w:color w:val="000000" w:themeColor="text1"/>
          <w:sz w:val="28"/>
          <w:szCs w:val="28"/>
          <w:highlight w:val="none"/>
          <w14:textFill>
            <w14:solidFill>
              <w14:schemeClr w14:val="tx1"/>
            </w14:solidFill>
          </w14:textFill>
        </w:rPr>
        <w:t>本项目与江宁区生态空间管控区域位置关系图</w:t>
      </w:r>
    </w:p>
    <w:p w14:paraId="11C0A8D5">
      <w:pPr>
        <w:rPr>
          <w:rFonts w:hint="default" w:ascii="Times New Roman" w:hAnsi="Times New Roman" w:cs="Times New Roman"/>
          <w:color w:val="000000" w:themeColor="text1"/>
          <w:sz w:val="28"/>
          <w:szCs w:val="28"/>
          <w:highlight w:val="none"/>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附图</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7</w:t>
      </w:r>
      <w:r>
        <w:rPr>
          <w:rFonts w:hint="default" w:ascii="Times New Roman" w:hAnsi="Times New Roman" w:cs="Times New Roman"/>
          <w:color w:val="000000" w:themeColor="text1"/>
          <w:sz w:val="28"/>
          <w:szCs w:val="28"/>
          <w:highlight w:val="none"/>
          <w14:textFill>
            <w14:solidFill>
              <w14:schemeClr w14:val="tx1"/>
            </w14:solidFill>
          </w14:textFill>
        </w:rPr>
        <w:t>本项目与南京市</w:t>
      </w:r>
      <w:r>
        <w:rPr>
          <w:rFonts w:hint="eastAsia" w:cs="Times New Roman"/>
          <w:color w:val="000000" w:themeColor="text1"/>
          <w:sz w:val="28"/>
          <w:szCs w:val="28"/>
          <w:highlight w:val="none"/>
          <w:lang w:val="en-US" w:eastAsia="zh-CN"/>
          <w14:textFill>
            <w14:solidFill>
              <w14:schemeClr w14:val="tx1"/>
            </w14:solidFill>
          </w14:textFill>
        </w:rPr>
        <w:t>江宁区</w:t>
      </w:r>
      <w:r>
        <w:rPr>
          <w:rFonts w:hint="default" w:ascii="Times New Roman" w:hAnsi="Times New Roman" w:cs="Times New Roman"/>
          <w:color w:val="000000" w:themeColor="text1"/>
          <w:sz w:val="28"/>
          <w:szCs w:val="28"/>
          <w:highlight w:val="none"/>
          <w14:textFill>
            <w14:solidFill>
              <w14:schemeClr w14:val="tx1"/>
            </w14:solidFill>
          </w14:textFill>
        </w:rPr>
        <w:t>国土空间总体规划图</w:t>
      </w:r>
    </w:p>
    <w:p w14:paraId="4976912D">
      <w:pPr>
        <w:rPr>
          <w:rFonts w:hint="default" w:ascii="Times New Roman" w:hAnsi="Times New Roman" w:cs="Times New Roman"/>
          <w:color w:val="000000" w:themeColor="text1"/>
          <w:sz w:val="28"/>
          <w:szCs w:val="28"/>
          <w:highlight w:val="none"/>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附图</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8</w:t>
      </w:r>
      <w:r>
        <w:rPr>
          <w:rFonts w:hint="default" w:ascii="Times New Roman" w:hAnsi="Times New Roman" w:cs="Times New Roman"/>
          <w:color w:val="000000" w:themeColor="text1"/>
          <w:sz w:val="28"/>
          <w:szCs w:val="28"/>
          <w:highlight w:val="none"/>
          <w14:textFill>
            <w14:solidFill>
              <w14:schemeClr w14:val="tx1"/>
            </w14:solidFill>
          </w14:textFill>
        </w:rPr>
        <w:t>江宁经济技术开发区远期土地利用规划图</w:t>
      </w:r>
    </w:p>
    <w:p w14:paraId="5FD9F6A0">
      <w:pPr>
        <w:rPr>
          <w:rFonts w:hint="default" w:ascii="Times New Roman" w:hAnsi="Times New Roman" w:cs="Times New Roman"/>
          <w:color w:val="000000" w:themeColor="text1"/>
          <w:sz w:val="28"/>
          <w:szCs w:val="28"/>
          <w:highlight w:val="none"/>
          <w14:textFill>
            <w14:solidFill>
              <w14:schemeClr w14:val="tx1"/>
            </w14:solidFill>
          </w14:textFill>
        </w:rPr>
      </w:pPr>
    </w:p>
    <w:p w14:paraId="5DAA8BEA">
      <w:pPr>
        <w:rPr>
          <w:rFonts w:hint="default" w:ascii="Times New Roman" w:hAnsi="Times New Roman" w:cs="Times New Roman"/>
          <w:color w:val="000000" w:themeColor="text1"/>
          <w:sz w:val="28"/>
          <w:szCs w:val="28"/>
          <w:highlight w:val="none"/>
          <w14:textFill>
            <w14:solidFill>
              <w14:schemeClr w14:val="tx1"/>
            </w14:solidFill>
          </w14:textFill>
        </w:rPr>
      </w:pPr>
    </w:p>
    <w:p w14:paraId="7663FDFF">
      <w:pPr>
        <w:rPr>
          <w:color w:val="000000" w:themeColor="text1"/>
          <w:highlight w:val="none"/>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附表1总量申请表</w:t>
      </w:r>
    </w:p>
    <w:p w14:paraId="450BFADE">
      <w:pPr>
        <w:rPr>
          <w:color w:val="000000" w:themeColor="text1"/>
          <w:highlight w:val="none"/>
          <w14:textFill>
            <w14:solidFill>
              <w14:schemeClr w14:val="tx1"/>
            </w14:solidFill>
          </w14:textFill>
        </w:rPr>
      </w:pPr>
    </w:p>
    <w:p w14:paraId="6D415F08">
      <w:pPr>
        <w:rPr>
          <w:color w:val="000000" w:themeColor="text1"/>
          <w:highlight w:val="none"/>
          <w14:textFill>
            <w14:solidFill>
              <w14:schemeClr w14:val="tx1"/>
            </w14:solidFill>
          </w14:textFill>
        </w:rPr>
      </w:pPr>
    </w:p>
    <w:sectPr>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Li Super">
    <w:altName w:val="黑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TimesNewRoman">
    <w:altName w:val="Times New Roman"/>
    <w:panose1 w:val="00000000000000000000"/>
    <w:charset w:val="00"/>
    <w:family w:val="auto"/>
    <w:pitch w:val="default"/>
    <w:sig w:usb0="00000000" w:usb1="00000000" w:usb2="00000010" w:usb3="00000000" w:csb0="00020001" w:csb1="00000000"/>
  </w:font>
  <w:font w:name="微软雅黑">
    <w:panose1 w:val="020B0503020204020204"/>
    <w:charset w:val="86"/>
    <w:family w:val="swiss"/>
    <w:pitch w:val="default"/>
    <w:sig w:usb0="80000287" w:usb1="2ACF3C50" w:usb2="00000016" w:usb3="00000000" w:csb0="0004001F" w:csb1="00000000"/>
  </w:font>
  <w:font w:name="Arial Black">
    <w:panose1 w:val="020B0A04020102020204"/>
    <w:charset w:val="00"/>
    <w:family w:val="swiss"/>
    <w:pitch w:val="default"/>
    <w:sig w:usb0="A00002AF" w:usb1="400078FB" w:usb2="00000000" w:usb3="00000000" w:csb0="6000009F" w:csb1="DFD70000"/>
  </w:font>
  <w:font w:name="Helvetica">
    <w:altName w:val="Arial"/>
    <w:panose1 w:val="020B0604020202020204"/>
    <w:charset w:val="00"/>
    <w:family w:val="swiss"/>
    <w:pitch w:val="default"/>
    <w:sig w:usb0="00000000" w:usb1="00000000" w:usb2="00000009" w:usb3="00000000" w:csb0="0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D7DDD">
    <w:pPr>
      <w:pStyle w:val="2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563D7">
    <w:pPr>
      <w:pStyle w:val="28"/>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14:paraId="21BE5B7A">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336D9">
    <w:pPr>
      <w:pStyle w:val="28"/>
      <w:ind w:right="360" w:firstLine="360"/>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77B49D">
                          <w:pPr>
                            <w:pStyle w:val="28"/>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377B49D">
                    <w:pPr>
                      <w:pStyle w:val="28"/>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7432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27432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E9D6C4">
                          <w:pPr>
                            <w:pStyle w:val="28"/>
                          </w:pPr>
                        </w:p>
                        <w:p w14:paraId="6B9ACA0D"/>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21.6pt;mso-position-horizontal:center;mso-position-horizontal-relative:margin;z-index:251660288;mso-width-relative:page;mso-height-relative:page;" filled="f" stroked="f" coordsize="21600,21600" o:gfxdata="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R91otQAAAAEAQAADwAAAAAAAAABACAAAAAiAAAAZHJzL2Rvd25yZXYueG1sUEsB&#10;AhQAFAAAAAgAh07iQNm6tkoyAgAAVgQAAA4AAAAAAAAAAQAgAAAAIwEAAGRycy9lMm9Eb2MueG1s&#10;UEsFBgAAAAAGAAYAWQEAAMcFAAAAAA==&#10;">
              <v:fill on="f" focussize="0,0"/>
              <v:stroke on="f" weight="0.5pt"/>
              <v:imagedata o:title=""/>
              <o:lock v:ext="edit" aspectratio="f"/>
              <v:textbox inset="0mm,0mm,0mm,0mm" style="mso-fit-shape-to-text:t;">
                <w:txbxContent>
                  <w:p w14:paraId="5AE9D6C4">
                    <w:pPr>
                      <w:pStyle w:val="28"/>
                    </w:pPr>
                  </w:p>
                  <w:p w14:paraId="6B9ACA0D"/>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81876">
    <w:pPr>
      <w:pStyle w:val="28"/>
      <w:ind w:right="360" w:firstLine="360"/>
    </w:pPr>
    <w:r>
      <w:rPr>
        <w:sz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B20346">
                          <w:pPr>
                            <w:pStyle w:val="28"/>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3DB20346">
                    <w:pPr>
                      <w:pStyle w:val="28"/>
                    </w:pPr>
                    <w:r>
                      <w:fldChar w:fldCharType="begin"/>
                    </w:r>
                    <w:r>
                      <w:instrText xml:space="preserve"> PAGE  \* MERGEFORMAT </w:instrText>
                    </w:r>
                    <w:r>
                      <w:fldChar w:fldCharType="separate"/>
                    </w:r>
                    <w:r>
                      <w:t>65</w:t>
                    </w:r>
                    <w:r>
                      <w:fldChar w:fldCharType="end"/>
                    </w:r>
                  </w:p>
                </w:txbxContent>
              </v:textbox>
            </v:shape>
          </w:pict>
        </mc:Fallback>
      </mc:AlternateContent>
    </w: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B6DDE1">
                          <w:pPr>
                            <w:pStyle w:val="28"/>
                          </w:pPr>
                        </w:p>
                        <w:p w14:paraId="472C4638"/>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3EB6DDE1">
                    <w:pPr>
                      <w:pStyle w:val="28"/>
                    </w:pPr>
                  </w:p>
                  <w:p w14:paraId="472C4638"/>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AF59B">
    <w:pPr>
      <w:pStyle w:val="28"/>
      <w:ind w:right="360" w:firstLine="360"/>
    </w:pPr>
    <w:r>
      <w:rPr>
        <w:sz w:val="2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56CD84">
                          <w:pPr>
                            <w:pStyle w:val="28"/>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256CD84">
                    <w:pPr>
                      <w:pStyle w:val="28"/>
                    </w:pPr>
                    <w:r>
                      <w:fldChar w:fldCharType="begin"/>
                    </w:r>
                    <w:r>
                      <w:instrText xml:space="preserve"> PAGE  \* MERGEFORMAT </w:instrText>
                    </w:r>
                    <w:r>
                      <w:fldChar w:fldCharType="separate"/>
                    </w:r>
                    <w:r>
                      <w:t>72</w:t>
                    </w:r>
                    <w:r>
                      <w:fldChar w:fldCharType="end"/>
                    </w: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AF5A8D">
                          <w:pPr>
                            <w:pStyle w:val="28"/>
                          </w:pPr>
                        </w:p>
                        <w:p w14:paraId="3196B18F"/>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qU6g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UalOoKwIAAFcEAAAOAAAAAAAAAAEAIAAAAB8BAABkcnMvZTJvRG9jLnhtbFBLBQYAAAAABgAG&#10;AFkBAAC8BQAAAAA=&#10;">
              <v:fill on="f" focussize="0,0"/>
              <v:stroke on="f" weight="0.5pt"/>
              <v:imagedata o:title=""/>
              <o:lock v:ext="edit" aspectratio="f"/>
              <v:textbox inset="0mm,0mm,0mm,0mm" style="mso-fit-shape-to-text:t;">
                <w:txbxContent>
                  <w:p w14:paraId="23AF5A8D">
                    <w:pPr>
                      <w:pStyle w:val="28"/>
                    </w:pPr>
                  </w:p>
                  <w:p w14:paraId="3196B18F"/>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71DA1">
    <w:pPr>
      <w:pStyle w:val="28"/>
      <w:ind w:right="360" w:firstLine="360"/>
    </w:pPr>
    <w:r>
      <w:rPr>
        <w:sz w:val="2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047DF3">
                          <w:pPr>
                            <w:pStyle w:val="28"/>
                          </w:pPr>
                          <w:r>
                            <w:fldChar w:fldCharType="begin"/>
                          </w:r>
                          <w:r>
                            <w:instrText xml:space="preserve"> PAGE  \* MERGEFORMAT </w:instrText>
                          </w:r>
                          <w:r>
                            <w:fldChar w:fldCharType="separate"/>
                          </w:r>
                          <w:r>
                            <w:t>143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6047DF3">
                    <w:pPr>
                      <w:pStyle w:val="28"/>
                    </w:pPr>
                    <w:r>
                      <w:fldChar w:fldCharType="begin"/>
                    </w:r>
                    <w:r>
                      <w:instrText xml:space="preserve"> PAGE  \* MERGEFORMAT </w:instrText>
                    </w:r>
                    <w:r>
                      <w:fldChar w:fldCharType="separate"/>
                    </w:r>
                    <w:r>
                      <w:t>143</w:t>
                    </w:r>
                    <w:r>
                      <w:fldChar w:fldCharType="end"/>
                    </w:r>
                  </w:p>
                </w:txbxContent>
              </v:textbox>
            </v:shape>
          </w:pict>
        </mc:Fallback>
      </mc:AlternateContent>
    </w: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6998C5">
                          <w:pPr>
                            <w:pStyle w:val="28"/>
                          </w:pPr>
                        </w:p>
                        <w:p w14:paraId="2976542C"/>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346998C5">
                    <w:pPr>
                      <w:pStyle w:val="28"/>
                    </w:pPr>
                  </w:p>
                  <w:p w14:paraId="2976542C"/>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3D6AB">
    <w:pPr>
      <w:pStyle w:val="28"/>
      <w:ind w:right="360" w:firstLine="360"/>
    </w:pPr>
    <w:r>
      <w:rPr>
        <w:sz w:val="2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049918">
                          <w:pPr>
                            <w:pStyle w:val="28"/>
                          </w:pPr>
                          <w:r>
                            <w:fldChar w:fldCharType="begin"/>
                          </w:r>
                          <w:r>
                            <w:instrText xml:space="preserve"> PAGE  \* MERGEFORMAT </w:instrText>
                          </w:r>
                          <w:r>
                            <w:fldChar w:fldCharType="separate"/>
                          </w:r>
                          <w:r>
                            <w:t>139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59049918">
                    <w:pPr>
                      <w:pStyle w:val="28"/>
                    </w:pPr>
                    <w:r>
                      <w:fldChar w:fldCharType="begin"/>
                    </w:r>
                    <w:r>
                      <w:instrText xml:space="preserve"> PAGE  \* MERGEFORMAT </w:instrText>
                    </w:r>
                    <w:r>
                      <w:fldChar w:fldCharType="separate"/>
                    </w:r>
                    <w:r>
                      <w:t>139</w:t>
                    </w:r>
                    <w:r>
                      <w:fldChar w:fldCharType="end"/>
                    </w:r>
                  </w:p>
                </w:txbxContent>
              </v:textbox>
            </v:shape>
          </w:pict>
        </mc:Fallback>
      </mc:AlternateContent>
    </w:r>
    <w:r>
      <w:rPr>
        <w:sz w:val="2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6CC4A6">
                          <w:pPr>
                            <w:pStyle w:val="28"/>
                          </w:pPr>
                        </w:p>
                        <w:p w14:paraId="63225E64"/>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2MmrI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oUQzhYqffnw/&#10;/Xw4/fpGcAaBWutniLu3iAzdO9OhbYZzj8PIu6ucil8wIvBD3uNFXtEFwuOl6WQ6zeHi8A0b4GeP&#10;163z4b0wikSjoA71S7Kyw8aHPnQIidm0WTdSphpKTVqQeP02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DYyasiwCAABXBAAADgAAAAAAAAABACAAAAAfAQAAZHJzL2Uyb0RvYy54bWxQSwUGAAAAAAYA&#10;BgBZAQAAvQUAAAAA&#10;">
              <v:fill on="f" focussize="0,0"/>
              <v:stroke on="f" weight="0.5pt"/>
              <v:imagedata o:title=""/>
              <o:lock v:ext="edit" aspectratio="f"/>
              <v:textbox inset="0mm,0mm,0mm,0mm" style="mso-fit-shape-to-text:t;">
                <w:txbxContent>
                  <w:p w14:paraId="186CC4A6">
                    <w:pPr>
                      <w:pStyle w:val="28"/>
                    </w:pPr>
                  </w:p>
                  <w:p w14:paraId="63225E64"/>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BA90AB"/>
    <w:multiLevelType w:val="multilevel"/>
    <w:tmpl w:val="85BA90AB"/>
    <w:lvl w:ilvl="0" w:tentative="0">
      <w:start w:val="1"/>
      <w:numFmt w:val="decimal"/>
      <w:pStyle w:val="154"/>
      <w:suff w:val="space"/>
      <w:lvlText w:val="表4-%1"/>
      <w:lvlJc w:val="left"/>
      <w:pPr>
        <w:tabs>
          <w:tab w:val="left" w:pos="0"/>
        </w:tabs>
        <w:ind w:left="425" w:hanging="215"/>
      </w:pPr>
      <w:rPr>
        <w:rFonts w:hint="default" w:ascii="Times New Roman" w:hAnsi="Times New Roman" w:eastAsia="宋体" w:cs="宋体"/>
        <w:b/>
        <w:sz w:val="24"/>
        <w:szCs w:val="24"/>
      </w:rPr>
    </w:lvl>
    <w:lvl w:ilvl="1" w:tentative="0">
      <w:start w:val="1"/>
      <w:numFmt w:val="none"/>
      <w:lvlText w:val="%1.1"/>
      <w:lvlJc w:val="left"/>
      <w:pPr>
        <w:tabs>
          <w:tab w:val="left" w:pos="0"/>
        </w:tabs>
        <w:ind w:left="210" w:firstLine="0"/>
      </w:pPr>
      <w:rPr>
        <w:rFonts w:hint="default" w:ascii="宋体" w:hAnsi="宋体" w:eastAsia="宋体" w:cs="宋体"/>
      </w:rPr>
    </w:lvl>
    <w:lvl w:ilvl="2" w:tentative="0">
      <w:start w:val="1"/>
      <w:numFmt w:val="none"/>
      <w:lvlText w:val="%1.1.1"/>
      <w:lvlJc w:val="left"/>
      <w:pPr>
        <w:tabs>
          <w:tab w:val="left" w:pos="0"/>
        </w:tabs>
        <w:ind w:left="210" w:firstLine="0"/>
      </w:pPr>
      <w:rPr>
        <w:rFonts w:hint="default" w:ascii="宋体" w:hAnsi="宋体" w:eastAsia="宋体" w:cs="宋体"/>
        <w:color w:val="auto"/>
      </w:rPr>
    </w:lvl>
    <w:lvl w:ilvl="3" w:tentative="0">
      <w:start w:val="1"/>
      <w:numFmt w:val="decimal"/>
      <w:lvlText w:val="%1.%2.%3.%4"/>
      <w:lvlJc w:val="left"/>
      <w:pPr>
        <w:tabs>
          <w:tab w:val="left" w:pos="1080"/>
        </w:tabs>
        <w:ind w:left="210" w:firstLine="0"/>
      </w:pPr>
      <w:rPr>
        <w:rFonts w:hint="default" w:ascii="宋体" w:hAnsi="宋体" w:eastAsia="宋体" w:cs="宋体"/>
      </w:rPr>
    </w:lvl>
    <w:lvl w:ilvl="4" w:tentative="0">
      <w:start w:val="1"/>
      <w:numFmt w:val="decimal"/>
      <w:lvlText w:val="%1.%2.%3.%4.%5"/>
      <w:lvlJc w:val="left"/>
      <w:pPr>
        <w:tabs>
          <w:tab w:val="left" w:pos="0"/>
        </w:tabs>
        <w:ind w:left="210" w:firstLine="0"/>
      </w:pPr>
      <w:rPr>
        <w:rFonts w:hint="eastAsia"/>
      </w:rPr>
    </w:lvl>
    <w:lvl w:ilvl="5" w:tentative="0">
      <w:start w:val="1"/>
      <w:numFmt w:val="decimal"/>
      <w:lvlText w:val="%1.%2.%3.%4.%5.%6"/>
      <w:lvlJc w:val="left"/>
      <w:pPr>
        <w:tabs>
          <w:tab w:val="left" w:pos="0"/>
        </w:tabs>
        <w:ind w:left="210" w:firstLine="0"/>
      </w:pPr>
      <w:rPr>
        <w:rFonts w:hint="eastAsia"/>
      </w:rPr>
    </w:lvl>
    <w:lvl w:ilvl="6" w:tentative="0">
      <w:start w:val="1"/>
      <w:numFmt w:val="decimal"/>
      <w:lvlText w:val="%1.%2.%3.%4.%5.%6.%7"/>
      <w:lvlJc w:val="left"/>
      <w:pPr>
        <w:tabs>
          <w:tab w:val="left" w:pos="0"/>
        </w:tabs>
        <w:ind w:left="210" w:firstLine="0"/>
      </w:pPr>
      <w:rPr>
        <w:rFonts w:hint="eastAsia"/>
      </w:rPr>
    </w:lvl>
    <w:lvl w:ilvl="7" w:tentative="0">
      <w:start w:val="1"/>
      <w:numFmt w:val="decimal"/>
      <w:lvlText w:val="%1.%2.%3.%4.%5.%6.%7.%8"/>
      <w:lvlJc w:val="left"/>
      <w:pPr>
        <w:tabs>
          <w:tab w:val="left" w:pos="0"/>
        </w:tabs>
        <w:ind w:left="210" w:firstLine="0"/>
      </w:pPr>
      <w:rPr>
        <w:rFonts w:hint="eastAsia"/>
      </w:rPr>
    </w:lvl>
    <w:lvl w:ilvl="8" w:tentative="0">
      <w:start w:val="1"/>
      <w:numFmt w:val="decimal"/>
      <w:lvlText w:val="%1.%2.%3.%4.%5.%6.%7.%8.%9"/>
      <w:lvlJc w:val="left"/>
      <w:pPr>
        <w:tabs>
          <w:tab w:val="left" w:pos="0"/>
        </w:tabs>
        <w:ind w:left="210" w:firstLine="0"/>
      </w:pPr>
      <w:rPr>
        <w:rFonts w:hint="eastAsia"/>
      </w:rPr>
    </w:lvl>
  </w:abstractNum>
  <w:abstractNum w:abstractNumId="1">
    <w:nsid w:val="B1F4DA07"/>
    <w:multiLevelType w:val="singleLevel"/>
    <w:tmpl w:val="B1F4DA07"/>
    <w:lvl w:ilvl="0" w:tentative="0">
      <w:start w:val="1"/>
      <w:numFmt w:val="decimal"/>
      <w:pStyle w:val="126"/>
      <w:suff w:val="space"/>
      <w:lvlText w:val="表1-%1"/>
      <w:lvlJc w:val="center"/>
      <w:pPr>
        <w:tabs>
          <w:tab w:val="left" w:pos="0"/>
        </w:tabs>
        <w:ind w:left="0" w:firstLine="0"/>
      </w:pPr>
      <w:rPr>
        <w:rFonts w:hint="default"/>
      </w:rPr>
    </w:lvl>
  </w:abstractNum>
  <w:abstractNum w:abstractNumId="2">
    <w:nsid w:val="CE548913"/>
    <w:multiLevelType w:val="singleLevel"/>
    <w:tmpl w:val="CE548913"/>
    <w:lvl w:ilvl="0" w:tentative="0">
      <w:start w:val="1"/>
      <w:numFmt w:val="decimal"/>
      <w:suff w:val="nothing"/>
      <w:lvlText w:val="%1）"/>
      <w:lvlJc w:val="left"/>
    </w:lvl>
  </w:abstractNum>
  <w:abstractNum w:abstractNumId="3">
    <w:nsid w:val="D2D46AA4"/>
    <w:multiLevelType w:val="singleLevel"/>
    <w:tmpl w:val="D2D46AA4"/>
    <w:lvl w:ilvl="0" w:tentative="0">
      <w:start w:val="2"/>
      <w:numFmt w:val="decimal"/>
      <w:suff w:val="nothing"/>
      <w:lvlText w:val="%1）"/>
      <w:lvlJc w:val="left"/>
    </w:lvl>
  </w:abstractNum>
  <w:abstractNum w:abstractNumId="4">
    <w:nsid w:val="D7329262"/>
    <w:multiLevelType w:val="singleLevel"/>
    <w:tmpl w:val="D7329262"/>
    <w:lvl w:ilvl="0" w:tentative="0">
      <w:start w:val="1"/>
      <w:numFmt w:val="chineseCounting"/>
      <w:suff w:val="nothing"/>
      <w:lvlText w:val="%1、"/>
      <w:lvlJc w:val="left"/>
      <w:rPr>
        <w:rFonts w:hint="eastAsia"/>
      </w:rPr>
    </w:lvl>
  </w:abstractNum>
  <w:abstractNum w:abstractNumId="5">
    <w:nsid w:val="EBAD2AA5"/>
    <w:multiLevelType w:val="singleLevel"/>
    <w:tmpl w:val="EBAD2AA5"/>
    <w:lvl w:ilvl="0" w:tentative="0">
      <w:start w:val="1"/>
      <w:numFmt w:val="decimal"/>
      <w:suff w:val="nothing"/>
      <w:lvlText w:val="%1、"/>
      <w:lvlJc w:val="left"/>
    </w:lvl>
  </w:abstractNum>
  <w:abstractNum w:abstractNumId="6">
    <w:nsid w:val="F7ED060B"/>
    <w:multiLevelType w:val="multilevel"/>
    <w:tmpl w:val="F7ED060B"/>
    <w:lvl w:ilvl="0" w:tentative="0">
      <w:start w:val="1"/>
      <w:numFmt w:val="decimal"/>
      <w:suff w:val="space"/>
      <w:lvlText w:val="%1"/>
      <w:lvlJc w:val="left"/>
      <w:pPr>
        <w:tabs>
          <w:tab w:val="left" w:pos="0"/>
        </w:tabs>
        <w:ind w:left="425" w:hanging="425"/>
      </w:pPr>
      <w:rPr>
        <w:rFonts w:hint="default" w:ascii="宋体" w:hAnsi="宋体" w:eastAsia="宋体" w:cs="宋体"/>
      </w:rPr>
    </w:lvl>
    <w:lvl w:ilvl="1" w:tentative="0">
      <w:start w:val="1"/>
      <w:numFmt w:val="decimal"/>
      <w:suff w:val="space"/>
      <w:lvlText w:val="%1.%2"/>
      <w:lvlJc w:val="left"/>
      <w:pPr>
        <w:tabs>
          <w:tab w:val="left" w:pos="431"/>
        </w:tabs>
        <w:ind w:left="425" w:hanging="425"/>
      </w:pPr>
      <w:rPr>
        <w:rFonts w:hint="default" w:ascii="宋体" w:hAnsi="宋体" w:eastAsia="宋体" w:cs="宋体"/>
      </w:rPr>
    </w:lvl>
    <w:lvl w:ilvl="2" w:tentative="0">
      <w:start w:val="1"/>
      <w:numFmt w:val="decimal"/>
      <w:suff w:val="space"/>
      <w:lvlText w:val="%1.%2.%3"/>
      <w:lvlJc w:val="left"/>
      <w:pPr>
        <w:tabs>
          <w:tab w:val="left" w:pos="0"/>
        </w:tabs>
        <w:ind w:left="425" w:hanging="425"/>
      </w:pPr>
      <w:rPr>
        <w:rFonts w:hint="default" w:ascii="Times New Roman" w:hAnsi="Times New Roman" w:eastAsia="宋体" w:cs="宋体"/>
        <w:b/>
        <w:color w:val="auto"/>
        <w:sz w:val="24"/>
        <w:szCs w:val="24"/>
      </w:rPr>
    </w:lvl>
    <w:lvl w:ilvl="3" w:tentative="0">
      <w:start w:val="1"/>
      <w:numFmt w:val="decimal"/>
      <w:suff w:val="space"/>
      <w:lvlText w:val="表2.4.1-%4"/>
      <w:lvlJc w:val="center"/>
      <w:pPr>
        <w:tabs>
          <w:tab w:val="left" w:pos="0"/>
        </w:tabs>
        <w:ind w:left="0" w:firstLine="0"/>
      </w:pPr>
      <w:rPr>
        <w:rFonts w:hint="default" w:ascii="宋体" w:hAnsi="宋体" w:eastAsia="宋体" w:cs="宋体"/>
      </w:rPr>
    </w:lvl>
    <w:lvl w:ilvl="4" w:tentative="0">
      <w:start w:val="1"/>
      <w:numFmt w:val="decimal"/>
      <w:pStyle w:val="33"/>
      <w:suff w:val="space"/>
      <w:lvlText w:val="表%1.%2.%3-%5"/>
      <w:lvlJc w:val="center"/>
      <w:pPr>
        <w:tabs>
          <w:tab w:val="left" w:pos="0"/>
        </w:tabs>
        <w:ind w:left="2310" w:firstLine="0"/>
      </w:pPr>
      <w:rPr>
        <w:rFonts w:hint="default" w:ascii="Times New Roman" w:hAnsi="Times New Roman" w:eastAsia="宋体" w:cs="Times New Roman"/>
        <w:sz w:val="21"/>
        <w:szCs w:val="21"/>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7">
    <w:nsid w:val="FFFFFFFB"/>
    <w:multiLevelType w:val="multilevel"/>
    <w:tmpl w:val="FFFFFFFB"/>
    <w:lvl w:ilvl="0" w:tentative="0">
      <w:start w:val="1"/>
      <w:numFmt w:val="upperRoman"/>
      <w:lvlText w:val="6-%1."/>
      <w:legacy w:legacy="1" w:legacySpace="0" w:legacyIndent="425"/>
      <w:lvlJc w:val="left"/>
      <w:pPr>
        <w:ind w:left="425" w:hanging="425"/>
      </w:pPr>
    </w:lvl>
    <w:lvl w:ilvl="1" w:tentative="0">
      <w:start w:val="1"/>
      <w:numFmt w:val="upperLetter"/>
      <w:lvlText w:val="%2."/>
      <w:legacy w:legacy="1" w:legacySpace="0" w:legacyIndent="425"/>
      <w:lvlJc w:val="left"/>
      <w:pPr>
        <w:ind w:left="850" w:hanging="425"/>
      </w:pPr>
    </w:lvl>
    <w:lvl w:ilvl="2" w:tentative="0">
      <w:start w:val="1"/>
      <w:numFmt w:val="decimal"/>
      <w:pStyle w:val="5"/>
      <w:lvlText w:val="%3."/>
      <w:legacy w:legacy="1" w:legacySpace="0" w:legacyIndent="425"/>
      <w:lvlJc w:val="left"/>
      <w:pPr>
        <w:ind w:left="1275" w:hanging="425"/>
      </w:pPr>
    </w:lvl>
    <w:lvl w:ilvl="3" w:tentative="0">
      <w:start w:val="1"/>
      <w:numFmt w:val="lowerLetter"/>
      <w:lvlText w:val="%4)"/>
      <w:legacy w:legacy="1" w:legacySpace="0" w:legacyIndent="425"/>
      <w:lvlJc w:val="left"/>
      <w:pPr>
        <w:ind w:left="1700" w:hanging="425"/>
      </w:pPr>
    </w:lvl>
    <w:lvl w:ilvl="4" w:tentative="0">
      <w:start w:val="1"/>
      <w:numFmt w:val="decimal"/>
      <w:lvlText w:val="(%5)"/>
      <w:legacy w:legacy="1" w:legacySpace="0" w:legacyIndent="425"/>
      <w:lvlJc w:val="left"/>
      <w:pPr>
        <w:ind w:left="2125" w:hanging="425"/>
      </w:pPr>
    </w:lvl>
    <w:lvl w:ilvl="5" w:tentative="0">
      <w:start w:val="1"/>
      <w:numFmt w:val="lowerLetter"/>
      <w:lvlText w:val="(%6)"/>
      <w:legacy w:legacy="1" w:legacySpace="0" w:legacyIndent="425"/>
      <w:lvlJc w:val="left"/>
      <w:pPr>
        <w:ind w:left="2550" w:hanging="425"/>
      </w:pPr>
    </w:lvl>
    <w:lvl w:ilvl="6" w:tentative="0">
      <w:start w:val="1"/>
      <w:numFmt w:val="lowerRoman"/>
      <w:lvlText w:val="(%7)"/>
      <w:legacy w:legacy="1" w:legacySpace="0" w:legacyIndent="425"/>
      <w:lvlJc w:val="left"/>
      <w:pPr>
        <w:ind w:left="2975" w:hanging="425"/>
      </w:pPr>
    </w:lvl>
    <w:lvl w:ilvl="7" w:tentative="0">
      <w:start w:val="1"/>
      <w:numFmt w:val="lowerLetter"/>
      <w:lvlText w:val="(%8)"/>
      <w:legacy w:legacy="1" w:legacySpace="0" w:legacyIndent="425"/>
      <w:lvlJc w:val="left"/>
      <w:pPr>
        <w:ind w:left="3400" w:hanging="425"/>
      </w:pPr>
    </w:lvl>
    <w:lvl w:ilvl="8" w:tentative="0">
      <w:start w:val="1"/>
      <w:numFmt w:val="lowerRoman"/>
      <w:lvlText w:val="(%9)"/>
      <w:legacy w:legacy="1" w:legacySpace="0" w:legacyIndent="425"/>
      <w:lvlJc w:val="left"/>
      <w:pPr>
        <w:ind w:left="3825" w:hanging="425"/>
      </w:pPr>
    </w:lvl>
  </w:abstractNum>
  <w:abstractNum w:abstractNumId="8">
    <w:nsid w:val="072654F9"/>
    <w:multiLevelType w:val="multilevel"/>
    <w:tmpl w:val="072654F9"/>
    <w:lvl w:ilvl="0" w:tentative="0">
      <w:start w:val="1"/>
      <w:numFmt w:val="decimal"/>
      <w:suff w:val="space"/>
      <w:lvlText w:val="%1."/>
      <w:lvlJc w:val="left"/>
      <w:pPr>
        <w:tabs>
          <w:tab w:val="left" w:pos="0"/>
        </w:tabs>
        <w:ind w:left="425" w:hanging="425"/>
      </w:pPr>
      <w:rPr>
        <w:rFonts w:hint="default" w:ascii="Times New Roman" w:hAnsi="Times New Roman" w:eastAsia="宋体" w:cs="宋体"/>
        <w:b/>
        <w:sz w:val="32"/>
      </w:rPr>
    </w:lvl>
    <w:lvl w:ilvl="1" w:tentative="0">
      <w:start w:val="1"/>
      <w:numFmt w:val="decimal"/>
      <w:suff w:val="space"/>
      <w:lvlText w:val="%1.%2."/>
      <w:lvlJc w:val="left"/>
      <w:pPr>
        <w:tabs>
          <w:tab w:val="left" w:pos="0"/>
        </w:tabs>
        <w:ind w:left="425" w:hanging="425"/>
      </w:pPr>
      <w:rPr>
        <w:rFonts w:hint="default" w:ascii="Times New Roman" w:hAnsi="Times New Roman" w:eastAsia="宋体" w:cs="宋体"/>
        <w:b/>
        <w:sz w:val="30"/>
      </w:rPr>
    </w:lvl>
    <w:lvl w:ilvl="2" w:tentative="0">
      <w:start w:val="1"/>
      <w:numFmt w:val="decimal"/>
      <w:suff w:val="space"/>
      <w:lvlText w:val="%1.%2.%3."/>
      <w:lvlJc w:val="left"/>
      <w:pPr>
        <w:tabs>
          <w:tab w:val="left" w:pos="0"/>
        </w:tabs>
        <w:ind w:left="425" w:hanging="425"/>
      </w:pPr>
      <w:rPr>
        <w:rFonts w:hint="default" w:ascii="Times New Roman" w:hAnsi="Times New Roman" w:eastAsia="宋体" w:cs="宋体"/>
        <w:b/>
        <w:sz w:val="28"/>
      </w:rPr>
    </w:lvl>
    <w:lvl w:ilvl="3" w:tentative="0">
      <w:start w:val="1"/>
      <w:numFmt w:val="decimal"/>
      <w:suff w:val="space"/>
      <w:lvlText w:val="%1.%2.%3.%4."/>
      <w:lvlJc w:val="left"/>
      <w:pPr>
        <w:tabs>
          <w:tab w:val="left" w:pos="0"/>
        </w:tabs>
        <w:ind w:left="425" w:hanging="425"/>
      </w:pPr>
      <w:rPr>
        <w:rFonts w:hint="default" w:ascii="Times New Roman" w:hAnsi="Times New Roman" w:eastAsia="宋体" w:cs="宋体"/>
        <w:b/>
        <w:sz w:val="24"/>
      </w:rPr>
    </w:lvl>
    <w:lvl w:ilvl="4" w:tentative="0">
      <w:start w:val="1"/>
      <w:numFmt w:val="decimal"/>
      <w:lvlRestart w:val="2"/>
      <w:pStyle w:val="7"/>
      <w:suff w:val="space"/>
      <w:lvlText w:val="表%1.%2-%5."/>
      <w:lvlJc w:val="left"/>
      <w:pPr>
        <w:tabs>
          <w:tab w:val="left" w:pos="0"/>
        </w:tabs>
        <w:ind w:left="1385" w:hanging="425"/>
      </w:pPr>
      <w:rPr>
        <w:rFonts w:hint="default" w:ascii="Times New Roman" w:hAnsi="Times New Roman" w:eastAsia="宋体" w:cs="宋体"/>
        <w:b/>
        <w:sz w:val="21"/>
      </w:rPr>
    </w:lvl>
    <w:lvl w:ilvl="5" w:tentative="0">
      <w:start w:val="1"/>
      <w:numFmt w:val="decimal"/>
      <w:lvlRestart w:val="2"/>
      <w:suff w:val="space"/>
      <w:lvlText w:val="图%1.%2-%6"/>
      <w:lvlJc w:val="left"/>
      <w:pPr>
        <w:tabs>
          <w:tab w:val="left" w:pos="0"/>
        </w:tabs>
        <w:ind w:left="425" w:hanging="425"/>
      </w:pPr>
      <w:rPr>
        <w:rFonts w:hint="default" w:ascii="Times New Roman" w:hAnsi="Times New Roman" w:eastAsia="宋体" w:cs="宋体"/>
        <w:b/>
        <w:sz w:val="21"/>
      </w:rPr>
    </w:lvl>
    <w:lvl w:ilvl="6" w:tentative="0">
      <w:start w:val="1"/>
      <w:numFmt w:val="none"/>
      <w:lvlRestart w:val="4"/>
      <w:suff w:val="space"/>
      <w:lvlText w:val="%1.%2.%3.%4.%5."/>
      <w:lvlJc w:val="left"/>
      <w:pPr>
        <w:tabs>
          <w:tab w:val="left" w:pos="0"/>
        </w:tabs>
        <w:ind w:left="425" w:hanging="425"/>
      </w:pPr>
      <w:rPr>
        <w:rFonts w:hint="default" w:ascii="Times New Roman" w:hAnsi="Times New Roman" w:eastAsia="宋体" w:cs="宋体"/>
        <w:b/>
        <w:sz w:val="24"/>
      </w:rPr>
    </w:lvl>
    <w:lvl w:ilvl="7" w:tentative="0">
      <w:start w:val="1"/>
      <w:numFmt w:val="decimal"/>
      <w:lvlText w:val="%1.%2.%3.%4.%5.%6.%7.%8."/>
      <w:lvlJc w:val="left"/>
      <w:pPr>
        <w:ind w:left="1418" w:hanging="1418"/>
      </w:pPr>
      <w:rPr>
        <w:rFonts w:hint="default" w:ascii="宋体" w:hAnsi="宋体" w:eastAsia="宋体" w:cs="宋体"/>
      </w:rPr>
    </w:lvl>
    <w:lvl w:ilvl="8" w:tentative="0">
      <w:start w:val="1"/>
      <w:numFmt w:val="decimal"/>
      <w:lvlText w:val="%1.%2.%3.%4.%5.%6.%7.%8.%9."/>
      <w:lvlJc w:val="left"/>
      <w:pPr>
        <w:ind w:left="1558" w:hanging="1558"/>
      </w:pPr>
      <w:rPr>
        <w:rFonts w:hint="default" w:ascii="宋体" w:hAnsi="宋体" w:eastAsia="宋体" w:cs="宋体"/>
      </w:rPr>
    </w:lvl>
  </w:abstractNum>
  <w:abstractNum w:abstractNumId="9">
    <w:nsid w:val="093078C4"/>
    <w:multiLevelType w:val="singleLevel"/>
    <w:tmpl w:val="093078C4"/>
    <w:lvl w:ilvl="0" w:tentative="0">
      <w:start w:val="3"/>
      <w:numFmt w:val="decimal"/>
      <w:suff w:val="nothing"/>
      <w:lvlText w:val="%1、"/>
      <w:lvlJc w:val="left"/>
    </w:lvl>
  </w:abstractNum>
  <w:abstractNum w:abstractNumId="10">
    <w:nsid w:val="0B3FCBC2"/>
    <w:multiLevelType w:val="singleLevel"/>
    <w:tmpl w:val="0B3FCBC2"/>
    <w:lvl w:ilvl="0" w:tentative="0">
      <w:start w:val="1"/>
      <w:numFmt w:val="decimal"/>
      <w:pStyle w:val="125"/>
      <w:suff w:val="space"/>
      <w:lvlText w:val="表4-%1"/>
      <w:lvlJc w:val="center"/>
      <w:pPr>
        <w:tabs>
          <w:tab w:val="left" w:pos="0"/>
        </w:tabs>
        <w:ind w:left="0" w:firstLine="0"/>
      </w:pPr>
      <w:rPr>
        <w:rFonts w:hint="default"/>
      </w:rPr>
    </w:lvl>
  </w:abstractNum>
  <w:abstractNum w:abstractNumId="11">
    <w:nsid w:val="311D669B"/>
    <w:multiLevelType w:val="singleLevel"/>
    <w:tmpl w:val="311D669B"/>
    <w:lvl w:ilvl="0" w:tentative="0">
      <w:start w:val="1"/>
      <w:numFmt w:val="decimal"/>
      <w:suff w:val="nothing"/>
      <w:lvlText w:val="%1、"/>
      <w:lvlJc w:val="left"/>
    </w:lvl>
  </w:abstractNum>
  <w:abstractNum w:abstractNumId="12">
    <w:nsid w:val="48D6A307"/>
    <w:multiLevelType w:val="singleLevel"/>
    <w:tmpl w:val="48D6A307"/>
    <w:lvl w:ilvl="0" w:tentative="0">
      <w:start w:val="1"/>
      <w:numFmt w:val="decimal"/>
      <w:pStyle w:val="127"/>
      <w:suff w:val="space"/>
      <w:lvlText w:val="表2-%1"/>
      <w:lvlJc w:val="center"/>
      <w:pPr>
        <w:tabs>
          <w:tab w:val="left" w:pos="0"/>
        </w:tabs>
        <w:ind w:left="0" w:firstLine="0"/>
      </w:pPr>
      <w:rPr>
        <w:rFonts w:hint="default"/>
      </w:rPr>
    </w:lvl>
  </w:abstractNum>
  <w:abstractNum w:abstractNumId="13">
    <w:nsid w:val="5168111B"/>
    <w:multiLevelType w:val="singleLevel"/>
    <w:tmpl w:val="5168111B"/>
    <w:lvl w:ilvl="0" w:tentative="0">
      <w:start w:val="16"/>
      <w:numFmt w:val="decimal"/>
      <w:suff w:val="nothing"/>
      <w:lvlText w:val="%1、"/>
      <w:lvlJc w:val="left"/>
    </w:lvl>
  </w:abstractNum>
  <w:abstractNum w:abstractNumId="14">
    <w:nsid w:val="6CB15F73"/>
    <w:multiLevelType w:val="singleLevel"/>
    <w:tmpl w:val="6CB15F73"/>
    <w:lvl w:ilvl="0" w:tentative="0">
      <w:start w:val="1"/>
      <w:numFmt w:val="decimal"/>
      <w:pStyle w:val="153"/>
      <w:suff w:val="space"/>
      <w:lvlText w:val="图2-%1"/>
      <w:lvlJc w:val="center"/>
      <w:pPr>
        <w:tabs>
          <w:tab w:val="left" w:pos="0"/>
        </w:tabs>
        <w:ind w:left="425" w:leftChars="0" w:hanging="425" w:firstLineChars="0"/>
      </w:pPr>
      <w:rPr>
        <w:rFonts w:hint="default"/>
        <w:b/>
        <w:sz w:val="24"/>
      </w:rPr>
    </w:lvl>
  </w:abstractNum>
  <w:abstractNum w:abstractNumId="15">
    <w:nsid w:val="762E176F"/>
    <w:multiLevelType w:val="multilevel"/>
    <w:tmpl w:val="762E176F"/>
    <w:lvl w:ilvl="0" w:tentative="0">
      <w:start w:val="1"/>
      <w:numFmt w:val="decimal"/>
      <w:lvlText w:val="%1"/>
      <w:lvlJc w:val="left"/>
      <w:pPr>
        <w:tabs>
          <w:tab w:val="left" w:pos="432"/>
        </w:tabs>
        <w:ind w:left="432" w:hanging="432"/>
      </w:pPr>
      <w:rPr>
        <w:rFonts w:hint="eastAsia"/>
      </w:rPr>
    </w:lvl>
    <w:lvl w:ilvl="1" w:tentative="0">
      <w:start w:val="1"/>
      <w:numFmt w:val="decimal"/>
      <w:pStyle w:val="19"/>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6">
    <w:nsid w:val="7C4C9570"/>
    <w:multiLevelType w:val="multilevel"/>
    <w:tmpl w:val="7C4C9570"/>
    <w:lvl w:ilvl="0" w:tentative="0">
      <w:start w:val="1"/>
      <w:numFmt w:val="decimal"/>
      <w:pStyle w:val="152"/>
      <w:suff w:val="space"/>
      <w:lvlText w:val="图3-%1"/>
      <w:lvlJc w:val="left"/>
      <w:pPr>
        <w:tabs>
          <w:tab w:val="left" w:pos="0"/>
        </w:tabs>
        <w:ind w:left="425" w:hanging="425"/>
      </w:pPr>
      <w:rPr>
        <w:rFonts w:hint="default" w:ascii="Times New Roman" w:hAnsi="Times New Roman" w:eastAsia="宋体" w:cs="宋体"/>
        <w:b/>
        <w:sz w:val="21"/>
      </w:rPr>
    </w:lvl>
    <w:lvl w:ilvl="1" w:tentative="0">
      <w:start w:val="1"/>
      <w:numFmt w:val="decimal"/>
      <w:suff w:val="space"/>
      <w:lvlText w:val="%1.%2."/>
      <w:lvlJc w:val="left"/>
      <w:pPr>
        <w:tabs>
          <w:tab w:val="left" w:pos="420"/>
        </w:tabs>
        <w:ind w:left="567" w:hanging="567"/>
      </w:pPr>
      <w:rPr>
        <w:rFonts w:hint="default" w:ascii="宋体" w:hAnsi="宋体" w:eastAsia="宋体" w:cs="宋体"/>
        <w:b/>
        <w:sz w:val="30"/>
      </w:rPr>
    </w:lvl>
    <w:lvl w:ilvl="2" w:tentative="0">
      <w:start w:val="1"/>
      <w:numFmt w:val="decimal"/>
      <w:suff w:val="space"/>
      <w:lvlText w:val="%1.%2.%3."/>
      <w:lvlJc w:val="left"/>
      <w:pPr>
        <w:tabs>
          <w:tab w:val="left" w:pos="420"/>
        </w:tabs>
        <w:ind w:left="425" w:hanging="425"/>
      </w:pPr>
      <w:rPr>
        <w:rFonts w:hint="default" w:ascii="Times New Roman" w:hAnsi="Times New Roman" w:eastAsia="宋体" w:cs="宋体"/>
        <w:b/>
        <w:sz w:val="28"/>
      </w:rPr>
    </w:lvl>
    <w:lvl w:ilvl="3" w:tentative="0">
      <w:start w:val="1"/>
      <w:numFmt w:val="decimal"/>
      <w:suff w:val="space"/>
      <w:lvlText w:val="%1.%2.%3.%4."/>
      <w:lvlJc w:val="left"/>
      <w:pPr>
        <w:tabs>
          <w:tab w:val="left" w:pos="420"/>
        </w:tabs>
        <w:ind w:left="425" w:hanging="425"/>
      </w:pPr>
      <w:rPr>
        <w:rFonts w:hint="default" w:ascii="Times New Roman" w:hAnsi="Times New Roman" w:eastAsia="宋体" w:cs="宋体"/>
        <w:b/>
        <w:sz w:val="24"/>
      </w:rPr>
    </w:lvl>
    <w:lvl w:ilvl="4" w:tentative="0">
      <w:start w:val="1"/>
      <w:numFmt w:val="decimal"/>
      <w:lvlRestart w:val="2"/>
      <w:suff w:val="space"/>
      <w:lvlText w:val="表%1-%5"/>
      <w:lvlJc w:val="left"/>
      <w:pPr>
        <w:tabs>
          <w:tab w:val="left" w:pos="0"/>
        </w:tabs>
        <w:ind w:left="425" w:hanging="425"/>
      </w:pPr>
      <w:rPr>
        <w:rFonts w:hint="default" w:ascii="Times New Roman" w:hAnsi="Times New Roman" w:eastAsia="宋体" w:cs="宋体"/>
        <w:b/>
        <w:sz w:val="21"/>
      </w:rPr>
    </w:lvl>
    <w:lvl w:ilvl="5" w:tentative="0">
      <w:start w:val="1"/>
      <w:numFmt w:val="decimal"/>
      <w:lvlRestart w:val="2"/>
      <w:suff w:val="space"/>
      <w:lvlText w:val="图%1.%2-%6"/>
      <w:lvlJc w:val="left"/>
      <w:pPr>
        <w:tabs>
          <w:tab w:val="left" w:pos="0"/>
        </w:tabs>
        <w:ind w:left="425" w:hanging="425"/>
      </w:pPr>
      <w:rPr>
        <w:rFonts w:hint="default" w:ascii="Times New Roman" w:hAnsi="Times New Roman" w:eastAsia="宋体" w:cs="宋体"/>
        <w:b/>
        <w:sz w:val="21"/>
      </w:rPr>
    </w:lvl>
    <w:lvl w:ilvl="6" w:tentative="0">
      <w:start w:val="1"/>
      <w:numFmt w:val="decimal"/>
      <w:lvlText w:val="%1.%2.%3.%4.%5.%6.%7."/>
      <w:lvlJc w:val="left"/>
      <w:pPr>
        <w:tabs>
          <w:tab w:val="left" w:pos="420"/>
        </w:tabs>
        <w:ind w:left="1275" w:hanging="1275"/>
      </w:pPr>
      <w:rPr>
        <w:rFonts w:hint="default" w:ascii="宋体" w:hAnsi="宋体" w:eastAsia="宋体" w:cs="宋体"/>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7">
    <w:nsid w:val="7CD72A9B"/>
    <w:multiLevelType w:val="singleLevel"/>
    <w:tmpl w:val="7CD72A9B"/>
    <w:lvl w:ilvl="0" w:tentative="0">
      <w:start w:val="1"/>
      <w:numFmt w:val="bullet"/>
      <w:pStyle w:val="17"/>
      <w:lvlText w:val=""/>
      <w:lvlJc w:val="left"/>
      <w:pPr>
        <w:tabs>
          <w:tab w:val="left" w:pos="780"/>
        </w:tabs>
        <w:ind w:left="780" w:hanging="360"/>
      </w:pPr>
      <w:rPr>
        <w:rFonts w:hint="default" w:ascii="Wingdings" w:hAnsi="Wingdings"/>
      </w:rPr>
    </w:lvl>
  </w:abstractNum>
  <w:num w:numId="1">
    <w:abstractNumId w:val="7"/>
  </w:num>
  <w:num w:numId="2">
    <w:abstractNumId w:val="8"/>
  </w:num>
  <w:num w:numId="3">
    <w:abstractNumId w:val="17"/>
  </w:num>
  <w:num w:numId="4">
    <w:abstractNumId w:val="15"/>
  </w:num>
  <w:num w:numId="5">
    <w:abstractNumId w:val="6"/>
  </w:num>
  <w:num w:numId="6">
    <w:abstractNumId w:val="10"/>
  </w:num>
  <w:num w:numId="7">
    <w:abstractNumId w:val="1"/>
  </w:num>
  <w:num w:numId="8">
    <w:abstractNumId w:val="12"/>
  </w:num>
  <w:num w:numId="9">
    <w:abstractNumId w:val="16"/>
  </w:num>
  <w:num w:numId="10">
    <w:abstractNumId w:val="14"/>
  </w:num>
  <w:num w:numId="11">
    <w:abstractNumId w:val="0"/>
  </w:num>
  <w:num w:numId="12">
    <w:abstractNumId w:val="9"/>
  </w:num>
  <w:num w:numId="13">
    <w:abstractNumId w:val="11"/>
  </w:num>
  <w:num w:numId="14">
    <w:abstractNumId w:val="3"/>
  </w:num>
  <w:num w:numId="15">
    <w:abstractNumId w:val="2"/>
  </w:num>
  <w:num w:numId="16">
    <w:abstractNumId w:val="4"/>
  </w:num>
  <w:num w:numId="17">
    <w:abstractNumId w:val="5"/>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rawingGridVerticalSpacing w:val="156"/>
  <w:displayHorizontalDrawingGridEvery w:val="1"/>
  <w:displayVerticalDrawingGridEvery w:val="1"/>
  <w:doNotShadeFormData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4YTU5OGUzMjBhMWU5YTVlNDY3M2FkMzM5M2I1ODMifQ=="/>
    <w:docVar w:name="KSO_WPS_MARK_KEY" w:val="05bdd635-b5df-4835-b812-9caf77094229"/>
  </w:docVars>
  <w:rsids>
    <w:rsidRoot w:val="00172A27"/>
    <w:rsid w:val="000060B3"/>
    <w:rsid w:val="000126FE"/>
    <w:rsid w:val="000174E1"/>
    <w:rsid w:val="000427D3"/>
    <w:rsid w:val="0004364B"/>
    <w:rsid w:val="00061285"/>
    <w:rsid w:val="00061B1F"/>
    <w:rsid w:val="000733C4"/>
    <w:rsid w:val="00074783"/>
    <w:rsid w:val="0008070B"/>
    <w:rsid w:val="000810AC"/>
    <w:rsid w:val="00081A02"/>
    <w:rsid w:val="00082231"/>
    <w:rsid w:val="00086273"/>
    <w:rsid w:val="00092D38"/>
    <w:rsid w:val="0009377B"/>
    <w:rsid w:val="000A20C9"/>
    <w:rsid w:val="000B058F"/>
    <w:rsid w:val="000B4467"/>
    <w:rsid w:val="000B4DB9"/>
    <w:rsid w:val="000C09AC"/>
    <w:rsid w:val="000C767F"/>
    <w:rsid w:val="000C7BDB"/>
    <w:rsid w:val="000D5A44"/>
    <w:rsid w:val="000E3ED2"/>
    <w:rsid w:val="00115974"/>
    <w:rsid w:val="00131F42"/>
    <w:rsid w:val="001357F1"/>
    <w:rsid w:val="00140FA8"/>
    <w:rsid w:val="00142FEB"/>
    <w:rsid w:val="00143A2D"/>
    <w:rsid w:val="00145A41"/>
    <w:rsid w:val="001471C3"/>
    <w:rsid w:val="00151675"/>
    <w:rsid w:val="0015695A"/>
    <w:rsid w:val="00157435"/>
    <w:rsid w:val="0016030E"/>
    <w:rsid w:val="00172A27"/>
    <w:rsid w:val="0017504D"/>
    <w:rsid w:val="0017671A"/>
    <w:rsid w:val="00176D89"/>
    <w:rsid w:val="00177422"/>
    <w:rsid w:val="00182B05"/>
    <w:rsid w:val="00184590"/>
    <w:rsid w:val="001870D1"/>
    <w:rsid w:val="0018781E"/>
    <w:rsid w:val="0019262D"/>
    <w:rsid w:val="001A1B35"/>
    <w:rsid w:val="001A48A2"/>
    <w:rsid w:val="001A6F61"/>
    <w:rsid w:val="001B72B8"/>
    <w:rsid w:val="001C69B3"/>
    <w:rsid w:val="001D5595"/>
    <w:rsid w:val="001D7874"/>
    <w:rsid w:val="001D7F22"/>
    <w:rsid w:val="001E45DE"/>
    <w:rsid w:val="001F0F17"/>
    <w:rsid w:val="001F3347"/>
    <w:rsid w:val="001F69E4"/>
    <w:rsid w:val="002125B4"/>
    <w:rsid w:val="002155B8"/>
    <w:rsid w:val="00224331"/>
    <w:rsid w:val="00224839"/>
    <w:rsid w:val="002249B2"/>
    <w:rsid w:val="00226574"/>
    <w:rsid w:val="002278EC"/>
    <w:rsid w:val="00230E06"/>
    <w:rsid w:val="0023280E"/>
    <w:rsid w:val="00236210"/>
    <w:rsid w:val="002377D1"/>
    <w:rsid w:val="002438F6"/>
    <w:rsid w:val="002506BC"/>
    <w:rsid w:val="00254345"/>
    <w:rsid w:val="00264557"/>
    <w:rsid w:val="00276E33"/>
    <w:rsid w:val="002805AB"/>
    <w:rsid w:val="00284204"/>
    <w:rsid w:val="00286C53"/>
    <w:rsid w:val="00291773"/>
    <w:rsid w:val="002A168C"/>
    <w:rsid w:val="002A3DC7"/>
    <w:rsid w:val="002B49E2"/>
    <w:rsid w:val="002B7B00"/>
    <w:rsid w:val="002B7C44"/>
    <w:rsid w:val="002C2B17"/>
    <w:rsid w:val="002C39F2"/>
    <w:rsid w:val="002D3DD0"/>
    <w:rsid w:val="002E1F3A"/>
    <w:rsid w:val="002E298A"/>
    <w:rsid w:val="002E4AC6"/>
    <w:rsid w:val="00301978"/>
    <w:rsid w:val="0030332C"/>
    <w:rsid w:val="003051C2"/>
    <w:rsid w:val="00312296"/>
    <w:rsid w:val="00314F0E"/>
    <w:rsid w:val="00321D8E"/>
    <w:rsid w:val="00325928"/>
    <w:rsid w:val="00330E4A"/>
    <w:rsid w:val="00332863"/>
    <w:rsid w:val="0033684D"/>
    <w:rsid w:val="00337B42"/>
    <w:rsid w:val="00341B42"/>
    <w:rsid w:val="0034348F"/>
    <w:rsid w:val="00353CE5"/>
    <w:rsid w:val="00356653"/>
    <w:rsid w:val="0035743F"/>
    <w:rsid w:val="00357BE2"/>
    <w:rsid w:val="0036170C"/>
    <w:rsid w:val="00366E0F"/>
    <w:rsid w:val="00373B24"/>
    <w:rsid w:val="00381A72"/>
    <w:rsid w:val="00384676"/>
    <w:rsid w:val="00387275"/>
    <w:rsid w:val="00390857"/>
    <w:rsid w:val="003A4BF3"/>
    <w:rsid w:val="003B420D"/>
    <w:rsid w:val="003C6C16"/>
    <w:rsid w:val="003D143B"/>
    <w:rsid w:val="003D794D"/>
    <w:rsid w:val="003E3058"/>
    <w:rsid w:val="003E76A9"/>
    <w:rsid w:val="003F0809"/>
    <w:rsid w:val="003F6A8C"/>
    <w:rsid w:val="003F755C"/>
    <w:rsid w:val="00404F05"/>
    <w:rsid w:val="00406F01"/>
    <w:rsid w:val="00416D50"/>
    <w:rsid w:val="00416FD5"/>
    <w:rsid w:val="00417772"/>
    <w:rsid w:val="00420E6A"/>
    <w:rsid w:val="00425A9E"/>
    <w:rsid w:val="00426D6B"/>
    <w:rsid w:val="00431E6C"/>
    <w:rsid w:val="00433CE7"/>
    <w:rsid w:val="00452738"/>
    <w:rsid w:val="004531D7"/>
    <w:rsid w:val="00456091"/>
    <w:rsid w:val="00466321"/>
    <w:rsid w:val="0046650A"/>
    <w:rsid w:val="00473120"/>
    <w:rsid w:val="00484B9B"/>
    <w:rsid w:val="004855F6"/>
    <w:rsid w:val="0048661E"/>
    <w:rsid w:val="00492219"/>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48D3"/>
    <w:rsid w:val="005A68A7"/>
    <w:rsid w:val="005B3251"/>
    <w:rsid w:val="005D36AB"/>
    <w:rsid w:val="005D5349"/>
    <w:rsid w:val="005E473F"/>
    <w:rsid w:val="005F2730"/>
    <w:rsid w:val="005F564B"/>
    <w:rsid w:val="006060EF"/>
    <w:rsid w:val="00617CC3"/>
    <w:rsid w:val="006377A6"/>
    <w:rsid w:val="00637A3D"/>
    <w:rsid w:val="006411EF"/>
    <w:rsid w:val="00644330"/>
    <w:rsid w:val="006748B8"/>
    <w:rsid w:val="006775C3"/>
    <w:rsid w:val="0069290A"/>
    <w:rsid w:val="0069304D"/>
    <w:rsid w:val="0069775A"/>
    <w:rsid w:val="00697813"/>
    <w:rsid w:val="006A3EE8"/>
    <w:rsid w:val="006A72BF"/>
    <w:rsid w:val="006B03F2"/>
    <w:rsid w:val="006B37DC"/>
    <w:rsid w:val="006B4F68"/>
    <w:rsid w:val="006C0112"/>
    <w:rsid w:val="006C0592"/>
    <w:rsid w:val="006C272E"/>
    <w:rsid w:val="006C5479"/>
    <w:rsid w:val="006D13B5"/>
    <w:rsid w:val="006D203A"/>
    <w:rsid w:val="006D286D"/>
    <w:rsid w:val="006D7BAB"/>
    <w:rsid w:val="006E12FF"/>
    <w:rsid w:val="006E607E"/>
    <w:rsid w:val="00706C5D"/>
    <w:rsid w:val="00714C0B"/>
    <w:rsid w:val="007306B2"/>
    <w:rsid w:val="00732922"/>
    <w:rsid w:val="007433EC"/>
    <w:rsid w:val="00751276"/>
    <w:rsid w:val="0075162E"/>
    <w:rsid w:val="00754034"/>
    <w:rsid w:val="00756556"/>
    <w:rsid w:val="007618C4"/>
    <w:rsid w:val="007646CC"/>
    <w:rsid w:val="007650F3"/>
    <w:rsid w:val="00767980"/>
    <w:rsid w:val="00770B19"/>
    <w:rsid w:val="00773C5C"/>
    <w:rsid w:val="0077463F"/>
    <w:rsid w:val="007836EA"/>
    <w:rsid w:val="00784CDA"/>
    <w:rsid w:val="007906C4"/>
    <w:rsid w:val="007940EA"/>
    <w:rsid w:val="007967E8"/>
    <w:rsid w:val="007A2170"/>
    <w:rsid w:val="007A22BF"/>
    <w:rsid w:val="007A3323"/>
    <w:rsid w:val="007B36FD"/>
    <w:rsid w:val="007B72B8"/>
    <w:rsid w:val="007B7A58"/>
    <w:rsid w:val="007C21B5"/>
    <w:rsid w:val="007C71D1"/>
    <w:rsid w:val="007E4BD2"/>
    <w:rsid w:val="00801393"/>
    <w:rsid w:val="00802F88"/>
    <w:rsid w:val="0080650D"/>
    <w:rsid w:val="0081293E"/>
    <w:rsid w:val="00815465"/>
    <w:rsid w:val="00817E9A"/>
    <w:rsid w:val="008306BD"/>
    <w:rsid w:val="00831A80"/>
    <w:rsid w:val="00833743"/>
    <w:rsid w:val="008340A4"/>
    <w:rsid w:val="00851B12"/>
    <w:rsid w:val="00853976"/>
    <w:rsid w:val="008708CA"/>
    <w:rsid w:val="0087135F"/>
    <w:rsid w:val="00872D94"/>
    <w:rsid w:val="00880364"/>
    <w:rsid w:val="00891592"/>
    <w:rsid w:val="00891E9E"/>
    <w:rsid w:val="00893649"/>
    <w:rsid w:val="008A1D57"/>
    <w:rsid w:val="008A2F68"/>
    <w:rsid w:val="008B4FA6"/>
    <w:rsid w:val="008B5282"/>
    <w:rsid w:val="008B73B5"/>
    <w:rsid w:val="008B7C17"/>
    <w:rsid w:val="008C2D01"/>
    <w:rsid w:val="008C3B63"/>
    <w:rsid w:val="008C40E6"/>
    <w:rsid w:val="008D0F7A"/>
    <w:rsid w:val="008D68E4"/>
    <w:rsid w:val="008E0506"/>
    <w:rsid w:val="008E0CFF"/>
    <w:rsid w:val="008E5D6B"/>
    <w:rsid w:val="008E76F0"/>
    <w:rsid w:val="008F15FE"/>
    <w:rsid w:val="008F2D29"/>
    <w:rsid w:val="008F5187"/>
    <w:rsid w:val="008F60D8"/>
    <w:rsid w:val="008F6AF0"/>
    <w:rsid w:val="00902727"/>
    <w:rsid w:val="0090312B"/>
    <w:rsid w:val="0091736D"/>
    <w:rsid w:val="00924F80"/>
    <w:rsid w:val="0093037A"/>
    <w:rsid w:val="00941233"/>
    <w:rsid w:val="0094154D"/>
    <w:rsid w:val="0094573B"/>
    <w:rsid w:val="0095155F"/>
    <w:rsid w:val="00951FEE"/>
    <w:rsid w:val="00954429"/>
    <w:rsid w:val="00954F2C"/>
    <w:rsid w:val="009563CE"/>
    <w:rsid w:val="00960249"/>
    <w:rsid w:val="00976328"/>
    <w:rsid w:val="0097680D"/>
    <w:rsid w:val="00982438"/>
    <w:rsid w:val="0098404C"/>
    <w:rsid w:val="00985283"/>
    <w:rsid w:val="0099424D"/>
    <w:rsid w:val="00995992"/>
    <w:rsid w:val="009968F3"/>
    <w:rsid w:val="009A03E5"/>
    <w:rsid w:val="009A0F3B"/>
    <w:rsid w:val="009A1BB4"/>
    <w:rsid w:val="009A2628"/>
    <w:rsid w:val="009A3200"/>
    <w:rsid w:val="009B0897"/>
    <w:rsid w:val="009B7BD9"/>
    <w:rsid w:val="009C7DD5"/>
    <w:rsid w:val="009E227D"/>
    <w:rsid w:val="009E5019"/>
    <w:rsid w:val="00A04F1B"/>
    <w:rsid w:val="00A0501B"/>
    <w:rsid w:val="00A14947"/>
    <w:rsid w:val="00A24943"/>
    <w:rsid w:val="00A32A83"/>
    <w:rsid w:val="00A368DB"/>
    <w:rsid w:val="00A423AA"/>
    <w:rsid w:val="00A53EC6"/>
    <w:rsid w:val="00A55C0F"/>
    <w:rsid w:val="00A830DD"/>
    <w:rsid w:val="00A8713F"/>
    <w:rsid w:val="00A903B3"/>
    <w:rsid w:val="00A90BA1"/>
    <w:rsid w:val="00A97A9A"/>
    <w:rsid w:val="00AA0671"/>
    <w:rsid w:val="00AA2531"/>
    <w:rsid w:val="00AB1E09"/>
    <w:rsid w:val="00AB5330"/>
    <w:rsid w:val="00AB7747"/>
    <w:rsid w:val="00AC14CE"/>
    <w:rsid w:val="00AC2A56"/>
    <w:rsid w:val="00AD055E"/>
    <w:rsid w:val="00AD0758"/>
    <w:rsid w:val="00AD38D2"/>
    <w:rsid w:val="00AD47A7"/>
    <w:rsid w:val="00AF0CBF"/>
    <w:rsid w:val="00AF2559"/>
    <w:rsid w:val="00AF257F"/>
    <w:rsid w:val="00AF33CF"/>
    <w:rsid w:val="00AF4799"/>
    <w:rsid w:val="00AF4D50"/>
    <w:rsid w:val="00AF6179"/>
    <w:rsid w:val="00B1295A"/>
    <w:rsid w:val="00B20A45"/>
    <w:rsid w:val="00B22C5C"/>
    <w:rsid w:val="00B24F30"/>
    <w:rsid w:val="00B31ABF"/>
    <w:rsid w:val="00B33BE3"/>
    <w:rsid w:val="00B44DE3"/>
    <w:rsid w:val="00B468BC"/>
    <w:rsid w:val="00B47EF2"/>
    <w:rsid w:val="00B53B5D"/>
    <w:rsid w:val="00B6055E"/>
    <w:rsid w:val="00B6317D"/>
    <w:rsid w:val="00B7723F"/>
    <w:rsid w:val="00B80534"/>
    <w:rsid w:val="00B8433C"/>
    <w:rsid w:val="00B87491"/>
    <w:rsid w:val="00BA29E9"/>
    <w:rsid w:val="00BA4DC1"/>
    <w:rsid w:val="00BA7142"/>
    <w:rsid w:val="00BB237C"/>
    <w:rsid w:val="00BB41A3"/>
    <w:rsid w:val="00BC1A6B"/>
    <w:rsid w:val="00BC32DC"/>
    <w:rsid w:val="00BC35B6"/>
    <w:rsid w:val="00BD1B51"/>
    <w:rsid w:val="00BD4596"/>
    <w:rsid w:val="00BE1405"/>
    <w:rsid w:val="00BE312D"/>
    <w:rsid w:val="00BF1C20"/>
    <w:rsid w:val="00C10578"/>
    <w:rsid w:val="00C135BC"/>
    <w:rsid w:val="00C15C95"/>
    <w:rsid w:val="00C2596A"/>
    <w:rsid w:val="00C26A6B"/>
    <w:rsid w:val="00C27537"/>
    <w:rsid w:val="00C328FE"/>
    <w:rsid w:val="00C33507"/>
    <w:rsid w:val="00C36B5B"/>
    <w:rsid w:val="00C4409D"/>
    <w:rsid w:val="00C44E72"/>
    <w:rsid w:val="00C45A06"/>
    <w:rsid w:val="00C47E5B"/>
    <w:rsid w:val="00C54DAB"/>
    <w:rsid w:val="00C61E4B"/>
    <w:rsid w:val="00C64BFF"/>
    <w:rsid w:val="00C6523E"/>
    <w:rsid w:val="00C704E9"/>
    <w:rsid w:val="00C763C9"/>
    <w:rsid w:val="00C765F2"/>
    <w:rsid w:val="00C7732B"/>
    <w:rsid w:val="00C80057"/>
    <w:rsid w:val="00C82049"/>
    <w:rsid w:val="00C82232"/>
    <w:rsid w:val="00C82913"/>
    <w:rsid w:val="00C972B1"/>
    <w:rsid w:val="00CA2C1C"/>
    <w:rsid w:val="00CA2CCE"/>
    <w:rsid w:val="00CA43FD"/>
    <w:rsid w:val="00CA4EDF"/>
    <w:rsid w:val="00CA7EF8"/>
    <w:rsid w:val="00CC489B"/>
    <w:rsid w:val="00CD2BCD"/>
    <w:rsid w:val="00CD3A4C"/>
    <w:rsid w:val="00CE10E9"/>
    <w:rsid w:val="00CE2910"/>
    <w:rsid w:val="00CE5393"/>
    <w:rsid w:val="00CF27CD"/>
    <w:rsid w:val="00CF36BE"/>
    <w:rsid w:val="00CF6000"/>
    <w:rsid w:val="00D003F3"/>
    <w:rsid w:val="00D0364F"/>
    <w:rsid w:val="00D048DB"/>
    <w:rsid w:val="00D06834"/>
    <w:rsid w:val="00D16168"/>
    <w:rsid w:val="00D308ED"/>
    <w:rsid w:val="00D36D86"/>
    <w:rsid w:val="00D428AA"/>
    <w:rsid w:val="00D50A34"/>
    <w:rsid w:val="00D5351D"/>
    <w:rsid w:val="00D53EFA"/>
    <w:rsid w:val="00D846B2"/>
    <w:rsid w:val="00D90297"/>
    <w:rsid w:val="00D91375"/>
    <w:rsid w:val="00D94A7C"/>
    <w:rsid w:val="00D95896"/>
    <w:rsid w:val="00DA4499"/>
    <w:rsid w:val="00DB2983"/>
    <w:rsid w:val="00DC1257"/>
    <w:rsid w:val="00DC3DC0"/>
    <w:rsid w:val="00DC5B2B"/>
    <w:rsid w:val="00DD318D"/>
    <w:rsid w:val="00DF2E12"/>
    <w:rsid w:val="00DF514A"/>
    <w:rsid w:val="00DF6690"/>
    <w:rsid w:val="00DF6804"/>
    <w:rsid w:val="00E0358D"/>
    <w:rsid w:val="00E04323"/>
    <w:rsid w:val="00E04705"/>
    <w:rsid w:val="00E070A2"/>
    <w:rsid w:val="00E2656A"/>
    <w:rsid w:val="00E412D0"/>
    <w:rsid w:val="00E4155C"/>
    <w:rsid w:val="00E56322"/>
    <w:rsid w:val="00E60982"/>
    <w:rsid w:val="00E62C62"/>
    <w:rsid w:val="00E654C1"/>
    <w:rsid w:val="00E65D97"/>
    <w:rsid w:val="00E72A5A"/>
    <w:rsid w:val="00E73354"/>
    <w:rsid w:val="00E74C78"/>
    <w:rsid w:val="00E9242D"/>
    <w:rsid w:val="00EB07B1"/>
    <w:rsid w:val="00EB099A"/>
    <w:rsid w:val="00EB5255"/>
    <w:rsid w:val="00EB5C47"/>
    <w:rsid w:val="00ED0639"/>
    <w:rsid w:val="00EF4755"/>
    <w:rsid w:val="00EF7135"/>
    <w:rsid w:val="00F0073E"/>
    <w:rsid w:val="00F027DB"/>
    <w:rsid w:val="00F14A7A"/>
    <w:rsid w:val="00F152DA"/>
    <w:rsid w:val="00F22985"/>
    <w:rsid w:val="00F3383E"/>
    <w:rsid w:val="00F465A7"/>
    <w:rsid w:val="00F50B7C"/>
    <w:rsid w:val="00F550E6"/>
    <w:rsid w:val="00F74345"/>
    <w:rsid w:val="00F754E7"/>
    <w:rsid w:val="00F80A0A"/>
    <w:rsid w:val="00F82B19"/>
    <w:rsid w:val="00F9212D"/>
    <w:rsid w:val="00F965DA"/>
    <w:rsid w:val="00FA406A"/>
    <w:rsid w:val="00FB4399"/>
    <w:rsid w:val="00FB503A"/>
    <w:rsid w:val="00FB516C"/>
    <w:rsid w:val="00FC206D"/>
    <w:rsid w:val="00FD0236"/>
    <w:rsid w:val="00FD18F4"/>
    <w:rsid w:val="00FD54DB"/>
    <w:rsid w:val="00FD619F"/>
    <w:rsid w:val="011A24F4"/>
    <w:rsid w:val="011D5029"/>
    <w:rsid w:val="01290F7E"/>
    <w:rsid w:val="013567D6"/>
    <w:rsid w:val="01403E6A"/>
    <w:rsid w:val="01467F9E"/>
    <w:rsid w:val="01494113"/>
    <w:rsid w:val="015470DA"/>
    <w:rsid w:val="015D1E09"/>
    <w:rsid w:val="016004EF"/>
    <w:rsid w:val="01842D59"/>
    <w:rsid w:val="019D537C"/>
    <w:rsid w:val="01A7589D"/>
    <w:rsid w:val="01AA2C25"/>
    <w:rsid w:val="01AE4C2D"/>
    <w:rsid w:val="01D134FA"/>
    <w:rsid w:val="01F3017A"/>
    <w:rsid w:val="02013C18"/>
    <w:rsid w:val="020267EB"/>
    <w:rsid w:val="02051E70"/>
    <w:rsid w:val="02140799"/>
    <w:rsid w:val="022F0C09"/>
    <w:rsid w:val="025A5BDB"/>
    <w:rsid w:val="02697903"/>
    <w:rsid w:val="02783976"/>
    <w:rsid w:val="02936A01"/>
    <w:rsid w:val="02A97B03"/>
    <w:rsid w:val="02BC7D06"/>
    <w:rsid w:val="02D247A8"/>
    <w:rsid w:val="02D908B8"/>
    <w:rsid w:val="02DC548F"/>
    <w:rsid w:val="02F949FE"/>
    <w:rsid w:val="02F96569"/>
    <w:rsid w:val="030C707A"/>
    <w:rsid w:val="03123DCA"/>
    <w:rsid w:val="03183FDB"/>
    <w:rsid w:val="03315320"/>
    <w:rsid w:val="033159B0"/>
    <w:rsid w:val="033A4890"/>
    <w:rsid w:val="03555B1D"/>
    <w:rsid w:val="03611EE4"/>
    <w:rsid w:val="03675921"/>
    <w:rsid w:val="036C5E25"/>
    <w:rsid w:val="038A66D8"/>
    <w:rsid w:val="038F71C9"/>
    <w:rsid w:val="03936EA0"/>
    <w:rsid w:val="0394789A"/>
    <w:rsid w:val="03A14F66"/>
    <w:rsid w:val="03B46C2F"/>
    <w:rsid w:val="03C70711"/>
    <w:rsid w:val="03CF2193"/>
    <w:rsid w:val="03D35307"/>
    <w:rsid w:val="03EA7B21"/>
    <w:rsid w:val="03F21054"/>
    <w:rsid w:val="03F308F1"/>
    <w:rsid w:val="03F911B7"/>
    <w:rsid w:val="04160A34"/>
    <w:rsid w:val="041F054D"/>
    <w:rsid w:val="042279BE"/>
    <w:rsid w:val="042F6B8C"/>
    <w:rsid w:val="04313D95"/>
    <w:rsid w:val="043827FD"/>
    <w:rsid w:val="04730898"/>
    <w:rsid w:val="04A96068"/>
    <w:rsid w:val="04C26506"/>
    <w:rsid w:val="04C579CE"/>
    <w:rsid w:val="04D04ED4"/>
    <w:rsid w:val="04D8694E"/>
    <w:rsid w:val="04DA0055"/>
    <w:rsid w:val="04DF78EE"/>
    <w:rsid w:val="04E113D1"/>
    <w:rsid w:val="04E33891"/>
    <w:rsid w:val="04E5415B"/>
    <w:rsid w:val="04F06C24"/>
    <w:rsid w:val="04FD38E1"/>
    <w:rsid w:val="05147FC0"/>
    <w:rsid w:val="05205AED"/>
    <w:rsid w:val="05223E95"/>
    <w:rsid w:val="05237065"/>
    <w:rsid w:val="052E3951"/>
    <w:rsid w:val="053C6EDC"/>
    <w:rsid w:val="054F3865"/>
    <w:rsid w:val="05615F60"/>
    <w:rsid w:val="05824482"/>
    <w:rsid w:val="059053A1"/>
    <w:rsid w:val="05965135"/>
    <w:rsid w:val="059A0102"/>
    <w:rsid w:val="05B82808"/>
    <w:rsid w:val="05BB1A9E"/>
    <w:rsid w:val="05D2715F"/>
    <w:rsid w:val="05DD21C9"/>
    <w:rsid w:val="05E7509A"/>
    <w:rsid w:val="05F83EAE"/>
    <w:rsid w:val="05FD5942"/>
    <w:rsid w:val="0600615C"/>
    <w:rsid w:val="060519C4"/>
    <w:rsid w:val="060654B9"/>
    <w:rsid w:val="06076987"/>
    <w:rsid w:val="060A5BF8"/>
    <w:rsid w:val="061A4EF0"/>
    <w:rsid w:val="06366F40"/>
    <w:rsid w:val="063E7D85"/>
    <w:rsid w:val="064969E3"/>
    <w:rsid w:val="064C314F"/>
    <w:rsid w:val="065751F3"/>
    <w:rsid w:val="066525BF"/>
    <w:rsid w:val="06834383"/>
    <w:rsid w:val="068B45FF"/>
    <w:rsid w:val="068D265F"/>
    <w:rsid w:val="06903036"/>
    <w:rsid w:val="06B01930"/>
    <w:rsid w:val="06D31037"/>
    <w:rsid w:val="06E5034F"/>
    <w:rsid w:val="06EE2458"/>
    <w:rsid w:val="06F258F7"/>
    <w:rsid w:val="07131E9F"/>
    <w:rsid w:val="07152F82"/>
    <w:rsid w:val="07182DE0"/>
    <w:rsid w:val="071E2E8C"/>
    <w:rsid w:val="07205616"/>
    <w:rsid w:val="07293586"/>
    <w:rsid w:val="07295285"/>
    <w:rsid w:val="07352833"/>
    <w:rsid w:val="073805E6"/>
    <w:rsid w:val="073C31C4"/>
    <w:rsid w:val="07457534"/>
    <w:rsid w:val="07580ECD"/>
    <w:rsid w:val="07636392"/>
    <w:rsid w:val="07735FEE"/>
    <w:rsid w:val="07742D46"/>
    <w:rsid w:val="07770C56"/>
    <w:rsid w:val="077774BE"/>
    <w:rsid w:val="0788465B"/>
    <w:rsid w:val="07A019A5"/>
    <w:rsid w:val="07A31495"/>
    <w:rsid w:val="07B61EFD"/>
    <w:rsid w:val="07BA17B0"/>
    <w:rsid w:val="07BB67DE"/>
    <w:rsid w:val="07C27E40"/>
    <w:rsid w:val="07C8692F"/>
    <w:rsid w:val="07D17DB0"/>
    <w:rsid w:val="07EF6A61"/>
    <w:rsid w:val="07F066E1"/>
    <w:rsid w:val="0808754A"/>
    <w:rsid w:val="081264D6"/>
    <w:rsid w:val="08527552"/>
    <w:rsid w:val="0866523C"/>
    <w:rsid w:val="08673B94"/>
    <w:rsid w:val="086E0058"/>
    <w:rsid w:val="088968DD"/>
    <w:rsid w:val="08A161A9"/>
    <w:rsid w:val="08A26D30"/>
    <w:rsid w:val="08D8367F"/>
    <w:rsid w:val="08DD6E58"/>
    <w:rsid w:val="08F57ACE"/>
    <w:rsid w:val="0902043D"/>
    <w:rsid w:val="09193D9D"/>
    <w:rsid w:val="09195208"/>
    <w:rsid w:val="092217DD"/>
    <w:rsid w:val="09240860"/>
    <w:rsid w:val="093A7294"/>
    <w:rsid w:val="093B3FDD"/>
    <w:rsid w:val="093E4BF3"/>
    <w:rsid w:val="09474723"/>
    <w:rsid w:val="095E2B2E"/>
    <w:rsid w:val="09620A50"/>
    <w:rsid w:val="09692007"/>
    <w:rsid w:val="097A6637"/>
    <w:rsid w:val="09B87565"/>
    <w:rsid w:val="09C82C33"/>
    <w:rsid w:val="09CE4371"/>
    <w:rsid w:val="09E75653"/>
    <w:rsid w:val="09E97825"/>
    <w:rsid w:val="09F85A1C"/>
    <w:rsid w:val="0A09040F"/>
    <w:rsid w:val="0A1D2628"/>
    <w:rsid w:val="0A20646C"/>
    <w:rsid w:val="0A263993"/>
    <w:rsid w:val="0A2D3AC2"/>
    <w:rsid w:val="0A375210"/>
    <w:rsid w:val="0A3844C5"/>
    <w:rsid w:val="0A573F5D"/>
    <w:rsid w:val="0A6552C0"/>
    <w:rsid w:val="0A98404C"/>
    <w:rsid w:val="0AA755DF"/>
    <w:rsid w:val="0AAA2B3A"/>
    <w:rsid w:val="0AB67EE3"/>
    <w:rsid w:val="0ABB08A3"/>
    <w:rsid w:val="0AC42878"/>
    <w:rsid w:val="0ACF434F"/>
    <w:rsid w:val="0ADA3D24"/>
    <w:rsid w:val="0AF227E0"/>
    <w:rsid w:val="0B03089F"/>
    <w:rsid w:val="0B095282"/>
    <w:rsid w:val="0B120D44"/>
    <w:rsid w:val="0B1D0832"/>
    <w:rsid w:val="0B1F5935"/>
    <w:rsid w:val="0B2F1642"/>
    <w:rsid w:val="0B2F18A2"/>
    <w:rsid w:val="0B436851"/>
    <w:rsid w:val="0B521A65"/>
    <w:rsid w:val="0B640F3B"/>
    <w:rsid w:val="0B6E6D34"/>
    <w:rsid w:val="0B7047F9"/>
    <w:rsid w:val="0B770C6E"/>
    <w:rsid w:val="0B774EE9"/>
    <w:rsid w:val="0B84338B"/>
    <w:rsid w:val="0B874CE8"/>
    <w:rsid w:val="0B994FA4"/>
    <w:rsid w:val="0BAD643E"/>
    <w:rsid w:val="0BB161BA"/>
    <w:rsid w:val="0BB7550F"/>
    <w:rsid w:val="0BD17250"/>
    <w:rsid w:val="0BD27BF6"/>
    <w:rsid w:val="0BD5338B"/>
    <w:rsid w:val="0BEC3494"/>
    <w:rsid w:val="0C1D00E9"/>
    <w:rsid w:val="0C281E50"/>
    <w:rsid w:val="0C394176"/>
    <w:rsid w:val="0C3B3C7D"/>
    <w:rsid w:val="0C416D9B"/>
    <w:rsid w:val="0C6D0BF1"/>
    <w:rsid w:val="0C6D1166"/>
    <w:rsid w:val="0C7A4364"/>
    <w:rsid w:val="0C7C448E"/>
    <w:rsid w:val="0CAB2EAE"/>
    <w:rsid w:val="0CB16BD8"/>
    <w:rsid w:val="0CB2456F"/>
    <w:rsid w:val="0CC5643E"/>
    <w:rsid w:val="0CD93263"/>
    <w:rsid w:val="0CE26079"/>
    <w:rsid w:val="0D0E5602"/>
    <w:rsid w:val="0D1D61F7"/>
    <w:rsid w:val="0D2135B7"/>
    <w:rsid w:val="0D3250E6"/>
    <w:rsid w:val="0D511939"/>
    <w:rsid w:val="0D621C7D"/>
    <w:rsid w:val="0D645565"/>
    <w:rsid w:val="0D6964F9"/>
    <w:rsid w:val="0D715156"/>
    <w:rsid w:val="0D7B0606"/>
    <w:rsid w:val="0D852B81"/>
    <w:rsid w:val="0DC729CB"/>
    <w:rsid w:val="0DDB6A19"/>
    <w:rsid w:val="0DEA175E"/>
    <w:rsid w:val="0DF74F1E"/>
    <w:rsid w:val="0E0933A1"/>
    <w:rsid w:val="0E0B3183"/>
    <w:rsid w:val="0E134E96"/>
    <w:rsid w:val="0E1D427F"/>
    <w:rsid w:val="0E2446F6"/>
    <w:rsid w:val="0E28080B"/>
    <w:rsid w:val="0E2844A2"/>
    <w:rsid w:val="0E4532A6"/>
    <w:rsid w:val="0E544833"/>
    <w:rsid w:val="0E5956BE"/>
    <w:rsid w:val="0E727929"/>
    <w:rsid w:val="0E73034D"/>
    <w:rsid w:val="0E7D10EA"/>
    <w:rsid w:val="0E84760B"/>
    <w:rsid w:val="0E880A30"/>
    <w:rsid w:val="0E8F0B5B"/>
    <w:rsid w:val="0E947D89"/>
    <w:rsid w:val="0E9C28C3"/>
    <w:rsid w:val="0EAC5E78"/>
    <w:rsid w:val="0EC928F0"/>
    <w:rsid w:val="0ED91C40"/>
    <w:rsid w:val="0EE2072B"/>
    <w:rsid w:val="0EE634A6"/>
    <w:rsid w:val="0EEA1F6F"/>
    <w:rsid w:val="0EF11C58"/>
    <w:rsid w:val="0F13775A"/>
    <w:rsid w:val="0F161E84"/>
    <w:rsid w:val="0F2D1EBB"/>
    <w:rsid w:val="0F431109"/>
    <w:rsid w:val="0F5F45FE"/>
    <w:rsid w:val="0F6270FC"/>
    <w:rsid w:val="0F652B67"/>
    <w:rsid w:val="0F694D72"/>
    <w:rsid w:val="0F7562BA"/>
    <w:rsid w:val="0F7D43CB"/>
    <w:rsid w:val="0F8F6AB8"/>
    <w:rsid w:val="0F911464"/>
    <w:rsid w:val="0F9A112B"/>
    <w:rsid w:val="0F9C6EF5"/>
    <w:rsid w:val="0FA91686"/>
    <w:rsid w:val="0FB75188"/>
    <w:rsid w:val="0FC236C2"/>
    <w:rsid w:val="0FC30D78"/>
    <w:rsid w:val="0FE33A62"/>
    <w:rsid w:val="0FF336C7"/>
    <w:rsid w:val="0FFE3B7D"/>
    <w:rsid w:val="10077B0F"/>
    <w:rsid w:val="101728F4"/>
    <w:rsid w:val="1020246C"/>
    <w:rsid w:val="102676A9"/>
    <w:rsid w:val="102A2753"/>
    <w:rsid w:val="103A34B7"/>
    <w:rsid w:val="103F3D25"/>
    <w:rsid w:val="104A50E4"/>
    <w:rsid w:val="104D56E3"/>
    <w:rsid w:val="105477D0"/>
    <w:rsid w:val="10571649"/>
    <w:rsid w:val="105842F0"/>
    <w:rsid w:val="106623CA"/>
    <w:rsid w:val="106D2F64"/>
    <w:rsid w:val="1073769E"/>
    <w:rsid w:val="107759BB"/>
    <w:rsid w:val="10881228"/>
    <w:rsid w:val="108B40A6"/>
    <w:rsid w:val="10930CC2"/>
    <w:rsid w:val="10B63710"/>
    <w:rsid w:val="10B73209"/>
    <w:rsid w:val="10D80246"/>
    <w:rsid w:val="10D85C69"/>
    <w:rsid w:val="10E41FA5"/>
    <w:rsid w:val="10F10820"/>
    <w:rsid w:val="10F23F96"/>
    <w:rsid w:val="10F47E5E"/>
    <w:rsid w:val="10F52973"/>
    <w:rsid w:val="1102722C"/>
    <w:rsid w:val="110930CA"/>
    <w:rsid w:val="111060F1"/>
    <w:rsid w:val="11162CD7"/>
    <w:rsid w:val="111C2F7A"/>
    <w:rsid w:val="111D7DC6"/>
    <w:rsid w:val="1124023D"/>
    <w:rsid w:val="112F5A6B"/>
    <w:rsid w:val="113F3C1C"/>
    <w:rsid w:val="114656C4"/>
    <w:rsid w:val="114A2981"/>
    <w:rsid w:val="114C66F9"/>
    <w:rsid w:val="114F61E9"/>
    <w:rsid w:val="11591A84"/>
    <w:rsid w:val="11665CA1"/>
    <w:rsid w:val="116B6833"/>
    <w:rsid w:val="118D25D3"/>
    <w:rsid w:val="118D66D3"/>
    <w:rsid w:val="119E2A30"/>
    <w:rsid w:val="11BC586E"/>
    <w:rsid w:val="11BD56A9"/>
    <w:rsid w:val="11C9307C"/>
    <w:rsid w:val="11DD1A47"/>
    <w:rsid w:val="11DF756D"/>
    <w:rsid w:val="11E05CC1"/>
    <w:rsid w:val="11E57C44"/>
    <w:rsid w:val="11F61D28"/>
    <w:rsid w:val="11F716B6"/>
    <w:rsid w:val="11FF14EA"/>
    <w:rsid w:val="12062B14"/>
    <w:rsid w:val="12295D68"/>
    <w:rsid w:val="1231515A"/>
    <w:rsid w:val="12397BC1"/>
    <w:rsid w:val="123D05E8"/>
    <w:rsid w:val="12565BBF"/>
    <w:rsid w:val="12577104"/>
    <w:rsid w:val="125C7DEB"/>
    <w:rsid w:val="12750005"/>
    <w:rsid w:val="128C498D"/>
    <w:rsid w:val="129313C4"/>
    <w:rsid w:val="129A3A5B"/>
    <w:rsid w:val="129A4402"/>
    <w:rsid w:val="129E6760"/>
    <w:rsid w:val="12BB0523"/>
    <w:rsid w:val="12D22B3E"/>
    <w:rsid w:val="12EF7D96"/>
    <w:rsid w:val="12F40DF6"/>
    <w:rsid w:val="12F7593B"/>
    <w:rsid w:val="130F234F"/>
    <w:rsid w:val="131B7848"/>
    <w:rsid w:val="13234760"/>
    <w:rsid w:val="13275B9E"/>
    <w:rsid w:val="136F50E6"/>
    <w:rsid w:val="13951726"/>
    <w:rsid w:val="13B16CE7"/>
    <w:rsid w:val="13B96501"/>
    <w:rsid w:val="140E04A3"/>
    <w:rsid w:val="141F3896"/>
    <w:rsid w:val="142A2F0A"/>
    <w:rsid w:val="142D3CA5"/>
    <w:rsid w:val="14396509"/>
    <w:rsid w:val="14412082"/>
    <w:rsid w:val="1456700E"/>
    <w:rsid w:val="14773A8D"/>
    <w:rsid w:val="147B69EE"/>
    <w:rsid w:val="148530C5"/>
    <w:rsid w:val="14963BFF"/>
    <w:rsid w:val="14A87111"/>
    <w:rsid w:val="14AE3227"/>
    <w:rsid w:val="14B20B38"/>
    <w:rsid w:val="14C200F7"/>
    <w:rsid w:val="14C23C3B"/>
    <w:rsid w:val="14D759D5"/>
    <w:rsid w:val="14DC10B7"/>
    <w:rsid w:val="14DD2C3C"/>
    <w:rsid w:val="14DD6D75"/>
    <w:rsid w:val="14E2094E"/>
    <w:rsid w:val="14F9476E"/>
    <w:rsid w:val="14FE4C95"/>
    <w:rsid w:val="15011905"/>
    <w:rsid w:val="15033573"/>
    <w:rsid w:val="1504239F"/>
    <w:rsid w:val="1505633A"/>
    <w:rsid w:val="1520106D"/>
    <w:rsid w:val="15253159"/>
    <w:rsid w:val="15284D87"/>
    <w:rsid w:val="15436924"/>
    <w:rsid w:val="157F25FA"/>
    <w:rsid w:val="15897F1C"/>
    <w:rsid w:val="159348F7"/>
    <w:rsid w:val="159A5332"/>
    <w:rsid w:val="159C41BD"/>
    <w:rsid w:val="159D5775"/>
    <w:rsid w:val="15A87CC5"/>
    <w:rsid w:val="15AD4BA2"/>
    <w:rsid w:val="15B2180E"/>
    <w:rsid w:val="15B41EAE"/>
    <w:rsid w:val="15BB3E4D"/>
    <w:rsid w:val="15F139D5"/>
    <w:rsid w:val="15F24896"/>
    <w:rsid w:val="15F61FE2"/>
    <w:rsid w:val="15FC4F3F"/>
    <w:rsid w:val="15FE198C"/>
    <w:rsid w:val="16013793"/>
    <w:rsid w:val="16087E1D"/>
    <w:rsid w:val="161403F2"/>
    <w:rsid w:val="16154700"/>
    <w:rsid w:val="162E37CE"/>
    <w:rsid w:val="164F1403"/>
    <w:rsid w:val="166307CA"/>
    <w:rsid w:val="16970417"/>
    <w:rsid w:val="16992AD8"/>
    <w:rsid w:val="16A11295"/>
    <w:rsid w:val="16A46C21"/>
    <w:rsid w:val="16A672AB"/>
    <w:rsid w:val="16AB0CE5"/>
    <w:rsid w:val="16BF1FDC"/>
    <w:rsid w:val="16BF7C7B"/>
    <w:rsid w:val="16C460C1"/>
    <w:rsid w:val="16D30950"/>
    <w:rsid w:val="16DA097F"/>
    <w:rsid w:val="16DE609D"/>
    <w:rsid w:val="16F40D7D"/>
    <w:rsid w:val="16F5714D"/>
    <w:rsid w:val="16FB3E5A"/>
    <w:rsid w:val="16FD2288"/>
    <w:rsid w:val="16FF7C9F"/>
    <w:rsid w:val="17063EDE"/>
    <w:rsid w:val="170C242A"/>
    <w:rsid w:val="17141626"/>
    <w:rsid w:val="17141B46"/>
    <w:rsid w:val="17196BC5"/>
    <w:rsid w:val="17241E2C"/>
    <w:rsid w:val="17327A32"/>
    <w:rsid w:val="17423CDF"/>
    <w:rsid w:val="175C17EF"/>
    <w:rsid w:val="17701D14"/>
    <w:rsid w:val="17735226"/>
    <w:rsid w:val="178D025C"/>
    <w:rsid w:val="178E1628"/>
    <w:rsid w:val="17A30318"/>
    <w:rsid w:val="17A505A6"/>
    <w:rsid w:val="17AF353E"/>
    <w:rsid w:val="17B103C8"/>
    <w:rsid w:val="17DE50D7"/>
    <w:rsid w:val="17F8747D"/>
    <w:rsid w:val="182E4DAB"/>
    <w:rsid w:val="182F4479"/>
    <w:rsid w:val="184A4B8E"/>
    <w:rsid w:val="184D2414"/>
    <w:rsid w:val="18521EB0"/>
    <w:rsid w:val="187F14E1"/>
    <w:rsid w:val="18842DBE"/>
    <w:rsid w:val="18885F26"/>
    <w:rsid w:val="18967B43"/>
    <w:rsid w:val="189F624C"/>
    <w:rsid w:val="18A767C9"/>
    <w:rsid w:val="18BD7EDC"/>
    <w:rsid w:val="18BF64FE"/>
    <w:rsid w:val="18D70F9E"/>
    <w:rsid w:val="18F2259C"/>
    <w:rsid w:val="19281ABD"/>
    <w:rsid w:val="192F4E41"/>
    <w:rsid w:val="193D00F2"/>
    <w:rsid w:val="195A5E0E"/>
    <w:rsid w:val="19720CC7"/>
    <w:rsid w:val="19792055"/>
    <w:rsid w:val="199303E0"/>
    <w:rsid w:val="19A76BC3"/>
    <w:rsid w:val="19D15072"/>
    <w:rsid w:val="19DD3864"/>
    <w:rsid w:val="19DE1AFA"/>
    <w:rsid w:val="19F3005A"/>
    <w:rsid w:val="19F45B80"/>
    <w:rsid w:val="19FB015C"/>
    <w:rsid w:val="1A197AA6"/>
    <w:rsid w:val="1A1B0657"/>
    <w:rsid w:val="1A1C66C0"/>
    <w:rsid w:val="1A3504ED"/>
    <w:rsid w:val="1A42393B"/>
    <w:rsid w:val="1A4B0100"/>
    <w:rsid w:val="1A5018AD"/>
    <w:rsid w:val="1A536F2E"/>
    <w:rsid w:val="1A7E74C8"/>
    <w:rsid w:val="1A8F5627"/>
    <w:rsid w:val="1A901592"/>
    <w:rsid w:val="1A9609E5"/>
    <w:rsid w:val="1AA14C08"/>
    <w:rsid w:val="1AA52B51"/>
    <w:rsid w:val="1AA53A79"/>
    <w:rsid w:val="1AAD45DE"/>
    <w:rsid w:val="1AAE3566"/>
    <w:rsid w:val="1AC51B46"/>
    <w:rsid w:val="1ACB4B33"/>
    <w:rsid w:val="1ACD6163"/>
    <w:rsid w:val="1AD40740"/>
    <w:rsid w:val="1AE312C8"/>
    <w:rsid w:val="1AE31955"/>
    <w:rsid w:val="1AEB4323"/>
    <w:rsid w:val="1AF30153"/>
    <w:rsid w:val="1B046F80"/>
    <w:rsid w:val="1B0B42C7"/>
    <w:rsid w:val="1B0F3806"/>
    <w:rsid w:val="1B211139"/>
    <w:rsid w:val="1B3267B5"/>
    <w:rsid w:val="1B36161B"/>
    <w:rsid w:val="1B3B0AE4"/>
    <w:rsid w:val="1B40161D"/>
    <w:rsid w:val="1B401854"/>
    <w:rsid w:val="1B441859"/>
    <w:rsid w:val="1B6077C3"/>
    <w:rsid w:val="1B6606B1"/>
    <w:rsid w:val="1B882A24"/>
    <w:rsid w:val="1B914B5A"/>
    <w:rsid w:val="1B95145C"/>
    <w:rsid w:val="1B972BB7"/>
    <w:rsid w:val="1BD96E33"/>
    <w:rsid w:val="1BE753BD"/>
    <w:rsid w:val="1BEA58E1"/>
    <w:rsid w:val="1BEA723A"/>
    <w:rsid w:val="1BFB1448"/>
    <w:rsid w:val="1C2B2B12"/>
    <w:rsid w:val="1C5E7925"/>
    <w:rsid w:val="1C661E9C"/>
    <w:rsid w:val="1C686E81"/>
    <w:rsid w:val="1C811FD9"/>
    <w:rsid w:val="1C827473"/>
    <w:rsid w:val="1C9378D2"/>
    <w:rsid w:val="1C9860A4"/>
    <w:rsid w:val="1C9F4773"/>
    <w:rsid w:val="1C9F6F04"/>
    <w:rsid w:val="1CC6691F"/>
    <w:rsid w:val="1CC96E50"/>
    <w:rsid w:val="1CD22F7D"/>
    <w:rsid w:val="1CD328A7"/>
    <w:rsid w:val="1CD3478E"/>
    <w:rsid w:val="1CE43C8A"/>
    <w:rsid w:val="1CE4737F"/>
    <w:rsid w:val="1CE73B37"/>
    <w:rsid w:val="1CF245F9"/>
    <w:rsid w:val="1CFD070F"/>
    <w:rsid w:val="1D044E33"/>
    <w:rsid w:val="1D085BCA"/>
    <w:rsid w:val="1D1668C6"/>
    <w:rsid w:val="1D2A6C39"/>
    <w:rsid w:val="1D4812F4"/>
    <w:rsid w:val="1D4830B1"/>
    <w:rsid w:val="1D4B489E"/>
    <w:rsid w:val="1D505353"/>
    <w:rsid w:val="1D516BD8"/>
    <w:rsid w:val="1D5F6196"/>
    <w:rsid w:val="1D6132A5"/>
    <w:rsid w:val="1D7311F2"/>
    <w:rsid w:val="1D8E56D5"/>
    <w:rsid w:val="1D9D1C34"/>
    <w:rsid w:val="1D9E70AE"/>
    <w:rsid w:val="1DA358F3"/>
    <w:rsid w:val="1DA61983"/>
    <w:rsid w:val="1DB7139E"/>
    <w:rsid w:val="1DB9524A"/>
    <w:rsid w:val="1DD91315"/>
    <w:rsid w:val="1DE40DCA"/>
    <w:rsid w:val="1DFC2DEF"/>
    <w:rsid w:val="1E081BFA"/>
    <w:rsid w:val="1E0A2809"/>
    <w:rsid w:val="1E0C300E"/>
    <w:rsid w:val="1E1007AF"/>
    <w:rsid w:val="1E206F43"/>
    <w:rsid w:val="1E217C9F"/>
    <w:rsid w:val="1E3D0E9B"/>
    <w:rsid w:val="1E4C3979"/>
    <w:rsid w:val="1E5B10B4"/>
    <w:rsid w:val="1E5B2D15"/>
    <w:rsid w:val="1E703DE9"/>
    <w:rsid w:val="1E7A43DA"/>
    <w:rsid w:val="1E8136BE"/>
    <w:rsid w:val="1E844735"/>
    <w:rsid w:val="1EA43ADB"/>
    <w:rsid w:val="1EAC76B7"/>
    <w:rsid w:val="1EBB0527"/>
    <w:rsid w:val="1EBC3110"/>
    <w:rsid w:val="1EBD09ED"/>
    <w:rsid w:val="1EBD3A19"/>
    <w:rsid w:val="1ECD7D00"/>
    <w:rsid w:val="1ED86A83"/>
    <w:rsid w:val="1EDF317A"/>
    <w:rsid w:val="1EEB7551"/>
    <w:rsid w:val="1EEF3337"/>
    <w:rsid w:val="1EF82B38"/>
    <w:rsid w:val="1F00207E"/>
    <w:rsid w:val="1F0B7CE4"/>
    <w:rsid w:val="1F2B1558"/>
    <w:rsid w:val="1F3C5FFF"/>
    <w:rsid w:val="1F3F1938"/>
    <w:rsid w:val="1F43696E"/>
    <w:rsid w:val="1F4E5B55"/>
    <w:rsid w:val="1F571399"/>
    <w:rsid w:val="1F5C54DC"/>
    <w:rsid w:val="1F767BEC"/>
    <w:rsid w:val="1F7F2A5F"/>
    <w:rsid w:val="1F7F7C9A"/>
    <w:rsid w:val="1F811C64"/>
    <w:rsid w:val="1F884DA0"/>
    <w:rsid w:val="1F984E66"/>
    <w:rsid w:val="1FAB6CE1"/>
    <w:rsid w:val="1FBA0E33"/>
    <w:rsid w:val="1FBB39B0"/>
    <w:rsid w:val="1FBC7140"/>
    <w:rsid w:val="1FBE4A07"/>
    <w:rsid w:val="1FC658C9"/>
    <w:rsid w:val="1FD73EBA"/>
    <w:rsid w:val="1FDA1374"/>
    <w:rsid w:val="1FE7539E"/>
    <w:rsid w:val="1FEB0C35"/>
    <w:rsid w:val="1FED3987"/>
    <w:rsid w:val="1FF50B01"/>
    <w:rsid w:val="200054D9"/>
    <w:rsid w:val="20033AA4"/>
    <w:rsid w:val="201319E4"/>
    <w:rsid w:val="20144EA2"/>
    <w:rsid w:val="201D051B"/>
    <w:rsid w:val="201F5F59"/>
    <w:rsid w:val="20234AC9"/>
    <w:rsid w:val="206375BB"/>
    <w:rsid w:val="20671BE0"/>
    <w:rsid w:val="207402A9"/>
    <w:rsid w:val="207B6358"/>
    <w:rsid w:val="207E6585"/>
    <w:rsid w:val="209015AA"/>
    <w:rsid w:val="20963CB8"/>
    <w:rsid w:val="20A12A6A"/>
    <w:rsid w:val="20A81A1B"/>
    <w:rsid w:val="20AA5A0F"/>
    <w:rsid w:val="20AA721D"/>
    <w:rsid w:val="20AD190E"/>
    <w:rsid w:val="20AF1FB5"/>
    <w:rsid w:val="20B07FB6"/>
    <w:rsid w:val="20B2762E"/>
    <w:rsid w:val="20B61DE1"/>
    <w:rsid w:val="20B646FB"/>
    <w:rsid w:val="20CF526C"/>
    <w:rsid w:val="20E927EE"/>
    <w:rsid w:val="20EB50F1"/>
    <w:rsid w:val="20F660E3"/>
    <w:rsid w:val="20F876B3"/>
    <w:rsid w:val="21041904"/>
    <w:rsid w:val="210743EB"/>
    <w:rsid w:val="210804D7"/>
    <w:rsid w:val="212A6924"/>
    <w:rsid w:val="21361BE1"/>
    <w:rsid w:val="213976FC"/>
    <w:rsid w:val="213A166E"/>
    <w:rsid w:val="213B74B1"/>
    <w:rsid w:val="214E059E"/>
    <w:rsid w:val="215A2310"/>
    <w:rsid w:val="215F1C97"/>
    <w:rsid w:val="217771F7"/>
    <w:rsid w:val="2179383B"/>
    <w:rsid w:val="21876C57"/>
    <w:rsid w:val="21B03C36"/>
    <w:rsid w:val="21B621E1"/>
    <w:rsid w:val="21BE2CFB"/>
    <w:rsid w:val="21BF054D"/>
    <w:rsid w:val="21BF4CC5"/>
    <w:rsid w:val="21C65F75"/>
    <w:rsid w:val="21D06B0B"/>
    <w:rsid w:val="21DE318A"/>
    <w:rsid w:val="21E528EF"/>
    <w:rsid w:val="21EF5B80"/>
    <w:rsid w:val="21F11B29"/>
    <w:rsid w:val="21FB3F4F"/>
    <w:rsid w:val="21FD465D"/>
    <w:rsid w:val="220529A0"/>
    <w:rsid w:val="22102768"/>
    <w:rsid w:val="221D378B"/>
    <w:rsid w:val="22370CEE"/>
    <w:rsid w:val="224A604F"/>
    <w:rsid w:val="22576990"/>
    <w:rsid w:val="22580F55"/>
    <w:rsid w:val="22600256"/>
    <w:rsid w:val="227D2BB6"/>
    <w:rsid w:val="228A7081"/>
    <w:rsid w:val="228F11E6"/>
    <w:rsid w:val="228F4698"/>
    <w:rsid w:val="229001A6"/>
    <w:rsid w:val="22A77C33"/>
    <w:rsid w:val="22AC3082"/>
    <w:rsid w:val="22B451D6"/>
    <w:rsid w:val="22B537AA"/>
    <w:rsid w:val="22B8599C"/>
    <w:rsid w:val="22BC4191"/>
    <w:rsid w:val="22CF718A"/>
    <w:rsid w:val="22D840DC"/>
    <w:rsid w:val="22DE6F44"/>
    <w:rsid w:val="22DF561F"/>
    <w:rsid w:val="22E75BB9"/>
    <w:rsid w:val="22F43689"/>
    <w:rsid w:val="22F47480"/>
    <w:rsid w:val="22FD78EC"/>
    <w:rsid w:val="23213A2F"/>
    <w:rsid w:val="23227BF7"/>
    <w:rsid w:val="23242385"/>
    <w:rsid w:val="232F1560"/>
    <w:rsid w:val="23337882"/>
    <w:rsid w:val="233C481F"/>
    <w:rsid w:val="233F755B"/>
    <w:rsid w:val="234E5AA5"/>
    <w:rsid w:val="23597F78"/>
    <w:rsid w:val="235C5307"/>
    <w:rsid w:val="23654EF8"/>
    <w:rsid w:val="23664BDA"/>
    <w:rsid w:val="236933F6"/>
    <w:rsid w:val="23696B4A"/>
    <w:rsid w:val="23706AD9"/>
    <w:rsid w:val="238430B4"/>
    <w:rsid w:val="239305FE"/>
    <w:rsid w:val="23A161FD"/>
    <w:rsid w:val="23AB2E0F"/>
    <w:rsid w:val="23B05899"/>
    <w:rsid w:val="23CF6D18"/>
    <w:rsid w:val="23D021ED"/>
    <w:rsid w:val="23D17101"/>
    <w:rsid w:val="23D55D98"/>
    <w:rsid w:val="23DE1C48"/>
    <w:rsid w:val="23E65DAB"/>
    <w:rsid w:val="23F018C6"/>
    <w:rsid w:val="23F073B8"/>
    <w:rsid w:val="240210CD"/>
    <w:rsid w:val="24127DEB"/>
    <w:rsid w:val="2426704D"/>
    <w:rsid w:val="243634BC"/>
    <w:rsid w:val="244B0A92"/>
    <w:rsid w:val="244F2096"/>
    <w:rsid w:val="245C233E"/>
    <w:rsid w:val="245F149B"/>
    <w:rsid w:val="246856A3"/>
    <w:rsid w:val="246D27B7"/>
    <w:rsid w:val="24811050"/>
    <w:rsid w:val="24952409"/>
    <w:rsid w:val="24AA201D"/>
    <w:rsid w:val="24BB7D6C"/>
    <w:rsid w:val="24BF09F7"/>
    <w:rsid w:val="24C30B3E"/>
    <w:rsid w:val="24CF0A82"/>
    <w:rsid w:val="25037F00"/>
    <w:rsid w:val="252D53FE"/>
    <w:rsid w:val="253B6217"/>
    <w:rsid w:val="25560572"/>
    <w:rsid w:val="25755D25"/>
    <w:rsid w:val="258A2BF2"/>
    <w:rsid w:val="25C278F7"/>
    <w:rsid w:val="25D808B2"/>
    <w:rsid w:val="25DC3EE8"/>
    <w:rsid w:val="25E240DC"/>
    <w:rsid w:val="25EB3D3D"/>
    <w:rsid w:val="25EC2D81"/>
    <w:rsid w:val="25EC3149"/>
    <w:rsid w:val="25F479D7"/>
    <w:rsid w:val="2600610B"/>
    <w:rsid w:val="26080315"/>
    <w:rsid w:val="261A3489"/>
    <w:rsid w:val="261B75AB"/>
    <w:rsid w:val="2620478D"/>
    <w:rsid w:val="26245172"/>
    <w:rsid w:val="262738E6"/>
    <w:rsid w:val="2628108B"/>
    <w:rsid w:val="262D5108"/>
    <w:rsid w:val="26313E1F"/>
    <w:rsid w:val="26325FB3"/>
    <w:rsid w:val="26347A30"/>
    <w:rsid w:val="263A425D"/>
    <w:rsid w:val="263D7F73"/>
    <w:rsid w:val="26442844"/>
    <w:rsid w:val="26607F31"/>
    <w:rsid w:val="266204BE"/>
    <w:rsid w:val="266D2F42"/>
    <w:rsid w:val="267248FB"/>
    <w:rsid w:val="2677074C"/>
    <w:rsid w:val="267C43C7"/>
    <w:rsid w:val="26853708"/>
    <w:rsid w:val="268B1752"/>
    <w:rsid w:val="269A226F"/>
    <w:rsid w:val="269B0E07"/>
    <w:rsid w:val="26A36964"/>
    <w:rsid w:val="26A40E7E"/>
    <w:rsid w:val="26BB1785"/>
    <w:rsid w:val="26C32062"/>
    <w:rsid w:val="26CD0101"/>
    <w:rsid w:val="26CF1507"/>
    <w:rsid w:val="26DB1F23"/>
    <w:rsid w:val="26EF597A"/>
    <w:rsid w:val="26F917FE"/>
    <w:rsid w:val="27160CDE"/>
    <w:rsid w:val="271A15CC"/>
    <w:rsid w:val="271E248E"/>
    <w:rsid w:val="27202322"/>
    <w:rsid w:val="27237C8B"/>
    <w:rsid w:val="272A153E"/>
    <w:rsid w:val="273251BB"/>
    <w:rsid w:val="27367235"/>
    <w:rsid w:val="274C3A0D"/>
    <w:rsid w:val="27532327"/>
    <w:rsid w:val="275B49AA"/>
    <w:rsid w:val="276A6E25"/>
    <w:rsid w:val="277057A2"/>
    <w:rsid w:val="277E77C8"/>
    <w:rsid w:val="278022C3"/>
    <w:rsid w:val="27A17433"/>
    <w:rsid w:val="27A97FAA"/>
    <w:rsid w:val="27B626C7"/>
    <w:rsid w:val="27BA1113"/>
    <w:rsid w:val="27C07167"/>
    <w:rsid w:val="27C13545"/>
    <w:rsid w:val="27C91B9E"/>
    <w:rsid w:val="27D33C77"/>
    <w:rsid w:val="27D90203"/>
    <w:rsid w:val="27DC57A9"/>
    <w:rsid w:val="27FD3B21"/>
    <w:rsid w:val="28084025"/>
    <w:rsid w:val="28183D3D"/>
    <w:rsid w:val="281F1ED5"/>
    <w:rsid w:val="28463A4A"/>
    <w:rsid w:val="284751E4"/>
    <w:rsid w:val="284833B2"/>
    <w:rsid w:val="285B24E2"/>
    <w:rsid w:val="286C2E5A"/>
    <w:rsid w:val="286E0F2E"/>
    <w:rsid w:val="28841F68"/>
    <w:rsid w:val="2886146E"/>
    <w:rsid w:val="28984A47"/>
    <w:rsid w:val="28C43A8F"/>
    <w:rsid w:val="28C61844"/>
    <w:rsid w:val="28CE6296"/>
    <w:rsid w:val="28DC43AF"/>
    <w:rsid w:val="28DF17A9"/>
    <w:rsid w:val="28E8284F"/>
    <w:rsid w:val="28F17E5A"/>
    <w:rsid w:val="28F90ABD"/>
    <w:rsid w:val="290B1E13"/>
    <w:rsid w:val="291B34AA"/>
    <w:rsid w:val="29206EB8"/>
    <w:rsid w:val="293F49B6"/>
    <w:rsid w:val="294318F2"/>
    <w:rsid w:val="2944008D"/>
    <w:rsid w:val="294B360A"/>
    <w:rsid w:val="294B7528"/>
    <w:rsid w:val="295326EC"/>
    <w:rsid w:val="29595666"/>
    <w:rsid w:val="296679CD"/>
    <w:rsid w:val="29671ECA"/>
    <w:rsid w:val="296C74E1"/>
    <w:rsid w:val="29874881"/>
    <w:rsid w:val="299C4B23"/>
    <w:rsid w:val="29A86180"/>
    <w:rsid w:val="29AE4FE4"/>
    <w:rsid w:val="29AF73CD"/>
    <w:rsid w:val="29B669AE"/>
    <w:rsid w:val="29D46E34"/>
    <w:rsid w:val="29D972D3"/>
    <w:rsid w:val="29DD62F4"/>
    <w:rsid w:val="29E325E0"/>
    <w:rsid w:val="29ED3CEB"/>
    <w:rsid w:val="29F37C02"/>
    <w:rsid w:val="2A092D45"/>
    <w:rsid w:val="2A0A336B"/>
    <w:rsid w:val="2A103CCA"/>
    <w:rsid w:val="2A1831C5"/>
    <w:rsid w:val="2A3E70CF"/>
    <w:rsid w:val="2A452503"/>
    <w:rsid w:val="2A492CDC"/>
    <w:rsid w:val="2A56244A"/>
    <w:rsid w:val="2A574846"/>
    <w:rsid w:val="2A9450D7"/>
    <w:rsid w:val="2AA43CF2"/>
    <w:rsid w:val="2AB46435"/>
    <w:rsid w:val="2AE00186"/>
    <w:rsid w:val="2AEC45A2"/>
    <w:rsid w:val="2AF11F69"/>
    <w:rsid w:val="2AF86CB9"/>
    <w:rsid w:val="2AFC313A"/>
    <w:rsid w:val="2B2A33C3"/>
    <w:rsid w:val="2B385681"/>
    <w:rsid w:val="2B392027"/>
    <w:rsid w:val="2B4017F0"/>
    <w:rsid w:val="2B65270E"/>
    <w:rsid w:val="2B6C5576"/>
    <w:rsid w:val="2B6F4C3F"/>
    <w:rsid w:val="2B781AF8"/>
    <w:rsid w:val="2B850DE6"/>
    <w:rsid w:val="2BA330AA"/>
    <w:rsid w:val="2BA70A20"/>
    <w:rsid w:val="2BA936A8"/>
    <w:rsid w:val="2BA94A1C"/>
    <w:rsid w:val="2BA967CA"/>
    <w:rsid w:val="2BB04259"/>
    <w:rsid w:val="2BB52DD3"/>
    <w:rsid w:val="2BCA6741"/>
    <w:rsid w:val="2BCD6DAC"/>
    <w:rsid w:val="2BD34043"/>
    <w:rsid w:val="2BEA4BC7"/>
    <w:rsid w:val="2C0B3E3C"/>
    <w:rsid w:val="2C185110"/>
    <w:rsid w:val="2C220A4D"/>
    <w:rsid w:val="2C270D29"/>
    <w:rsid w:val="2C315A5A"/>
    <w:rsid w:val="2C3413A6"/>
    <w:rsid w:val="2C4B1C25"/>
    <w:rsid w:val="2C6038D1"/>
    <w:rsid w:val="2C842D93"/>
    <w:rsid w:val="2C8608B9"/>
    <w:rsid w:val="2C885566"/>
    <w:rsid w:val="2C8933B2"/>
    <w:rsid w:val="2C8965FC"/>
    <w:rsid w:val="2C8D572B"/>
    <w:rsid w:val="2C9622EB"/>
    <w:rsid w:val="2C9C266C"/>
    <w:rsid w:val="2CB2269E"/>
    <w:rsid w:val="2CB61724"/>
    <w:rsid w:val="2CB86B4A"/>
    <w:rsid w:val="2CBD7308"/>
    <w:rsid w:val="2CBF0831"/>
    <w:rsid w:val="2CC43190"/>
    <w:rsid w:val="2CCC6BDE"/>
    <w:rsid w:val="2CCD2C09"/>
    <w:rsid w:val="2CD07D87"/>
    <w:rsid w:val="2CD73F86"/>
    <w:rsid w:val="2CD90DD5"/>
    <w:rsid w:val="2CD933E3"/>
    <w:rsid w:val="2D0C2D59"/>
    <w:rsid w:val="2D0C5259"/>
    <w:rsid w:val="2D200D0E"/>
    <w:rsid w:val="2D2500D2"/>
    <w:rsid w:val="2D3055C0"/>
    <w:rsid w:val="2D3A2D21"/>
    <w:rsid w:val="2D4B0CBE"/>
    <w:rsid w:val="2D59056D"/>
    <w:rsid w:val="2D5D4FF3"/>
    <w:rsid w:val="2D87536D"/>
    <w:rsid w:val="2D915768"/>
    <w:rsid w:val="2D9B49BB"/>
    <w:rsid w:val="2D9E56F5"/>
    <w:rsid w:val="2DA87255"/>
    <w:rsid w:val="2DBB4593"/>
    <w:rsid w:val="2DC23B73"/>
    <w:rsid w:val="2DC85302"/>
    <w:rsid w:val="2DD16A7A"/>
    <w:rsid w:val="2DD92C6B"/>
    <w:rsid w:val="2DDB5581"/>
    <w:rsid w:val="2DE947ED"/>
    <w:rsid w:val="2DEA474C"/>
    <w:rsid w:val="2DEA5BE1"/>
    <w:rsid w:val="2DFB0A3D"/>
    <w:rsid w:val="2E015E4B"/>
    <w:rsid w:val="2E081658"/>
    <w:rsid w:val="2E0C7D1E"/>
    <w:rsid w:val="2E167947"/>
    <w:rsid w:val="2E277E7A"/>
    <w:rsid w:val="2E2F6D2F"/>
    <w:rsid w:val="2E4E5407"/>
    <w:rsid w:val="2E5E6220"/>
    <w:rsid w:val="2E667F96"/>
    <w:rsid w:val="2E7E7650"/>
    <w:rsid w:val="2E8226AB"/>
    <w:rsid w:val="2E847770"/>
    <w:rsid w:val="2E9757EF"/>
    <w:rsid w:val="2E980D70"/>
    <w:rsid w:val="2EB931C8"/>
    <w:rsid w:val="2ED47E84"/>
    <w:rsid w:val="2EFA558F"/>
    <w:rsid w:val="2F60077D"/>
    <w:rsid w:val="2F691389"/>
    <w:rsid w:val="2F84547E"/>
    <w:rsid w:val="2F846AE9"/>
    <w:rsid w:val="2F8D4477"/>
    <w:rsid w:val="2F8E3109"/>
    <w:rsid w:val="2F9F68E5"/>
    <w:rsid w:val="2FA21EAE"/>
    <w:rsid w:val="2FB719DF"/>
    <w:rsid w:val="2FBA21BE"/>
    <w:rsid w:val="2FC143F4"/>
    <w:rsid w:val="2FCC6DC2"/>
    <w:rsid w:val="2FD065E6"/>
    <w:rsid w:val="2FD1186F"/>
    <w:rsid w:val="2FD61B58"/>
    <w:rsid w:val="2FD96870"/>
    <w:rsid w:val="2FDB2D4A"/>
    <w:rsid w:val="2FE80560"/>
    <w:rsid w:val="2FEF0095"/>
    <w:rsid w:val="2FF91C11"/>
    <w:rsid w:val="2FF96ABD"/>
    <w:rsid w:val="2FFC42E1"/>
    <w:rsid w:val="301547F8"/>
    <w:rsid w:val="303176AB"/>
    <w:rsid w:val="305131DD"/>
    <w:rsid w:val="30530B97"/>
    <w:rsid w:val="30580361"/>
    <w:rsid w:val="30580BC9"/>
    <w:rsid w:val="3075311F"/>
    <w:rsid w:val="307651CD"/>
    <w:rsid w:val="30A04E20"/>
    <w:rsid w:val="30B000F5"/>
    <w:rsid w:val="30B55B0F"/>
    <w:rsid w:val="30E64EEC"/>
    <w:rsid w:val="30F644F4"/>
    <w:rsid w:val="31187057"/>
    <w:rsid w:val="311D0B06"/>
    <w:rsid w:val="311E2ED7"/>
    <w:rsid w:val="313D313A"/>
    <w:rsid w:val="31547673"/>
    <w:rsid w:val="315619EE"/>
    <w:rsid w:val="315C449C"/>
    <w:rsid w:val="315C6D68"/>
    <w:rsid w:val="3165300E"/>
    <w:rsid w:val="316A07AA"/>
    <w:rsid w:val="317B406B"/>
    <w:rsid w:val="31A45537"/>
    <w:rsid w:val="31AA6283"/>
    <w:rsid w:val="31B82709"/>
    <w:rsid w:val="31BA6D6E"/>
    <w:rsid w:val="31D05482"/>
    <w:rsid w:val="31D658E2"/>
    <w:rsid w:val="31E135D1"/>
    <w:rsid w:val="31E97672"/>
    <w:rsid w:val="31EB31CE"/>
    <w:rsid w:val="31F26C56"/>
    <w:rsid w:val="3202307F"/>
    <w:rsid w:val="32087371"/>
    <w:rsid w:val="322F7F03"/>
    <w:rsid w:val="323112C7"/>
    <w:rsid w:val="32361B5E"/>
    <w:rsid w:val="32400B34"/>
    <w:rsid w:val="3241701B"/>
    <w:rsid w:val="324B1648"/>
    <w:rsid w:val="325C70AC"/>
    <w:rsid w:val="326805FE"/>
    <w:rsid w:val="327F0285"/>
    <w:rsid w:val="32876812"/>
    <w:rsid w:val="3291620A"/>
    <w:rsid w:val="329E6876"/>
    <w:rsid w:val="32D37341"/>
    <w:rsid w:val="32D71C14"/>
    <w:rsid w:val="32DE2172"/>
    <w:rsid w:val="32E127E9"/>
    <w:rsid w:val="32E20814"/>
    <w:rsid w:val="32EF4F24"/>
    <w:rsid w:val="33004250"/>
    <w:rsid w:val="331108DD"/>
    <w:rsid w:val="331E4186"/>
    <w:rsid w:val="33240E2C"/>
    <w:rsid w:val="332A52BF"/>
    <w:rsid w:val="333015F2"/>
    <w:rsid w:val="33307824"/>
    <w:rsid w:val="334B6320"/>
    <w:rsid w:val="335C344E"/>
    <w:rsid w:val="33753436"/>
    <w:rsid w:val="33755A1F"/>
    <w:rsid w:val="33802AC9"/>
    <w:rsid w:val="338C184D"/>
    <w:rsid w:val="33A6493C"/>
    <w:rsid w:val="33B71CA0"/>
    <w:rsid w:val="33C12353"/>
    <w:rsid w:val="33CC1F2A"/>
    <w:rsid w:val="33D934D4"/>
    <w:rsid w:val="33DC34B5"/>
    <w:rsid w:val="33EB41C7"/>
    <w:rsid w:val="33FE2F6A"/>
    <w:rsid w:val="340E07E5"/>
    <w:rsid w:val="341D30E4"/>
    <w:rsid w:val="34235BF7"/>
    <w:rsid w:val="34271086"/>
    <w:rsid w:val="34337579"/>
    <w:rsid w:val="344173FE"/>
    <w:rsid w:val="3445105A"/>
    <w:rsid w:val="344B7E28"/>
    <w:rsid w:val="344F7998"/>
    <w:rsid w:val="34667D5C"/>
    <w:rsid w:val="346D3B16"/>
    <w:rsid w:val="34711E4F"/>
    <w:rsid w:val="3472785B"/>
    <w:rsid w:val="34842A78"/>
    <w:rsid w:val="34907A9B"/>
    <w:rsid w:val="34A107AD"/>
    <w:rsid w:val="34A67DE5"/>
    <w:rsid w:val="34A94FA2"/>
    <w:rsid w:val="34D048D7"/>
    <w:rsid w:val="34D72802"/>
    <w:rsid w:val="34DC2B7B"/>
    <w:rsid w:val="34E9224B"/>
    <w:rsid w:val="34F414D1"/>
    <w:rsid w:val="35064C8D"/>
    <w:rsid w:val="350E72A5"/>
    <w:rsid w:val="35125F65"/>
    <w:rsid w:val="352F02E5"/>
    <w:rsid w:val="35470E02"/>
    <w:rsid w:val="355050D5"/>
    <w:rsid w:val="3551083B"/>
    <w:rsid w:val="355675B5"/>
    <w:rsid w:val="35753641"/>
    <w:rsid w:val="357B2A8C"/>
    <w:rsid w:val="35803CA9"/>
    <w:rsid w:val="358B721D"/>
    <w:rsid w:val="358C5FA8"/>
    <w:rsid w:val="359273CC"/>
    <w:rsid w:val="35946D26"/>
    <w:rsid w:val="359C2460"/>
    <w:rsid w:val="35AA293D"/>
    <w:rsid w:val="35C00D30"/>
    <w:rsid w:val="35C15DF1"/>
    <w:rsid w:val="35C82056"/>
    <w:rsid w:val="35CB147E"/>
    <w:rsid w:val="35CE46AE"/>
    <w:rsid w:val="35D13A93"/>
    <w:rsid w:val="35D206ED"/>
    <w:rsid w:val="35F03248"/>
    <w:rsid w:val="36074A7F"/>
    <w:rsid w:val="361C403D"/>
    <w:rsid w:val="36343134"/>
    <w:rsid w:val="36371C43"/>
    <w:rsid w:val="36377CBC"/>
    <w:rsid w:val="36411800"/>
    <w:rsid w:val="365144B9"/>
    <w:rsid w:val="368407C9"/>
    <w:rsid w:val="36914A2B"/>
    <w:rsid w:val="36923549"/>
    <w:rsid w:val="369D07E5"/>
    <w:rsid w:val="36B50719"/>
    <w:rsid w:val="36B75FBF"/>
    <w:rsid w:val="36B85BCB"/>
    <w:rsid w:val="36B8647F"/>
    <w:rsid w:val="36B90CC9"/>
    <w:rsid w:val="36BD0C45"/>
    <w:rsid w:val="36D018C6"/>
    <w:rsid w:val="36E14CE5"/>
    <w:rsid w:val="36EF5D82"/>
    <w:rsid w:val="36FB0F4D"/>
    <w:rsid w:val="370D338F"/>
    <w:rsid w:val="37121115"/>
    <w:rsid w:val="3713319A"/>
    <w:rsid w:val="371452E6"/>
    <w:rsid w:val="3715091F"/>
    <w:rsid w:val="371B4775"/>
    <w:rsid w:val="371E2B7F"/>
    <w:rsid w:val="372647FA"/>
    <w:rsid w:val="374A7F82"/>
    <w:rsid w:val="374B33A5"/>
    <w:rsid w:val="374E46CA"/>
    <w:rsid w:val="377166EB"/>
    <w:rsid w:val="37755AAC"/>
    <w:rsid w:val="3784633D"/>
    <w:rsid w:val="37A46F67"/>
    <w:rsid w:val="37B3277F"/>
    <w:rsid w:val="37C00C79"/>
    <w:rsid w:val="37DA4F63"/>
    <w:rsid w:val="37DC0CC4"/>
    <w:rsid w:val="37E00298"/>
    <w:rsid w:val="3801476C"/>
    <w:rsid w:val="3809239F"/>
    <w:rsid w:val="380F001D"/>
    <w:rsid w:val="382676CE"/>
    <w:rsid w:val="382F0057"/>
    <w:rsid w:val="383C09C6"/>
    <w:rsid w:val="3845787B"/>
    <w:rsid w:val="384B7C75"/>
    <w:rsid w:val="38502673"/>
    <w:rsid w:val="386724C4"/>
    <w:rsid w:val="387B3FB2"/>
    <w:rsid w:val="38987EF0"/>
    <w:rsid w:val="389F10A1"/>
    <w:rsid w:val="38A162C6"/>
    <w:rsid w:val="38AA4AF3"/>
    <w:rsid w:val="38AD4D62"/>
    <w:rsid w:val="38AE6458"/>
    <w:rsid w:val="38B302F9"/>
    <w:rsid w:val="38C874CC"/>
    <w:rsid w:val="38CA7422"/>
    <w:rsid w:val="38CC2035"/>
    <w:rsid w:val="38DD143A"/>
    <w:rsid w:val="38EB5EE1"/>
    <w:rsid w:val="38F12CD3"/>
    <w:rsid w:val="38F32C47"/>
    <w:rsid w:val="38F94775"/>
    <w:rsid w:val="39174C96"/>
    <w:rsid w:val="39214E50"/>
    <w:rsid w:val="39237CBC"/>
    <w:rsid w:val="39294FDB"/>
    <w:rsid w:val="392971ED"/>
    <w:rsid w:val="39325651"/>
    <w:rsid w:val="393B5BB4"/>
    <w:rsid w:val="393F1821"/>
    <w:rsid w:val="393F251C"/>
    <w:rsid w:val="39537D38"/>
    <w:rsid w:val="39622A2A"/>
    <w:rsid w:val="397F14BF"/>
    <w:rsid w:val="39896439"/>
    <w:rsid w:val="39987658"/>
    <w:rsid w:val="39A31E95"/>
    <w:rsid w:val="39B822CE"/>
    <w:rsid w:val="39B840C7"/>
    <w:rsid w:val="39D52176"/>
    <w:rsid w:val="39E12EE6"/>
    <w:rsid w:val="39E92488"/>
    <w:rsid w:val="39F20572"/>
    <w:rsid w:val="39F86140"/>
    <w:rsid w:val="39F86D1B"/>
    <w:rsid w:val="39FA3F3A"/>
    <w:rsid w:val="3A044B4A"/>
    <w:rsid w:val="3A2D6818"/>
    <w:rsid w:val="3A306308"/>
    <w:rsid w:val="3A3C3E30"/>
    <w:rsid w:val="3A4D6E9A"/>
    <w:rsid w:val="3A52627F"/>
    <w:rsid w:val="3A680D3F"/>
    <w:rsid w:val="3A6C0E49"/>
    <w:rsid w:val="3A7468C9"/>
    <w:rsid w:val="3A872856"/>
    <w:rsid w:val="3A8F454A"/>
    <w:rsid w:val="3A996B97"/>
    <w:rsid w:val="3ABA4706"/>
    <w:rsid w:val="3AC11A6C"/>
    <w:rsid w:val="3ACF5B21"/>
    <w:rsid w:val="3AD503A4"/>
    <w:rsid w:val="3AE0737A"/>
    <w:rsid w:val="3AEA0046"/>
    <w:rsid w:val="3AEF6AF9"/>
    <w:rsid w:val="3AF058E0"/>
    <w:rsid w:val="3B1D3B63"/>
    <w:rsid w:val="3B261E10"/>
    <w:rsid w:val="3B333E38"/>
    <w:rsid w:val="3B351B3C"/>
    <w:rsid w:val="3B3763D1"/>
    <w:rsid w:val="3B3C3253"/>
    <w:rsid w:val="3B4111A6"/>
    <w:rsid w:val="3B5A356F"/>
    <w:rsid w:val="3B642790"/>
    <w:rsid w:val="3B7F0B0B"/>
    <w:rsid w:val="3B815CB3"/>
    <w:rsid w:val="3B8C7C96"/>
    <w:rsid w:val="3BA41B80"/>
    <w:rsid w:val="3BB15227"/>
    <w:rsid w:val="3C1001A0"/>
    <w:rsid w:val="3C1744FA"/>
    <w:rsid w:val="3C265C15"/>
    <w:rsid w:val="3C2F6E1E"/>
    <w:rsid w:val="3C357273"/>
    <w:rsid w:val="3C3A0004"/>
    <w:rsid w:val="3C470918"/>
    <w:rsid w:val="3C4D132B"/>
    <w:rsid w:val="3C4F64BA"/>
    <w:rsid w:val="3C4F75FE"/>
    <w:rsid w:val="3C544530"/>
    <w:rsid w:val="3C626FE1"/>
    <w:rsid w:val="3C6C7158"/>
    <w:rsid w:val="3C7A19D6"/>
    <w:rsid w:val="3C7F6901"/>
    <w:rsid w:val="3C834E15"/>
    <w:rsid w:val="3C8D17F0"/>
    <w:rsid w:val="3C9113F3"/>
    <w:rsid w:val="3CAB08C3"/>
    <w:rsid w:val="3CBA5973"/>
    <w:rsid w:val="3CD951D6"/>
    <w:rsid w:val="3CDA245A"/>
    <w:rsid w:val="3CDB1BD0"/>
    <w:rsid w:val="3CE51FF8"/>
    <w:rsid w:val="3CE60447"/>
    <w:rsid w:val="3CE80785"/>
    <w:rsid w:val="3D03260B"/>
    <w:rsid w:val="3D0B1D9E"/>
    <w:rsid w:val="3D1215F7"/>
    <w:rsid w:val="3D155BD9"/>
    <w:rsid w:val="3D1C5FFA"/>
    <w:rsid w:val="3D1E06B7"/>
    <w:rsid w:val="3D341D2F"/>
    <w:rsid w:val="3D42172F"/>
    <w:rsid w:val="3D4D4AAE"/>
    <w:rsid w:val="3D595F77"/>
    <w:rsid w:val="3D616431"/>
    <w:rsid w:val="3D637330"/>
    <w:rsid w:val="3D644758"/>
    <w:rsid w:val="3D770016"/>
    <w:rsid w:val="3D8441BC"/>
    <w:rsid w:val="3D94095C"/>
    <w:rsid w:val="3D9929B9"/>
    <w:rsid w:val="3D9A7546"/>
    <w:rsid w:val="3DAC1508"/>
    <w:rsid w:val="3DC254CA"/>
    <w:rsid w:val="3DD608D5"/>
    <w:rsid w:val="3DD909A6"/>
    <w:rsid w:val="3DFB0314"/>
    <w:rsid w:val="3E0E6961"/>
    <w:rsid w:val="3E253EAF"/>
    <w:rsid w:val="3E4B7004"/>
    <w:rsid w:val="3E6C4347"/>
    <w:rsid w:val="3E725142"/>
    <w:rsid w:val="3E8357B7"/>
    <w:rsid w:val="3E94756C"/>
    <w:rsid w:val="3E9818D8"/>
    <w:rsid w:val="3E99447C"/>
    <w:rsid w:val="3E9A5532"/>
    <w:rsid w:val="3EAE391C"/>
    <w:rsid w:val="3EC3599D"/>
    <w:rsid w:val="3EC97271"/>
    <w:rsid w:val="3EDA0523"/>
    <w:rsid w:val="3EDE3555"/>
    <w:rsid w:val="3EEB4008"/>
    <w:rsid w:val="3F051B12"/>
    <w:rsid w:val="3F062590"/>
    <w:rsid w:val="3F2A2091"/>
    <w:rsid w:val="3F2E339E"/>
    <w:rsid w:val="3F361C8B"/>
    <w:rsid w:val="3F444AE5"/>
    <w:rsid w:val="3F581721"/>
    <w:rsid w:val="3F67457A"/>
    <w:rsid w:val="3F6820A1"/>
    <w:rsid w:val="3F7C3885"/>
    <w:rsid w:val="3FA66F83"/>
    <w:rsid w:val="3FAD7DA3"/>
    <w:rsid w:val="3FB33303"/>
    <w:rsid w:val="3FB366B3"/>
    <w:rsid w:val="3FB97C73"/>
    <w:rsid w:val="3FD80FD4"/>
    <w:rsid w:val="3FDE1239"/>
    <w:rsid w:val="3FEE6BFE"/>
    <w:rsid w:val="3FF36B60"/>
    <w:rsid w:val="3FF505BC"/>
    <w:rsid w:val="3FF91CB6"/>
    <w:rsid w:val="4002720E"/>
    <w:rsid w:val="400E475A"/>
    <w:rsid w:val="401433AF"/>
    <w:rsid w:val="40156DA0"/>
    <w:rsid w:val="401E4A8A"/>
    <w:rsid w:val="402957E6"/>
    <w:rsid w:val="402A7AE6"/>
    <w:rsid w:val="402C5DE3"/>
    <w:rsid w:val="402E59EE"/>
    <w:rsid w:val="40390502"/>
    <w:rsid w:val="40417CD6"/>
    <w:rsid w:val="40480589"/>
    <w:rsid w:val="405D772B"/>
    <w:rsid w:val="405F6949"/>
    <w:rsid w:val="406262EC"/>
    <w:rsid w:val="40632FE6"/>
    <w:rsid w:val="406E12A7"/>
    <w:rsid w:val="407A6407"/>
    <w:rsid w:val="40805A26"/>
    <w:rsid w:val="408C4343"/>
    <w:rsid w:val="40B13CFB"/>
    <w:rsid w:val="40B931B4"/>
    <w:rsid w:val="40B97FDB"/>
    <w:rsid w:val="40BC44D0"/>
    <w:rsid w:val="40C27CDA"/>
    <w:rsid w:val="40C90CF4"/>
    <w:rsid w:val="40F21935"/>
    <w:rsid w:val="40F21E30"/>
    <w:rsid w:val="410B262F"/>
    <w:rsid w:val="41193EEF"/>
    <w:rsid w:val="41344930"/>
    <w:rsid w:val="41351E58"/>
    <w:rsid w:val="41372133"/>
    <w:rsid w:val="414500F4"/>
    <w:rsid w:val="41570D98"/>
    <w:rsid w:val="4174779C"/>
    <w:rsid w:val="41E513C4"/>
    <w:rsid w:val="41F767FB"/>
    <w:rsid w:val="41FC2CE3"/>
    <w:rsid w:val="4200449D"/>
    <w:rsid w:val="42074956"/>
    <w:rsid w:val="421A2093"/>
    <w:rsid w:val="42273EB9"/>
    <w:rsid w:val="423A3BCC"/>
    <w:rsid w:val="423F13D4"/>
    <w:rsid w:val="424C71A3"/>
    <w:rsid w:val="424E57D2"/>
    <w:rsid w:val="426243D2"/>
    <w:rsid w:val="42691CE2"/>
    <w:rsid w:val="427E23AB"/>
    <w:rsid w:val="4288481D"/>
    <w:rsid w:val="428B0580"/>
    <w:rsid w:val="42941B4B"/>
    <w:rsid w:val="42951F3B"/>
    <w:rsid w:val="429733C9"/>
    <w:rsid w:val="429F227D"/>
    <w:rsid w:val="42B26C49"/>
    <w:rsid w:val="42F9198D"/>
    <w:rsid w:val="42FB6989"/>
    <w:rsid w:val="42FE6109"/>
    <w:rsid w:val="43195B28"/>
    <w:rsid w:val="43244EF6"/>
    <w:rsid w:val="432E4FF9"/>
    <w:rsid w:val="433523C8"/>
    <w:rsid w:val="433A6FE6"/>
    <w:rsid w:val="433E5AA5"/>
    <w:rsid w:val="433F136A"/>
    <w:rsid w:val="43480868"/>
    <w:rsid w:val="4350713C"/>
    <w:rsid w:val="4359067E"/>
    <w:rsid w:val="435F387D"/>
    <w:rsid w:val="43657023"/>
    <w:rsid w:val="436653E0"/>
    <w:rsid w:val="436F6583"/>
    <w:rsid w:val="437070A6"/>
    <w:rsid w:val="437465D6"/>
    <w:rsid w:val="43892BAD"/>
    <w:rsid w:val="439C2098"/>
    <w:rsid w:val="43A55671"/>
    <w:rsid w:val="43A833B4"/>
    <w:rsid w:val="43A850EC"/>
    <w:rsid w:val="43C4431A"/>
    <w:rsid w:val="43CB4D86"/>
    <w:rsid w:val="43CD0543"/>
    <w:rsid w:val="43D22CAE"/>
    <w:rsid w:val="43D60064"/>
    <w:rsid w:val="43D73BB1"/>
    <w:rsid w:val="43DD3392"/>
    <w:rsid w:val="43DE5087"/>
    <w:rsid w:val="43F60094"/>
    <w:rsid w:val="44071132"/>
    <w:rsid w:val="4407632C"/>
    <w:rsid w:val="44126F15"/>
    <w:rsid w:val="441963CF"/>
    <w:rsid w:val="441E3935"/>
    <w:rsid w:val="44314CA3"/>
    <w:rsid w:val="44421112"/>
    <w:rsid w:val="44764156"/>
    <w:rsid w:val="44873867"/>
    <w:rsid w:val="44894BFB"/>
    <w:rsid w:val="4489788A"/>
    <w:rsid w:val="4492209A"/>
    <w:rsid w:val="44935E05"/>
    <w:rsid w:val="449707D4"/>
    <w:rsid w:val="44B17A90"/>
    <w:rsid w:val="44B20090"/>
    <w:rsid w:val="44B51769"/>
    <w:rsid w:val="44B951CC"/>
    <w:rsid w:val="44CD14E0"/>
    <w:rsid w:val="44D52325"/>
    <w:rsid w:val="44DA759D"/>
    <w:rsid w:val="44E64689"/>
    <w:rsid w:val="44EA712F"/>
    <w:rsid w:val="44F20B0B"/>
    <w:rsid w:val="450E5016"/>
    <w:rsid w:val="4522665E"/>
    <w:rsid w:val="45230F44"/>
    <w:rsid w:val="452752E7"/>
    <w:rsid w:val="452E5F4C"/>
    <w:rsid w:val="453A628D"/>
    <w:rsid w:val="453B51E4"/>
    <w:rsid w:val="454710B0"/>
    <w:rsid w:val="45612018"/>
    <w:rsid w:val="45616A75"/>
    <w:rsid w:val="4565155C"/>
    <w:rsid w:val="458946E9"/>
    <w:rsid w:val="458E3B2C"/>
    <w:rsid w:val="459C18A8"/>
    <w:rsid w:val="45A47C0E"/>
    <w:rsid w:val="45A55580"/>
    <w:rsid w:val="45B31132"/>
    <w:rsid w:val="45BE70CB"/>
    <w:rsid w:val="45C1250B"/>
    <w:rsid w:val="45CC5137"/>
    <w:rsid w:val="45CD28CB"/>
    <w:rsid w:val="45D777CC"/>
    <w:rsid w:val="45DD7344"/>
    <w:rsid w:val="46160AD2"/>
    <w:rsid w:val="462D12CE"/>
    <w:rsid w:val="463A4797"/>
    <w:rsid w:val="46523B3D"/>
    <w:rsid w:val="46542C78"/>
    <w:rsid w:val="46577FD6"/>
    <w:rsid w:val="466753B5"/>
    <w:rsid w:val="467546D0"/>
    <w:rsid w:val="467852BF"/>
    <w:rsid w:val="46827522"/>
    <w:rsid w:val="46843C64"/>
    <w:rsid w:val="46882338"/>
    <w:rsid w:val="468E7675"/>
    <w:rsid w:val="46992A04"/>
    <w:rsid w:val="46AF0258"/>
    <w:rsid w:val="46BF56D8"/>
    <w:rsid w:val="46C0405F"/>
    <w:rsid w:val="46C17CEE"/>
    <w:rsid w:val="46D955A7"/>
    <w:rsid w:val="46E6047B"/>
    <w:rsid w:val="46F330DD"/>
    <w:rsid w:val="46F473DF"/>
    <w:rsid w:val="46FA2085"/>
    <w:rsid w:val="47133957"/>
    <w:rsid w:val="47332F94"/>
    <w:rsid w:val="4736253F"/>
    <w:rsid w:val="47373C32"/>
    <w:rsid w:val="473A0A0E"/>
    <w:rsid w:val="474F740A"/>
    <w:rsid w:val="475A49C5"/>
    <w:rsid w:val="4773076D"/>
    <w:rsid w:val="477C1691"/>
    <w:rsid w:val="478101A3"/>
    <w:rsid w:val="479C296E"/>
    <w:rsid w:val="47A07E0C"/>
    <w:rsid w:val="47AA3B99"/>
    <w:rsid w:val="47AA76FA"/>
    <w:rsid w:val="47B42327"/>
    <w:rsid w:val="47B91045"/>
    <w:rsid w:val="47BC3568"/>
    <w:rsid w:val="47CA4501"/>
    <w:rsid w:val="47D32626"/>
    <w:rsid w:val="47E27E10"/>
    <w:rsid w:val="47E77906"/>
    <w:rsid w:val="47F22E4F"/>
    <w:rsid w:val="47F634AC"/>
    <w:rsid w:val="48030BB8"/>
    <w:rsid w:val="4803377B"/>
    <w:rsid w:val="48084DCD"/>
    <w:rsid w:val="48162E9E"/>
    <w:rsid w:val="482C0DB9"/>
    <w:rsid w:val="48477284"/>
    <w:rsid w:val="484C1891"/>
    <w:rsid w:val="485B6B40"/>
    <w:rsid w:val="4870272E"/>
    <w:rsid w:val="487A37B1"/>
    <w:rsid w:val="488E7BB6"/>
    <w:rsid w:val="488F0FD1"/>
    <w:rsid w:val="4890603C"/>
    <w:rsid w:val="48A13519"/>
    <w:rsid w:val="48A31E3E"/>
    <w:rsid w:val="48AC51BB"/>
    <w:rsid w:val="48AE321A"/>
    <w:rsid w:val="48B00948"/>
    <w:rsid w:val="48B00A3D"/>
    <w:rsid w:val="48B819A3"/>
    <w:rsid w:val="48B84635"/>
    <w:rsid w:val="48B862DE"/>
    <w:rsid w:val="48BA396D"/>
    <w:rsid w:val="48BD520B"/>
    <w:rsid w:val="48C05155"/>
    <w:rsid w:val="48C632CC"/>
    <w:rsid w:val="48D0061B"/>
    <w:rsid w:val="48D52555"/>
    <w:rsid w:val="48DB6C09"/>
    <w:rsid w:val="48E25B91"/>
    <w:rsid w:val="48FC21D7"/>
    <w:rsid w:val="490C7F41"/>
    <w:rsid w:val="490F47BC"/>
    <w:rsid w:val="492D2391"/>
    <w:rsid w:val="494E49A7"/>
    <w:rsid w:val="49534252"/>
    <w:rsid w:val="495A364D"/>
    <w:rsid w:val="49667651"/>
    <w:rsid w:val="4972736E"/>
    <w:rsid w:val="497D6B42"/>
    <w:rsid w:val="499E09AD"/>
    <w:rsid w:val="49A45E15"/>
    <w:rsid w:val="49BE5D02"/>
    <w:rsid w:val="49C97089"/>
    <w:rsid w:val="49DC7715"/>
    <w:rsid w:val="49EA5FFC"/>
    <w:rsid w:val="49EE6A64"/>
    <w:rsid w:val="4A023139"/>
    <w:rsid w:val="4A03047D"/>
    <w:rsid w:val="4A1A5E05"/>
    <w:rsid w:val="4A387440"/>
    <w:rsid w:val="4A4200BE"/>
    <w:rsid w:val="4A6F415E"/>
    <w:rsid w:val="4A760CBD"/>
    <w:rsid w:val="4A7B576F"/>
    <w:rsid w:val="4A88006B"/>
    <w:rsid w:val="4A936B9A"/>
    <w:rsid w:val="4A954692"/>
    <w:rsid w:val="4AAB0E19"/>
    <w:rsid w:val="4AB1620B"/>
    <w:rsid w:val="4ABC0C2D"/>
    <w:rsid w:val="4AC72371"/>
    <w:rsid w:val="4ACD124B"/>
    <w:rsid w:val="4AE41B41"/>
    <w:rsid w:val="4AE90539"/>
    <w:rsid w:val="4AEE3DA2"/>
    <w:rsid w:val="4AF5528D"/>
    <w:rsid w:val="4AF561A9"/>
    <w:rsid w:val="4B175859"/>
    <w:rsid w:val="4B356B85"/>
    <w:rsid w:val="4B3659B2"/>
    <w:rsid w:val="4B3D3A00"/>
    <w:rsid w:val="4B5D4A84"/>
    <w:rsid w:val="4B921CCB"/>
    <w:rsid w:val="4B946AE7"/>
    <w:rsid w:val="4B985147"/>
    <w:rsid w:val="4BAB44BB"/>
    <w:rsid w:val="4BB80A0E"/>
    <w:rsid w:val="4BC642ED"/>
    <w:rsid w:val="4BC97F21"/>
    <w:rsid w:val="4BE21218"/>
    <w:rsid w:val="4BE60F1D"/>
    <w:rsid w:val="4C03562B"/>
    <w:rsid w:val="4C10198D"/>
    <w:rsid w:val="4C1C66ED"/>
    <w:rsid w:val="4C3062DF"/>
    <w:rsid w:val="4C4A0649"/>
    <w:rsid w:val="4C6360CA"/>
    <w:rsid w:val="4C693A8E"/>
    <w:rsid w:val="4C744774"/>
    <w:rsid w:val="4C7E5ECA"/>
    <w:rsid w:val="4C876AA5"/>
    <w:rsid w:val="4C8C1222"/>
    <w:rsid w:val="4C9E6E2B"/>
    <w:rsid w:val="4C9F1D18"/>
    <w:rsid w:val="4CAC7A71"/>
    <w:rsid w:val="4CAD0EA5"/>
    <w:rsid w:val="4CB9240C"/>
    <w:rsid w:val="4CBD4D55"/>
    <w:rsid w:val="4CC457CA"/>
    <w:rsid w:val="4CCF20E6"/>
    <w:rsid w:val="4CD722EC"/>
    <w:rsid w:val="4CDB3015"/>
    <w:rsid w:val="4CE20065"/>
    <w:rsid w:val="4CE7126B"/>
    <w:rsid w:val="4CE91C3E"/>
    <w:rsid w:val="4CF24E33"/>
    <w:rsid w:val="4CF768BA"/>
    <w:rsid w:val="4CFF686B"/>
    <w:rsid w:val="4D034B55"/>
    <w:rsid w:val="4D0B4931"/>
    <w:rsid w:val="4D0C4F25"/>
    <w:rsid w:val="4D0E00FB"/>
    <w:rsid w:val="4D176606"/>
    <w:rsid w:val="4D187BDA"/>
    <w:rsid w:val="4D53051C"/>
    <w:rsid w:val="4D637864"/>
    <w:rsid w:val="4D666F36"/>
    <w:rsid w:val="4D770F74"/>
    <w:rsid w:val="4D8163FC"/>
    <w:rsid w:val="4D845A55"/>
    <w:rsid w:val="4D92397F"/>
    <w:rsid w:val="4D955140"/>
    <w:rsid w:val="4D9939EF"/>
    <w:rsid w:val="4DA05913"/>
    <w:rsid w:val="4DA7288C"/>
    <w:rsid w:val="4DAF43E4"/>
    <w:rsid w:val="4DB566D1"/>
    <w:rsid w:val="4DBB5E53"/>
    <w:rsid w:val="4DC00DB2"/>
    <w:rsid w:val="4DC54A4F"/>
    <w:rsid w:val="4DEC4FB0"/>
    <w:rsid w:val="4DF27705"/>
    <w:rsid w:val="4DF41248"/>
    <w:rsid w:val="4E035DB6"/>
    <w:rsid w:val="4E070211"/>
    <w:rsid w:val="4E075D8A"/>
    <w:rsid w:val="4E0D3F4C"/>
    <w:rsid w:val="4E1062B8"/>
    <w:rsid w:val="4E13303B"/>
    <w:rsid w:val="4E23555D"/>
    <w:rsid w:val="4E3B7ACB"/>
    <w:rsid w:val="4E5E4D9B"/>
    <w:rsid w:val="4E652308"/>
    <w:rsid w:val="4E674D12"/>
    <w:rsid w:val="4E7A5665"/>
    <w:rsid w:val="4E7B3B9E"/>
    <w:rsid w:val="4E806B04"/>
    <w:rsid w:val="4E836ED7"/>
    <w:rsid w:val="4E926D4B"/>
    <w:rsid w:val="4EA03605"/>
    <w:rsid w:val="4EA67627"/>
    <w:rsid w:val="4EC00FAD"/>
    <w:rsid w:val="4ED11A10"/>
    <w:rsid w:val="4EDA11C6"/>
    <w:rsid w:val="4F0232C6"/>
    <w:rsid w:val="4F023FB6"/>
    <w:rsid w:val="4F171658"/>
    <w:rsid w:val="4F2E6120"/>
    <w:rsid w:val="4F563A85"/>
    <w:rsid w:val="4F5B752C"/>
    <w:rsid w:val="4F8A2A9A"/>
    <w:rsid w:val="4F8C6496"/>
    <w:rsid w:val="4F9302A4"/>
    <w:rsid w:val="4F9843DC"/>
    <w:rsid w:val="4F9C5989"/>
    <w:rsid w:val="4FAB1C62"/>
    <w:rsid w:val="4FB530E0"/>
    <w:rsid w:val="4FBE481F"/>
    <w:rsid w:val="4FC62A8C"/>
    <w:rsid w:val="4FC632FD"/>
    <w:rsid w:val="4FE20F0D"/>
    <w:rsid w:val="4FE338DA"/>
    <w:rsid w:val="4FE36752"/>
    <w:rsid w:val="4FE51552"/>
    <w:rsid w:val="4FF03C06"/>
    <w:rsid w:val="4FF77EAB"/>
    <w:rsid w:val="5002280A"/>
    <w:rsid w:val="50140845"/>
    <w:rsid w:val="502F586C"/>
    <w:rsid w:val="503555E9"/>
    <w:rsid w:val="503A5994"/>
    <w:rsid w:val="503C0DD7"/>
    <w:rsid w:val="504E302C"/>
    <w:rsid w:val="504F153B"/>
    <w:rsid w:val="504F52E3"/>
    <w:rsid w:val="50504C4B"/>
    <w:rsid w:val="50544579"/>
    <w:rsid w:val="5058366F"/>
    <w:rsid w:val="505F4B58"/>
    <w:rsid w:val="506158E5"/>
    <w:rsid w:val="5068006C"/>
    <w:rsid w:val="50836259"/>
    <w:rsid w:val="50933A80"/>
    <w:rsid w:val="509A2B1A"/>
    <w:rsid w:val="509B2F99"/>
    <w:rsid w:val="509B4084"/>
    <w:rsid w:val="509C6E7C"/>
    <w:rsid w:val="50A309A8"/>
    <w:rsid w:val="50C039B2"/>
    <w:rsid w:val="50DB410A"/>
    <w:rsid w:val="50DC0D98"/>
    <w:rsid w:val="50E23BD5"/>
    <w:rsid w:val="50E773CF"/>
    <w:rsid w:val="50EE4AFC"/>
    <w:rsid w:val="50EF781B"/>
    <w:rsid w:val="51023E42"/>
    <w:rsid w:val="512170E0"/>
    <w:rsid w:val="512330E3"/>
    <w:rsid w:val="512D2112"/>
    <w:rsid w:val="51303203"/>
    <w:rsid w:val="5141070C"/>
    <w:rsid w:val="515B0227"/>
    <w:rsid w:val="5162104E"/>
    <w:rsid w:val="516E3AE8"/>
    <w:rsid w:val="518965D2"/>
    <w:rsid w:val="51A04F0C"/>
    <w:rsid w:val="51A36E03"/>
    <w:rsid w:val="51AA381A"/>
    <w:rsid w:val="51AC045F"/>
    <w:rsid w:val="51BF1FF4"/>
    <w:rsid w:val="51C11B8D"/>
    <w:rsid w:val="51E25CE3"/>
    <w:rsid w:val="51F24D8E"/>
    <w:rsid w:val="51F45000"/>
    <w:rsid w:val="51F52A62"/>
    <w:rsid w:val="5205431B"/>
    <w:rsid w:val="52157E66"/>
    <w:rsid w:val="521E26D0"/>
    <w:rsid w:val="52285DEB"/>
    <w:rsid w:val="522B75F2"/>
    <w:rsid w:val="52304CA0"/>
    <w:rsid w:val="52630C3B"/>
    <w:rsid w:val="52737A2D"/>
    <w:rsid w:val="52754DA9"/>
    <w:rsid w:val="527821A3"/>
    <w:rsid w:val="528355FA"/>
    <w:rsid w:val="529C40E3"/>
    <w:rsid w:val="52AC13C7"/>
    <w:rsid w:val="52AE7068"/>
    <w:rsid w:val="52BB65AA"/>
    <w:rsid w:val="52CC2C1B"/>
    <w:rsid w:val="52DC2732"/>
    <w:rsid w:val="52E85DA3"/>
    <w:rsid w:val="52E9728D"/>
    <w:rsid w:val="52F42171"/>
    <w:rsid w:val="52F55225"/>
    <w:rsid w:val="52F703CB"/>
    <w:rsid w:val="530E1C04"/>
    <w:rsid w:val="53177C0E"/>
    <w:rsid w:val="531A2371"/>
    <w:rsid w:val="531A4433"/>
    <w:rsid w:val="531C501C"/>
    <w:rsid w:val="533132D4"/>
    <w:rsid w:val="53325B90"/>
    <w:rsid w:val="533E33EC"/>
    <w:rsid w:val="534A1D91"/>
    <w:rsid w:val="535E1F08"/>
    <w:rsid w:val="53620E89"/>
    <w:rsid w:val="536E3CD2"/>
    <w:rsid w:val="536E6AD7"/>
    <w:rsid w:val="537436BA"/>
    <w:rsid w:val="53972D0C"/>
    <w:rsid w:val="53A039CC"/>
    <w:rsid w:val="53A1505A"/>
    <w:rsid w:val="53B11E10"/>
    <w:rsid w:val="53C4230E"/>
    <w:rsid w:val="53D94FB0"/>
    <w:rsid w:val="53F900BF"/>
    <w:rsid w:val="54044E7D"/>
    <w:rsid w:val="54063E08"/>
    <w:rsid w:val="542919A7"/>
    <w:rsid w:val="542F45C0"/>
    <w:rsid w:val="54334CA2"/>
    <w:rsid w:val="543437E8"/>
    <w:rsid w:val="543444DE"/>
    <w:rsid w:val="5437120C"/>
    <w:rsid w:val="5447395E"/>
    <w:rsid w:val="545603D3"/>
    <w:rsid w:val="54602B84"/>
    <w:rsid w:val="54613DA6"/>
    <w:rsid w:val="54650783"/>
    <w:rsid w:val="54684BC5"/>
    <w:rsid w:val="547277F2"/>
    <w:rsid w:val="549E1689"/>
    <w:rsid w:val="549E5D7F"/>
    <w:rsid w:val="54C45F7D"/>
    <w:rsid w:val="54C524A9"/>
    <w:rsid w:val="54CA0898"/>
    <w:rsid w:val="54D42DAE"/>
    <w:rsid w:val="54D45DB6"/>
    <w:rsid w:val="54F72BA4"/>
    <w:rsid w:val="54F73313"/>
    <w:rsid w:val="54F80955"/>
    <w:rsid w:val="550052F6"/>
    <w:rsid w:val="550C173C"/>
    <w:rsid w:val="55291432"/>
    <w:rsid w:val="552A2E2D"/>
    <w:rsid w:val="55365BD9"/>
    <w:rsid w:val="55434CEA"/>
    <w:rsid w:val="555170A7"/>
    <w:rsid w:val="556B1685"/>
    <w:rsid w:val="55722454"/>
    <w:rsid w:val="55785FA9"/>
    <w:rsid w:val="55811F4A"/>
    <w:rsid w:val="55825812"/>
    <w:rsid w:val="5587536D"/>
    <w:rsid w:val="55894DF3"/>
    <w:rsid w:val="558C0E65"/>
    <w:rsid w:val="5597330F"/>
    <w:rsid w:val="559B174B"/>
    <w:rsid w:val="55B71306"/>
    <w:rsid w:val="55BB2D31"/>
    <w:rsid w:val="55C9157C"/>
    <w:rsid w:val="55CE0CF4"/>
    <w:rsid w:val="55DB5BE8"/>
    <w:rsid w:val="55F77A96"/>
    <w:rsid w:val="55FB4BA5"/>
    <w:rsid w:val="55FD0ED7"/>
    <w:rsid w:val="56033B3F"/>
    <w:rsid w:val="56041A99"/>
    <w:rsid w:val="56071CAF"/>
    <w:rsid w:val="56073903"/>
    <w:rsid w:val="562D4517"/>
    <w:rsid w:val="56460F17"/>
    <w:rsid w:val="566125DB"/>
    <w:rsid w:val="56624EC6"/>
    <w:rsid w:val="56682C5A"/>
    <w:rsid w:val="566D64C3"/>
    <w:rsid w:val="56721153"/>
    <w:rsid w:val="567315F5"/>
    <w:rsid w:val="5675578B"/>
    <w:rsid w:val="5679032A"/>
    <w:rsid w:val="56795EDE"/>
    <w:rsid w:val="567B6D53"/>
    <w:rsid w:val="567D2C54"/>
    <w:rsid w:val="56B22A9C"/>
    <w:rsid w:val="56C6184B"/>
    <w:rsid w:val="56D33CE9"/>
    <w:rsid w:val="56D76FBC"/>
    <w:rsid w:val="56E12A50"/>
    <w:rsid w:val="56EB4579"/>
    <w:rsid w:val="56F962BC"/>
    <w:rsid w:val="56FD1A2F"/>
    <w:rsid w:val="571A3A5B"/>
    <w:rsid w:val="572B3C88"/>
    <w:rsid w:val="57460390"/>
    <w:rsid w:val="57480FB9"/>
    <w:rsid w:val="57484FC7"/>
    <w:rsid w:val="57720EA1"/>
    <w:rsid w:val="5782445F"/>
    <w:rsid w:val="57902212"/>
    <w:rsid w:val="57995095"/>
    <w:rsid w:val="579D6A47"/>
    <w:rsid w:val="57A5058B"/>
    <w:rsid w:val="57A510A0"/>
    <w:rsid w:val="57AB0625"/>
    <w:rsid w:val="57AB5BEE"/>
    <w:rsid w:val="57AB5D85"/>
    <w:rsid w:val="57B72A76"/>
    <w:rsid w:val="57BE7A39"/>
    <w:rsid w:val="57C3426C"/>
    <w:rsid w:val="57CE1F93"/>
    <w:rsid w:val="57DC4F45"/>
    <w:rsid w:val="57E95319"/>
    <w:rsid w:val="57F24C6F"/>
    <w:rsid w:val="57F525E1"/>
    <w:rsid w:val="57FE18E3"/>
    <w:rsid w:val="58067310"/>
    <w:rsid w:val="58111A9B"/>
    <w:rsid w:val="58290D0E"/>
    <w:rsid w:val="582B03E3"/>
    <w:rsid w:val="582C7CDE"/>
    <w:rsid w:val="584E6BC7"/>
    <w:rsid w:val="58621B57"/>
    <w:rsid w:val="586323FD"/>
    <w:rsid w:val="587127C9"/>
    <w:rsid w:val="588535A2"/>
    <w:rsid w:val="58871332"/>
    <w:rsid w:val="588743D1"/>
    <w:rsid w:val="5887701A"/>
    <w:rsid w:val="58B336C6"/>
    <w:rsid w:val="58C0702C"/>
    <w:rsid w:val="58C148A4"/>
    <w:rsid w:val="58C3061C"/>
    <w:rsid w:val="58C550B4"/>
    <w:rsid w:val="58C83013"/>
    <w:rsid w:val="58EB5701"/>
    <w:rsid w:val="58FD78CE"/>
    <w:rsid w:val="590A08F4"/>
    <w:rsid w:val="591C3356"/>
    <w:rsid w:val="591D2D5C"/>
    <w:rsid w:val="59225A08"/>
    <w:rsid w:val="592867A5"/>
    <w:rsid w:val="592B2A2C"/>
    <w:rsid w:val="59340CD1"/>
    <w:rsid w:val="593E7DB7"/>
    <w:rsid w:val="5943350B"/>
    <w:rsid w:val="595A20F2"/>
    <w:rsid w:val="5964604F"/>
    <w:rsid w:val="596D23D1"/>
    <w:rsid w:val="59744286"/>
    <w:rsid w:val="597A563C"/>
    <w:rsid w:val="597F4213"/>
    <w:rsid w:val="59803066"/>
    <w:rsid w:val="599975CF"/>
    <w:rsid w:val="59A05CA6"/>
    <w:rsid w:val="59A0672C"/>
    <w:rsid w:val="59A501AE"/>
    <w:rsid w:val="59A84FE5"/>
    <w:rsid w:val="59BC1DD2"/>
    <w:rsid w:val="59BD2D22"/>
    <w:rsid w:val="59C0439F"/>
    <w:rsid w:val="59C31212"/>
    <w:rsid w:val="59CC0BB4"/>
    <w:rsid w:val="59D93E6F"/>
    <w:rsid w:val="59DA4B5D"/>
    <w:rsid w:val="59F01C15"/>
    <w:rsid w:val="5A0D5743"/>
    <w:rsid w:val="5A2D7EDB"/>
    <w:rsid w:val="5A392346"/>
    <w:rsid w:val="5A40643B"/>
    <w:rsid w:val="5A407933"/>
    <w:rsid w:val="5A4405C3"/>
    <w:rsid w:val="5A4A2921"/>
    <w:rsid w:val="5A53682B"/>
    <w:rsid w:val="5A587B93"/>
    <w:rsid w:val="5A681677"/>
    <w:rsid w:val="5A684A02"/>
    <w:rsid w:val="5A8A1E38"/>
    <w:rsid w:val="5A8D2322"/>
    <w:rsid w:val="5AA46D3A"/>
    <w:rsid w:val="5ABE2233"/>
    <w:rsid w:val="5AC03E2B"/>
    <w:rsid w:val="5AC2074D"/>
    <w:rsid w:val="5ADC6A17"/>
    <w:rsid w:val="5AE33709"/>
    <w:rsid w:val="5B081AB1"/>
    <w:rsid w:val="5B083D94"/>
    <w:rsid w:val="5B084A33"/>
    <w:rsid w:val="5B0C5AAE"/>
    <w:rsid w:val="5B214C24"/>
    <w:rsid w:val="5B264E92"/>
    <w:rsid w:val="5B274CE2"/>
    <w:rsid w:val="5B295556"/>
    <w:rsid w:val="5B3635BA"/>
    <w:rsid w:val="5B514639"/>
    <w:rsid w:val="5B551FAD"/>
    <w:rsid w:val="5B5570DB"/>
    <w:rsid w:val="5B595AF5"/>
    <w:rsid w:val="5B7163FA"/>
    <w:rsid w:val="5B763052"/>
    <w:rsid w:val="5B8027F4"/>
    <w:rsid w:val="5B9B13DC"/>
    <w:rsid w:val="5BA26366"/>
    <w:rsid w:val="5BAB6B9D"/>
    <w:rsid w:val="5BAC3F23"/>
    <w:rsid w:val="5BD25216"/>
    <w:rsid w:val="5BD67C56"/>
    <w:rsid w:val="5BDB7A2A"/>
    <w:rsid w:val="5BDF5D95"/>
    <w:rsid w:val="5BE72A71"/>
    <w:rsid w:val="5BEC51A7"/>
    <w:rsid w:val="5BF57A15"/>
    <w:rsid w:val="5BFC39ED"/>
    <w:rsid w:val="5BFE7528"/>
    <w:rsid w:val="5C1949F7"/>
    <w:rsid w:val="5C3104E3"/>
    <w:rsid w:val="5C4067C1"/>
    <w:rsid w:val="5C425CFC"/>
    <w:rsid w:val="5C4C7CEE"/>
    <w:rsid w:val="5C5815E9"/>
    <w:rsid w:val="5C5F065B"/>
    <w:rsid w:val="5C5F2695"/>
    <w:rsid w:val="5C6856B8"/>
    <w:rsid w:val="5C6C1DE9"/>
    <w:rsid w:val="5C7F31CB"/>
    <w:rsid w:val="5C8F71B6"/>
    <w:rsid w:val="5CA37218"/>
    <w:rsid w:val="5CA46E35"/>
    <w:rsid w:val="5CAC058A"/>
    <w:rsid w:val="5CB33E7D"/>
    <w:rsid w:val="5CB85F2D"/>
    <w:rsid w:val="5CCB3F43"/>
    <w:rsid w:val="5CCD6A54"/>
    <w:rsid w:val="5CDD12F6"/>
    <w:rsid w:val="5D123920"/>
    <w:rsid w:val="5D477860"/>
    <w:rsid w:val="5D4C4958"/>
    <w:rsid w:val="5D520569"/>
    <w:rsid w:val="5D523B9A"/>
    <w:rsid w:val="5D5734B2"/>
    <w:rsid w:val="5D602572"/>
    <w:rsid w:val="5D6278D7"/>
    <w:rsid w:val="5D79156D"/>
    <w:rsid w:val="5D890118"/>
    <w:rsid w:val="5D8C3996"/>
    <w:rsid w:val="5DA34B3F"/>
    <w:rsid w:val="5DAD79D8"/>
    <w:rsid w:val="5DC25B98"/>
    <w:rsid w:val="5DCA244C"/>
    <w:rsid w:val="5DCC7860"/>
    <w:rsid w:val="5DCD7847"/>
    <w:rsid w:val="5DD15589"/>
    <w:rsid w:val="5DE40EB4"/>
    <w:rsid w:val="5DE86870"/>
    <w:rsid w:val="5DEC4171"/>
    <w:rsid w:val="5DED1414"/>
    <w:rsid w:val="5DF9641C"/>
    <w:rsid w:val="5E03770C"/>
    <w:rsid w:val="5E096E10"/>
    <w:rsid w:val="5E2211CE"/>
    <w:rsid w:val="5E242435"/>
    <w:rsid w:val="5E2467F1"/>
    <w:rsid w:val="5E265FFF"/>
    <w:rsid w:val="5E28378F"/>
    <w:rsid w:val="5E3E0745"/>
    <w:rsid w:val="5E4C168C"/>
    <w:rsid w:val="5E4F4AD0"/>
    <w:rsid w:val="5E581806"/>
    <w:rsid w:val="5EAC017C"/>
    <w:rsid w:val="5EB10A79"/>
    <w:rsid w:val="5EBC48AB"/>
    <w:rsid w:val="5EC21575"/>
    <w:rsid w:val="5ED738E8"/>
    <w:rsid w:val="5F085861"/>
    <w:rsid w:val="5F1A2B43"/>
    <w:rsid w:val="5F1D5AAC"/>
    <w:rsid w:val="5F220B98"/>
    <w:rsid w:val="5F290F36"/>
    <w:rsid w:val="5F35540B"/>
    <w:rsid w:val="5F3554F4"/>
    <w:rsid w:val="5F4278E9"/>
    <w:rsid w:val="5F460AEA"/>
    <w:rsid w:val="5F596120"/>
    <w:rsid w:val="5F5B121E"/>
    <w:rsid w:val="5F654126"/>
    <w:rsid w:val="5F683CCB"/>
    <w:rsid w:val="5F727B5B"/>
    <w:rsid w:val="5FAA6092"/>
    <w:rsid w:val="5FB24387"/>
    <w:rsid w:val="5FB4107F"/>
    <w:rsid w:val="5FB837BB"/>
    <w:rsid w:val="5FBA39BA"/>
    <w:rsid w:val="5FBC7C26"/>
    <w:rsid w:val="5FC039A2"/>
    <w:rsid w:val="5FC61B5A"/>
    <w:rsid w:val="5FD85185"/>
    <w:rsid w:val="6001772B"/>
    <w:rsid w:val="6017124D"/>
    <w:rsid w:val="6022114F"/>
    <w:rsid w:val="6028345A"/>
    <w:rsid w:val="602A189C"/>
    <w:rsid w:val="603D2A74"/>
    <w:rsid w:val="605A718E"/>
    <w:rsid w:val="60662B09"/>
    <w:rsid w:val="60787F3E"/>
    <w:rsid w:val="608B5F03"/>
    <w:rsid w:val="609603C4"/>
    <w:rsid w:val="609A4BD3"/>
    <w:rsid w:val="60A41D02"/>
    <w:rsid w:val="60BA3933"/>
    <w:rsid w:val="60C702D9"/>
    <w:rsid w:val="60CC405A"/>
    <w:rsid w:val="60CF1973"/>
    <w:rsid w:val="60D55390"/>
    <w:rsid w:val="60D82F65"/>
    <w:rsid w:val="60DC3129"/>
    <w:rsid w:val="60DF2A97"/>
    <w:rsid w:val="60F02332"/>
    <w:rsid w:val="60FC2464"/>
    <w:rsid w:val="61013AA9"/>
    <w:rsid w:val="61020AAB"/>
    <w:rsid w:val="61026EA9"/>
    <w:rsid w:val="61110612"/>
    <w:rsid w:val="61121E07"/>
    <w:rsid w:val="6114726D"/>
    <w:rsid w:val="611C2B1E"/>
    <w:rsid w:val="6122434D"/>
    <w:rsid w:val="612F25B0"/>
    <w:rsid w:val="6137020D"/>
    <w:rsid w:val="6142679E"/>
    <w:rsid w:val="616157A8"/>
    <w:rsid w:val="616A068F"/>
    <w:rsid w:val="61724A3F"/>
    <w:rsid w:val="61730C72"/>
    <w:rsid w:val="6175266C"/>
    <w:rsid w:val="617C1DC9"/>
    <w:rsid w:val="617D3332"/>
    <w:rsid w:val="61956077"/>
    <w:rsid w:val="61A3723C"/>
    <w:rsid w:val="61C50A3D"/>
    <w:rsid w:val="61D80564"/>
    <w:rsid w:val="61E215D8"/>
    <w:rsid w:val="61E46BF9"/>
    <w:rsid w:val="61EA36F6"/>
    <w:rsid w:val="61EC3941"/>
    <w:rsid w:val="61ED6147"/>
    <w:rsid w:val="61FB4D8E"/>
    <w:rsid w:val="621B3775"/>
    <w:rsid w:val="62320319"/>
    <w:rsid w:val="62364782"/>
    <w:rsid w:val="623C08C9"/>
    <w:rsid w:val="62504515"/>
    <w:rsid w:val="62535B4E"/>
    <w:rsid w:val="62590BF6"/>
    <w:rsid w:val="626860E3"/>
    <w:rsid w:val="626970D8"/>
    <w:rsid w:val="62755FFA"/>
    <w:rsid w:val="62824D69"/>
    <w:rsid w:val="62903E5E"/>
    <w:rsid w:val="62A822E8"/>
    <w:rsid w:val="62AA2810"/>
    <w:rsid w:val="62B878A2"/>
    <w:rsid w:val="62BF0EAE"/>
    <w:rsid w:val="62C4299B"/>
    <w:rsid w:val="62C707CC"/>
    <w:rsid w:val="62CA0569"/>
    <w:rsid w:val="62CF7145"/>
    <w:rsid w:val="62D653F0"/>
    <w:rsid w:val="62DB2AED"/>
    <w:rsid w:val="62DC1160"/>
    <w:rsid w:val="62DD2256"/>
    <w:rsid w:val="62DE42A4"/>
    <w:rsid w:val="62E04635"/>
    <w:rsid w:val="62F00D69"/>
    <w:rsid w:val="62F17C6B"/>
    <w:rsid w:val="63124080"/>
    <w:rsid w:val="6319566E"/>
    <w:rsid w:val="632750BB"/>
    <w:rsid w:val="63316FD8"/>
    <w:rsid w:val="634B7B8C"/>
    <w:rsid w:val="634C57FE"/>
    <w:rsid w:val="63643184"/>
    <w:rsid w:val="636A50A9"/>
    <w:rsid w:val="636B1FDC"/>
    <w:rsid w:val="63765F2D"/>
    <w:rsid w:val="63782E9C"/>
    <w:rsid w:val="63785E93"/>
    <w:rsid w:val="637F4537"/>
    <w:rsid w:val="638766EA"/>
    <w:rsid w:val="63922AC7"/>
    <w:rsid w:val="6394356A"/>
    <w:rsid w:val="63B225F9"/>
    <w:rsid w:val="63C61B2C"/>
    <w:rsid w:val="63CE77B7"/>
    <w:rsid w:val="63D40BE9"/>
    <w:rsid w:val="63DD1017"/>
    <w:rsid w:val="63E047EC"/>
    <w:rsid w:val="63EF1716"/>
    <w:rsid w:val="63F1414E"/>
    <w:rsid w:val="64020661"/>
    <w:rsid w:val="64102431"/>
    <w:rsid w:val="6414209F"/>
    <w:rsid w:val="641F17EC"/>
    <w:rsid w:val="6454081E"/>
    <w:rsid w:val="645667E8"/>
    <w:rsid w:val="64654C7D"/>
    <w:rsid w:val="646B7C5E"/>
    <w:rsid w:val="646D1A7A"/>
    <w:rsid w:val="646D58E0"/>
    <w:rsid w:val="648064B9"/>
    <w:rsid w:val="648674BC"/>
    <w:rsid w:val="648916D0"/>
    <w:rsid w:val="648A7F25"/>
    <w:rsid w:val="648F19D5"/>
    <w:rsid w:val="648F5856"/>
    <w:rsid w:val="649373BC"/>
    <w:rsid w:val="64A30B8B"/>
    <w:rsid w:val="64A5243A"/>
    <w:rsid w:val="64B3484A"/>
    <w:rsid w:val="64B43F9C"/>
    <w:rsid w:val="64BA7693"/>
    <w:rsid w:val="64BE18D0"/>
    <w:rsid w:val="64D10C10"/>
    <w:rsid w:val="64E9346D"/>
    <w:rsid w:val="64F531DE"/>
    <w:rsid w:val="64FF0C2E"/>
    <w:rsid w:val="6507363E"/>
    <w:rsid w:val="65106FAE"/>
    <w:rsid w:val="651743AC"/>
    <w:rsid w:val="65186BCE"/>
    <w:rsid w:val="65312DB1"/>
    <w:rsid w:val="653603C7"/>
    <w:rsid w:val="65373578"/>
    <w:rsid w:val="654B0F3B"/>
    <w:rsid w:val="65744BFD"/>
    <w:rsid w:val="657A02B4"/>
    <w:rsid w:val="65834154"/>
    <w:rsid w:val="658D2AEF"/>
    <w:rsid w:val="65960E66"/>
    <w:rsid w:val="65A96A85"/>
    <w:rsid w:val="65AE6FB6"/>
    <w:rsid w:val="65BE52FE"/>
    <w:rsid w:val="65D70AAF"/>
    <w:rsid w:val="65E10A1A"/>
    <w:rsid w:val="65E829A4"/>
    <w:rsid w:val="65F074F7"/>
    <w:rsid w:val="65FF1F42"/>
    <w:rsid w:val="660F66C6"/>
    <w:rsid w:val="66225421"/>
    <w:rsid w:val="66232DCD"/>
    <w:rsid w:val="663C5F35"/>
    <w:rsid w:val="6644677A"/>
    <w:rsid w:val="664F1741"/>
    <w:rsid w:val="66800C9F"/>
    <w:rsid w:val="66A124C0"/>
    <w:rsid w:val="66BB1009"/>
    <w:rsid w:val="66E22694"/>
    <w:rsid w:val="66EA4BFD"/>
    <w:rsid w:val="66F97DD1"/>
    <w:rsid w:val="670F1CB2"/>
    <w:rsid w:val="6716225F"/>
    <w:rsid w:val="671F124A"/>
    <w:rsid w:val="672030DD"/>
    <w:rsid w:val="67225333"/>
    <w:rsid w:val="67315A6F"/>
    <w:rsid w:val="6732269F"/>
    <w:rsid w:val="673D4DE4"/>
    <w:rsid w:val="674419CE"/>
    <w:rsid w:val="674B1CE9"/>
    <w:rsid w:val="67654FC3"/>
    <w:rsid w:val="676A4358"/>
    <w:rsid w:val="676E3E49"/>
    <w:rsid w:val="67776FD7"/>
    <w:rsid w:val="677A33C6"/>
    <w:rsid w:val="678428BA"/>
    <w:rsid w:val="678C79CA"/>
    <w:rsid w:val="67955D40"/>
    <w:rsid w:val="679F1A7E"/>
    <w:rsid w:val="67B4758E"/>
    <w:rsid w:val="67B51724"/>
    <w:rsid w:val="67BF12CC"/>
    <w:rsid w:val="67C51DC9"/>
    <w:rsid w:val="67E43664"/>
    <w:rsid w:val="67EE0AE5"/>
    <w:rsid w:val="67F87BB6"/>
    <w:rsid w:val="67F962C1"/>
    <w:rsid w:val="67FA4DDD"/>
    <w:rsid w:val="680F4F29"/>
    <w:rsid w:val="681F1629"/>
    <w:rsid w:val="681F6961"/>
    <w:rsid w:val="683706DE"/>
    <w:rsid w:val="68396AD8"/>
    <w:rsid w:val="683B61FA"/>
    <w:rsid w:val="683C317A"/>
    <w:rsid w:val="68427264"/>
    <w:rsid w:val="68553C23"/>
    <w:rsid w:val="68610A2F"/>
    <w:rsid w:val="68676B78"/>
    <w:rsid w:val="6868654D"/>
    <w:rsid w:val="68686AEA"/>
    <w:rsid w:val="686C65AE"/>
    <w:rsid w:val="687E1273"/>
    <w:rsid w:val="68805514"/>
    <w:rsid w:val="68805942"/>
    <w:rsid w:val="688D56F0"/>
    <w:rsid w:val="689F2DFF"/>
    <w:rsid w:val="68A67612"/>
    <w:rsid w:val="68A73C88"/>
    <w:rsid w:val="68B735CD"/>
    <w:rsid w:val="68CC52CB"/>
    <w:rsid w:val="68D836E6"/>
    <w:rsid w:val="68E62362"/>
    <w:rsid w:val="69020CEC"/>
    <w:rsid w:val="69316E2F"/>
    <w:rsid w:val="69347BAE"/>
    <w:rsid w:val="69452CBA"/>
    <w:rsid w:val="694E2071"/>
    <w:rsid w:val="69621324"/>
    <w:rsid w:val="696709DB"/>
    <w:rsid w:val="69724444"/>
    <w:rsid w:val="69766163"/>
    <w:rsid w:val="697A3B33"/>
    <w:rsid w:val="69833542"/>
    <w:rsid w:val="6985191D"/>
    <w:rsid w:val="698E07D2"/>
    <w:rsid w:val="69900622"/>
    <w:rsid w:val="69A53B2F"/>
    <w:rsid w:val="69A73E94"/>
    <w:rsid w:val="69D44760"/>
    <w:rsid w:val="69F128F9"/>
    <w:rsid w:val="69F85A09"/>
    <w:rsid w:val="69F85FA8"/>
    <w:rsid w:val="6A161CAA"/>
    <w:rsid w:val="6A1E0CE9"/>
    <w:rsid w:val="6A2F1733"/>
    <w:rsid w:val="6A347533"/>
    <w:rsid w:val="6A4D3751"/>
    <w:rsid w:val="6A520EC7"/>
    <w:rsid w:val="6A5F2753"/>
    <w:rsid w:val="6A694D9B"/>
    <w:rsid w:val="6A7B0827"/>
    <w:rsid w:val="6A7F28CF"/>
    <w:rsid w:val="6A8A0351"/>
    <w:rsid w:val="6A9701A5"/>
    <w:rsid w:val="6AB221BD"/>
    <w:rsid w:val="6ABF51DC"/>
    <w:rsid w:val="6AC63F9C"/>
    <w:rsid w:val="6ACA475A"/>
    <w:rsid w:val="6ACE312D"/>
    <w:rsid w:val="6AE14931"/>
    <w:rsid w:val="6AE21919"/>
    <w:rsid w:val="6AF87E20"/>
    <w:rsid w:val="6AFE3735"/>
    <w:rsid w:val="6AFE552F"/>
    <w:rsid w:val="6B00125C"/>
    <w:rsid w:val="6B013226"/>
    <w:rsid w:val="6B0625EA"/>
    <w:rsid w:val="6B1125AB"/>
    <w:rsid w:val="6B193C07"/>
    <w:rsid w:val="6B2511B9"/>
    <w:rsid w:val="6B2F38EF"/>
    <w:rsid w:val="6B311339"/>
    <w:rsid w:val="6B322639"/>
    <w:rsid w:val="6B3B592A"/>
    <w:rsid w:val="6B43383E"/>
    <w:rsid w:val="6B4E24B7"/>
    <w:rsid w:val="6B7439F8"/>
    <w:rsid w:val="6B770497"/>
    <w:rsid w:val="6B8E4AB9"/>
    <w:rsid w:val="6B954DCD"/>
    <w:rsid w:val="6B970FE0"/>
    <w:rsid w:val="6B9D6CA0"/>
    <w:rsid w:val="6BA231D1"/>
    <w:rsid w:val="6BA37E39"/>
    <w:rsid w:val="6BAE5658"/>
    <w:rsid w:val="6BB013B0"/>
    <w:rsid w:val="6BC3014B"/>
    <w:rsid w:val="6BCA79DB"/>
    <w:rsid w:val="6BD44496"/>
    <w:rsid w:val="6BD8740B"/>
    <w:rsid w:val="6BD9765A"/>
    <w:rsid w:val="6BDB493E"/>
    <w:rsid w:val="6BE02C1E"/>
    <w:rsid w:val="6BE413B1"/>
    <w:rsid w:val="6BE4292B"/>
    <w:rsid w:val="6BFA214F"/>
    <w:rsid w:val="6C1A1332"/>
    <w:rsid w:val="6C452EA8"/>
    <w:rsid w:val="6C4B23E7"/>
    <w:rsid w:val="6C517895"/>
    <w:rsid w:val="6C551A36"/>
    <w:rsid w:val="6C636C38"/>
    <w:rsid w:val="6C6741D9"/>
    <w:rsid w:val="6C6F4121"/>
    <w:rsid w:val="6C753B7E"/>
    <w:rsid w:val="6C855A6B"/>
    <w:rsid w:val="6C8E573D"/>
    <w:rsid w:val="6C97799E"/>
    <w:rsid w:val="6CA43617"/>
    <w:rsid w:val="6CB53E1C"/>
    <w:rsid w:val="6CBD26D6"/>
    <w:rsid w:val="6CC03682"/>
    <w:rsid w:val="6CCD5A2C"/>
    <w:rsid w:val="6CD14D80"/>
    <w:rsid w:val="6CDB1A37"/>
    <w:rsid w:val="6CF2009D"/>
    <w:rsid w:val="6D234B75"/>
    <w:rsid w:val="6D3E449E"/>
    <w:rsid w:val="6D3F4BAE"/>
    <w:rsid w:val="6D4757FD"/>
    <w:rsid w:val="6D5024EA"/>
    <w:rsid w:val="6D527D69"/>
    <w:rsid w:val="6D5D7F13"/>
    <w:rsid w:val="6D8D5960"/>
    <w:rsid w:val="6DA6580C"/>
    <w:rsid w:val="6DB34098"/>
    <w:rsid w:val="6DB545B6"/>
    <w:rsid w:val="6DBF1702"/>
    <w:rsid w:val="6DBF20B5"/>
    <w:rsid w:val="6DC206D4"/>
    <w:rsid w:val="6DE02FB4"/>
    <w:rsid w:val="6DED488A"/>
    <w:rsid w:val="6DF577BD"/>
    <w:rsid w:val="6DF84061"/>
    <w:rsid w:val="6E02353D"/>
    <w:rsid w:val="6E045247"/>
    <w:rsid w:val="6E24004A"/>
    <w:rsid w:val="6E257C66"/>
    <w:rsid w:val="6E3370FC"/>
    <w:rsid w:val="6E514CED"/>
    <w:rsid w:val="6E5A3EE0"/>
    <w:rsid w:val="6E674159"/>
    <w:rsid w:val="6E7D2524"/>
    <w:rsid w:val="6E8E6C0A"/>
    <w:rsid w:val="6E9F6FDD"/>
    <w:rsid w:val="6EB563D5"/>
    <w:rsid w:val="6EB90D41"/>
    <w:rsid w:val="6EC2404C"/>
    <w:rsid w:val="6ECB3DD8"/>
    <w:rsid w:val="6ED92677"/>
    <w:rsid w:val="6EE74C0A"/>
    <w:rsid w:val="6EE756FF"/>
    <w:rsid w:val="6EF7328C"/>
    <w:rsid w:val="6F0F78DF"/>
    <w:rsid w:val="6F104249"/>
    <w:rsid w:val="6F1D5412"/>
    <w:rsid w:val="6F225983"/>
    <w:rsid w:val="6F2B0871"/>
    <w:rsid w:val="6F455CA6"/>
    <w:rsid w:val="6F4F27B2"/>
    <w:rsid w:val="6F5A4B86"/>
    <w:rsid w:val="6F5F10A7"/>
    <w:rsid w:val="6F777BE1"/>
    <w:rsid w:val="6F8D16E8"/>
    <w:rsid w:val="6FA85E7A"/>
    <w:rsid w:val="6FAD3037"/>
    <w:rsid w:val="6FAF14A2"/>
    <w:rsid w:val="6FB20621"/>
    <w:rsid w:val="6FB72105"/>
    <w:rsid w:val="6FCA1E38"/>
    <w:rsid w:val="6FD20CED"/>
    <w:rsid w:val="6FDA0DCA"/>
    <w:rsid w:val="6FE81DC6"/>
    <w:rsid w:val="6FEA4288"/>
    <w:rsid w:val="6FFC5590"/>
    <w:rsid w:val="700232C0"/>
    <w:rsid w:val="70074ACA"/>
    <w:rsid w:val="70102D1C"/>
    <w:rsid w:val="701A4658"/>
    <w:rsid w:val="702E58F6"/>
    <w:rsid w:val="703648EE"/>
    <w:rsid w:val="703D1F32"/>
    <w:rsid w:val="703E71F2"/>
    <w:rsid w:val="70581054"/>
    <w:rsid w:val="706D1DD0"/>
    <w:rsid w:val="70751B2B"/>
    <w:rsid w:val="707825F6"/>
    <w:rsid w:val="70856B87"/>
    <w:rsid w:val="709760D6"/>
    <w:rsid w:val="70990223"/>
    <w:rsid w:val="709B1815"/>
    <w:rsid w:val="709D4365"/>
    <w:rsid w:val="70B07280"/>
    <w:rsid w:val="70BC2AB1"/>
    <w:rsid w:val="70C20D61"/>
    <w:rsid w:val="70C706C7"/>
    <w:rsid w:val="70CD7E32"/>
    <w:rsid w:val="70D527EE"/>
    <w:rsid w:val="70DE50FD"/>
    <w:rsid w:val="70E91155"/>
    <w:rsid w:val="70FC6645"/>
    <w:rsid w:val="71057F44"/>
    <w:rsid w:val="710F044A"/>
    <w:rsid w:val="710F5D77"/>
    <w:rsid w:val="711C0290"/>
    <w:rsid w:val="71283DB6"/>
    <w:rsid w:val="713B2F9B"/>
    <w:rsid w:val="7141437C"/>
    <w:rsid w:val="7157594D"/>
    <w:rsid w:val="715B5300"/>
    <w:rsid w:val="71614A8C"/>
    <w:rsid w:val="7162172A"/>
    <w:rsid w:val="716360A0"/>
    <w:rsid w:val="71792EFC"/>
    <w:rsid w:val="71795CC5"/>
    <w:rsid w:val="719B053C"/>
    <w:rsid w:val="71A03BFE"/>
    <w:rsid w:val="71AE6EE0"/>
    <w:rsid w:val="71B83415"/>
    <w:rsid w:val="71C456D6"/>
    <w:rsid w:val="71CF7E6C"/>
    <w:rsid w:val="71D27F8A"/>
    <w:rsid w:val="71DF712C"/>
    <w:rsid w:val="71F25823"/>
    <w:rsid w:val="71FC2AE1"/>
    <w:rsid w:val="72155F5F"/>
    <w:rsid w:val="721E22B7"/>
    <w:rsid w:val="722463DF"/>
    <w:rsid w:val="722F2426"/>
    <w:rsid w:val="72334200"/>
    <w:rsid w:val="723A1D75"/>
    <w:rsid w:val="72405BF5"/>
    <w:rsid w:val="724A3704"/>
    <w:rsid w:val="724B27C2"/>
    <w:rsid w:val="72553024"/>
    <w:rsid w:val="725B16FF"/>
    <w:rsid w:val="725F032D"/>
    <w:rsid w:val="72632AC5"/>
    <w:rsid w:val="726D04D2"/>
    <w:rsid w:val="726D2E26"/>
    <w:rsid w:val="726E11A1"/>
    <w:rsid w:val="726E322A"/>
    <w:rsid w:val="729561C9"/>
    <w:rsid w:val="72974CCA"/>
    <w:rsid w:val="729A7419"/>
    <w:rsid w:val="72AC1CC9"/>
    <w:rsid w:val="72B82D4E"/>
    <w:rsid w:val="72BB4A8B"/>
    <w:rsid w:val="72C20DE5"/>
    <w:rsid w:val="72D91ED3"/>
    <w:rsid w:val="72DE4807"/>
    <w:rsid w:val="72EB01E4"/>
    <w:rsid w:val="72FC67AC"/>
    <w:rsid w:val="73122968"/>
    <w:rsid w:val="73130931"/>
    <w:rsid w:val="731633A8"/>
    <w:rsid w:val="73173FD6"/>
    <w:rsid w:val="731F5D5E"/>
    <w:rsid w:val="73286E4A"/>
    <w:rsid w:val="73334198"/>
    <w:rsid w:val="73377AE5"/>
    <w:rsid w:val="734D30F1"/>
    <w:rsid w:val="73530396"/>
    <w:rsid w:val="73605D7B"/>
    <w:rsid w:val="737D225D"/>
    <w:rsid w:val="738402C2"/>
    <w:rsid w:val="738B3C5F"/>
    <w:rsid w:val="73926CD9"/>
    <w:rsid w:val="73AA5960"/>
    <w:rsid w:val="73AA61BD"/>
    <w:rsid w:val="73BA21C4"/>
    <w:rsid w:val="73C51AD5"/>
    <w:rsid w:val="73E60D92"/>
    <w:rsid w:val="73EE7A6A"/>
    <w:rsid w:val="73F35884"/>
    <w:rsid w:val="73FB4172"/>
    <w:rsid w:val="74017E86"/>
    <w:rsid w:val="740B58DD"/>
    <w:rsid w:val="740E3021"/>
    <w:rsid w:val="740F6E0E"/>
    <w:rsid w:val="741A0C83"/>
    <w:rsid w:val="741C41A7"/>
    <w:rsid w:val="741E793C"/>
    <w:rsid w:val="745E3944"/>
    <w:rsid w:val="74641217"/>
    <w:rsid w:val="746A64B4"/>
    <w:rsid w:val="746D05CC"/>
    <w:rsid w:val="74767411"/>
    <w:rsid w:val="748D108A"/>
    <w:rsid w:val="74A0760B"/>
    <w:rsid w:val="74AA2750"/>
    <w:rsid w:val="74B54AF0"/>
    <w:rsid w:val="74BD1F6B"/>
    <w:rsid w:val="74C45833"/>
    <w:rsid w:val="74CE72E9"/>
    <w:rsid w:val="74D30172"/>
    <w:rsid w:val="74D37FBD"/>
    <w:rsid w:val="74D53759"/>
    <w:rsid w:val="74DA3A60"/>
    <w:rsid w:val="74EF55C9"/>
    <w:rsid w:val="74F50902"/>
    <w:rsid w:val="74F6547D"/>
    <w:rsid w:val="74F92EC6"/>
    <w:rsid w:val="750467FF"/>
    <w:rsid w:val="751B4DE5"/>
    <w:rsid w:val="7521074C"/>
    <w:rsid w:val="752B4E87"/>
    <w:rsid w:val="75377B2F"/>
    <w:rsid w:val="753A1CA6"/>
    <w:rsid w:val="754721B3"/>
    <w:rsid w:val="7578190E"/>
    <w:rsid w:val="757C5746"/>
    <w:rsid w:val="757E0439"/>
    <w:rsid w:val="7598314A"/>
    <w:rsid w:val="75A80D8F"/>
    <w:rsid w:val="75B73ED4"/>
    <w:rsid w:val="75C9337E"/>
    <w:rsid w:val="75E347C9"/>
    <w:rsid w:val="75F4520A"/>
    <w:rsid w:val="75F47C0F"/>
    <w:rsid w:val="761050C4"/>
    <w:rsid w:val="76126746"/>
    <w:rsid w:val="76171B4F"/>
    <w:rsid w:val="761B33ED"/>
    <w:rsid w:val="7621477C"/>
    <w:rsid w:val="7635099D"/>
    <w:rsid w:val="763F731E"/>
    <w:rsid w:val="76453DDC"/>
    <w:rsid w:val="764E76FC"/>
    <w:rsid w:val="766703E1"/>
    <w:rsid w:val="7680057D"/>
    <w:rsid w:val="76843EEF"/>
    <w:rsid w:val="7689738E"/>
    <w:rsid w:val="768B274A"/>
    <w:rsid w:val="768D2EAF"/>
    <w:rsid w:val="769B3370"/>
    <w:rsid w:val="769E1AB5"/>
    <w:rsid w:val="76C67FAB"/>
    <w:rsid w:val="76D52DCD"/>
    <w:rsid w:val="76EA7241"/>
    <w:rsid w:val="76EB4C99"/>
    <w:rsid w:val="76F17991"/>
    <w:rsid w:val="76FB4AC0"/>
    <w:rsid w:val="770659D2"/>
    <w:rsid w:val="770C226C"/>
    <w:rsid w:val="771B2570"/>
    <w:rsid w:val="77292A1C"/>
    <w:rsid w:val="772B1835"/>
    <w:rsid w:val="772C579E"/>
    <w:rsid w:val="77474E30"/>
    <w:rsid w:val="774A4F22"/>
    <w:rsid w:val="774C5829"/>
    <w:rsid w:val="77762421"/>
    <w:rsid w:val="778107CA"/>
    <w:rsid w:val="779C055E"/>
    <w:rsid w:val="779E6AAA"/>
    <w:rsid w:val="77A81F5A"/>
    <w:rsid w:val="77A86B72"/>
    <w:rsid w:val="77AE7ED8"/>
    <w:rsid w:val="77B56B1F"/>
    <w:rsid w:val="77C52934"/>
    <w:rsid w:val="77CE5F40"/>
    <w:rsid w:val="77D21998"/>
    <w:rsid w:val="77D96380"/>
    <w:rsid w:val="77E141C3"/>
    <w:rsid w:val="77E43CB3"/>
    <w:rsid w:val="77F27BDF"/>
    <w:rsid w:val="780F09F4"/>
    <w:rsid w:val="78103FCD"/>
    <w:rsid w:val="78112733"/>
    <w:rsid w:val="782A5B6A"/>
    <w:rsid w:val="78373D4A"/>
    <w:rsid w:val="783C1130"/>
    <w:rsid w:val="7840538D"/>
    <w:rsid w:val="786054E2"/>
    <w:rsid w:val="78760DAF"/>
    <w:rsid w:val="78931EF6"/>
    <w:rsid w:val="789E2B8B"/>
    <w:rsid w:val="78A70DA5"/>
    <w:rsid w:val="78A90480"/>
    <w:rsid w:val="78AB007A"/>
    <w:rsid w:val="78AD22F7"/>
    <w:rsid w:val="78D13F16"/>
    <w:rsid w:val="78D540B7"/>
    <w:rsid w:val="78E952FE"/>
    <w:rsid w:val="78FC1E5A"/>
    <w:rsid w:val="78FE478C"/>
    <w:rsid w:val="790003DB"/>
    <w:rsid w:val="79181E66"/>
    <w:rsid w:val="791B1956"/>
    <w:rsid w:val="791B3704"/>
    <w:rsid w:val="791F528E"/>
    <w:rsid w:val="792702FB"/>
    <w:rsid w:val="792B7DEB"/>
    <w:rsid w:val="795A422D"/>
    <w:rsid w:val="795C61F7"/>
    <w:rsid w:val="796763D4"/>
    <w:rsid w:val="796E6A4A"/>
    <w:rsid w:val="797A41B9"/>
    <w:rsid w:val="79850083"/>
    <w:rsid w:val="79977BFF"/>
    <w:rsid w:val="799960B8"/>
    <w:rsid w:val="799A0ACD"/>
    <w:rsid w:val="799F4335"/>
    <w:rsid w:val="79A0293B"/>
    <w:rsid w:val="79A12F67"/>
    <w:rsid w:val="79AE086D"/>
    <w:rsid w:val="79B8163E"/>
    <w:rsid w:val="79D950CA"/>
    <w:rsid w:val="79E14242"/>
    <w:rsid w:val="79E62379"/>
    <w:rsid w:val="79EE0E19"/>
    <w:rsid w:val="79F0269B"/>
    <w:rsid w:val="79F07E9B"/>
    <w:rsid w:val="79FC7063"/>
    <w:rsid w:val="7A011260"/>
    <w:rsid w:val="7A03546E"/>
    <w:rsid w:val="7A04063C"/>
    <w:rsid w:val="7A0571A4"/>
    <w:rsid w:val="7A145BE2"/>
    <w:rsid w:val="7A17445F"/>
    <w:rsid w:val="7A1B20D8"/>
    <w:rsid w:val="7A1D1878"/>
    <w:rsid w:val="7A204A56"/>
    <w:rsid w:val="7A24483B"/>
    <w:rsid w:val="7A291E51"/>
    <w:rsid w:val="7A302ACE"/>
    <w:rsid w:val="7A364017"/>
    <w:rsid w:val="7A383CC6"/>
    <w:rsid w:val="7A647F83"/>
    <w:rsid w:val="7A8265E1"/>
    <w:rsid w:val="7A992664"/>
    <w:rsid w:val="7A9A3FF8"/>
    <w:rsid w:val="7AB06E64"/>
    <w:rsid w:val="7AB16C5B"/>
    <w:rsid w:val="7ABC0D19"/>
    <w:rsid w:val="7AF72E69"/>
    <w:rsid w:val="7B0A65E0"/>
    <w:rsid w:val="7B182E53"/>
    <w:rsid w:val="7B30439D"/>
    <w:rsid w:val="7B325674"/>
    <w:rsid w:val="7B390346"/>
    <w:rsid w:val="7B4D32D0"/>
    <w:rsid w:val="7B4D7500"/>
    <w:rsid w:val="7B686D42"/>
    <w:rsid w:val="7B6B15CE"/>
    <w:rsid w:val="7B722DAC"/>
    <w:rsid w:val="7B7B0A34"/>
    <w:rsid w:val="7B841746"/>
    <w:rsid w:val="7B8927E5"/>
    <w:rsid w:val="7B8D2A53"/>
    <w:rsid w:val="7B8F5968"/>
    <w:rsid w:val="7BA2010D"/>
    <w:rsid w:val="7BA662CC"/>
    <w:rsid w:val="7BAA4093"/>
    <w:rsid w:val="7BC22427"/>
    <w:rsid w:val="7BC76DDA"/>
    <w:rsid w:val="7BDD1BC3"/>
    <w:rsid w:val="7BEC2FA1"/>
    <w:rsid w:val="7C30700F"/>
    <w:rsid w:val="7C347525"/>
    <w:rsid w:val="7C352D2F"/>
    <w:rsid w:val="7C3C2310"/>
    <w:rsid w:val="7C3E32C1"/>
    <w:rsid w:val="7C413284"/>
    <w:rsid w:val="7C521AF4"/>
    <w:rsid w:val="7C5C24AE"/>
    <w:rsid w:val="7C641832"/>
    <w:rsid w:val="7C686C61"/>
    <w:rsid w:val="7C6C5AC7"/>
    <w:rsid w:val="7C8350B7"/>
    <w:rsid w:val="7C9B72D5"/>
    <w:rsid w:val="7C9C68BD"/>
    <w:rsid w:val="7CAB2FF1"/>
    <w:rsid w:val="7CB846E2"/>
    <w:rsid w:val="7CC6544B"/>
    <w:rsid w:val="7CC83BA3"/>
    <w:rsid w:val="7CFA3AFB"/>
    <w:rsid w:val="7D011CA4"/>
    <w:rsid w:val="7D0239FF"/>
    <w:rsid w:val="7D060228"/>
    <w:rsid w:val="7D1D4E72"/>
    <w:rsid w:val="7D203F5F"/>
    <w:rsid w:val="7D407BDD"/>
    <w:rsid w:val="7D4635C9"/>
    <w:rsid w:val="7D5E40CD"/>
    <w:rsid w:val="7D6254AB"/>
    <w:rsid w:val="7D660289"/>
    <w:rsid w:val="7D660334"/>
    <w:rsid w:val="7D731BC6"/>
    <w:rsid w:val="7D787377"/>
    <w:rsid w:val="7D830AB0"/>
    <w:rsid w:val="7D973EB5"/>
    <w:rsid w:val="7DA659A2"/>
    <w:rsid w:val="7DA912DF"/>
    <w:rsid w:val="7DB62E02"/>
    <w:rsid w:val="7DCD56F2"/>
    <w:rsid w:val="7DE555B1"/>
    <w:rsid w:val="7DE72A55"/>
    <w:rsid w:val="7DED25B6"/>
    <w:rsid w:val="7E040A23"/>
    <w:rsid w:val="7E1F3A98"/>
    <w:rsid w:val="7E2146E4"/>
    <w:rsid w:val="7E256A94"/>
    <w:rsid w:val="7E2B43EA"/>
    <w:rsid w:val="7E33504C"/>
    <w:rsid w:val="7E424159"/>
    <w:rsid w:val="7E65658A"/>
    <w:rsid w:val="7E71079D"/>
    <w:rsid w:val="7E7A0ECD"/>
    <w:rsid w:val="7E9B5635"/>
    <w:rsid w:val="7E9F0934"/>
    <w:rsid w:val="7EA85A3A"/>
    <w:rsid w:val="7EB2505A"/>
    <w:rsid w:val="7EB47A92"/>
    <w:rsid w:val="7EBC2A31"/>
    <w:rsid w:val="7ECB797B"/>
    <w:rsid w:val="7EE34CC4"/>
    <w:rsid w:val="7EE56CE9"/>
    <w:rsid w:val="7EF1252B"/>
    <w:rsid w:val="7F001CE7"/>
    <w:rsid w:val="7F01514B"/>
    <w:rsid w:val="7F0D3AEF"/>
    <w:rsid w:val="7F164350"/>
    <w:rsid w:val="7F1D01D6"/>
    <w:rsid w:val="7F3948E4"/>
    <w:rsid w:val="7F3B68AE"/>
    <w:rsid w:val="7F4A08A0"/>
    <w:rsid w:val="7F4D3F21"/>
    <w:rsid w:val="7F4D4B3F"/>
    <w:rsid w:val="7F595528"/>
    <w:rsid w:val="7F6174DA"/>
    <w:rsid w:val="7F6D3546"/>
    <w:rsid w:val="7F854B81"/>
    <w:rsid w:val="7F97096B"/>
    <w:rsid w:val="7FA47445"/>
    <w:rsid w:val="7FB108D2"/>
    <w:rsid w:val="7FBB3CBB"/>
    <w:rsid w:val="7FC962FE"/>
    <w:rsid w:val="7FDD35A0"/>
    <w:rsid w:val="7FDE47EC"/>
    <w:rsid w:val="7FE47E50"/>
    <w:rsid w:val="7FEC31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qFormat="1"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4">
    <w:name w:val="heading 2"/>
    <w:basedOn w:val="1"/>
    <w:next w:val="1"/>
    <w:unhideWhenUsed/>
    <w:qFormat/>
    <w:uiPriority w:val="0"/>
    <w:pPr>
      <w:keepNext/>
      <w:keepLines/>
      <w:outlineLvl w:val="1"/>
    </w:pPr>
    <w:rPr>
      <w:b/>
      <w:sz w:val="28"/>
      <w:szCs w:val="32"/>
    </w:rPr>
  </w:style>
  <w:style w:type="paragraph" w:styleId="5">
    <w:name w:val="heading 3"/>
    <w:basedOn w:val="1"/>
    <w:next w:val="1"/>
    <w:qFormat/>
    <w:uiPriority w:val="0"/>
    <w:pPr>
      <w:keepNext/>
      <w:keepLines/>
      <w:numPr>
        <w:ilvl w:val="2"/>
        <w:numId w:val="1"/>
      </w:numPr>
      <w:adjustRightInd w:val="0"/>
      <w:spacing w:before="260" w:after="260" w:line="416" w:lineRule="atLeast"/>
      <w:textAlignment w:val="baseline"/>
      <w:outlineLvl w:val="2"/>
    </w:pPr>
    <w:rPr>
      <w:kern w:val="0"/>
      <w:sz w:val="32"/>
    </w:rPr>
  </w:style>
  <w:style w:type="paragraph" w:styleId="6">
    <w:name w:val="heading 4"/>
    <w:basedOn w:val="1"/>
    <w:next w:val="1"/>
    <w:qFormat/>
    <w:uiPriority w:val="1"/>
    <w:pPr>
      <w:outlineLvl w:val="3"/>
    </w:pPr>
    <w:rPr>
      <w:rFonts w:ascii="宋体" w:hAnsi="宋体" w:cs="宋体"/>
      <w:b/>
      <w:bCs/>
      <w:sz w:val="24"/>
      <w:lang w:val="zh-CN" w:bidi="zh-CN"/>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61"/>
    <w:qFormat/>
    <w:uiPriority w:val="0"/>
    <w:pPr>
      <w:widowControl/>
      <w:snapToGrid w:val="0"/>
      <w:spacing w:before="60" w:after="160" w:line="259" w:lineRule="auto"/>
      <w:ind w:right="113"/>
    </w:pPr>
    <w:rPr>
      <w:kern w:val="0"/>
      <w:sz w:val="18"/>
      <w:szCs w:val="20"/>
    </w:rPr>
  </w:style>
  <w:style w:type="paragraph" w:styleId="7">
    <w:name w:val="List 3"/>
    <w:basedOn w:val="8"/>
    <w:next w:val="8"/>
    <w:qFormat/>
    <w:uiPriority w:val="0"/>
    <w:pPr>
      <w:numPr>
        <w:ilvl w:val="4"/>
        <w:numId w:val="2"/>
      </w:numPr>
      <w:ind w:left="425"/>
      <w:jc w:val="center"/>
    </w:pPr>
    <w:rPr>
      <w:b/>
      <w:szCs w:val="20"/>
    </w:rPr>
  </w:style>
  <w:style w:type="paragraph" w:customStyle="1" w:styleId="8">
    <w:name w:val="1 正文"/>
    <w:basedOn w:val="1"/>
    <w:qFormat/>
    <w:uiPriority w:val="0"/>
    <w:pPr>
      <w:adjustRightInd w:val="0"/>
      <w:snapToGrid w:val="0"/>
      <w:ind w:firstLine="200"/>
    </w:pPr>
    <w:rPr>
      <w:rFonts w:eastAsia="仿宋_GB2312"/>
    </w:rPr>
  </w:style>
  <w:style w:type="paragraph" w:styleId="9">
    <w:name w:val="E-mail Signature"/>
    <w:basedOn w:val="1"/>
    <w:next w:val="10"/>
    <w:qFormat/>
    <w:uiPriority w:val="0"/>
    <w:pPr>
      <w:spacing w:line="500" w:lineRule="exact"/>
    </w:pPr>
    <w:rPr>
      <w:rFonts w:ascii="仿宋_GB2312" w:eastAsia="仿宋_GB2312"/>
      <w:sz w:val="28"/>
      <w:szCs w:val="20"/>
    </w:rPr>
  </w:style>
  <w:style w:type="paragraph" w:customStyle="1" w:styleId="10">
    <w:name w:val="文章"/>
    <w:basedOn w:val="11"/>
    <w:next w:val="13"/>
    <w:qFormat/>
    <w:uiPriority w:val="0"/>
    <w:pPr>
      <w:tabs>
        <w:tab w:val="left" w:pos="1020"/>
      </w:tabs>
      <w:spacing w:before="100" w:beforeAutospacing="1" w:after="100" w:afterAutospacing="1"/>
      <w:ind w:firstLine="200" w:firstLineChars="200"/>
    </w:pPr>
    <w:rPr>
      <w:rFonts w:ascii="Li Super" w:hAnsi="Li Super" w:eastAsia="Tahoma" w:cs="TimesNewRoman"/>
      <w:szCs w:val="24"/>
    </w:rPr>
  </w:style>
  <w:style w:type="paragraph" w:styleId="11">
    <w:name w:val="Body Text Indent"/>
    <w:basedOn w:val="1"/>
    <w:next w:val="12"/>
    <w:link w:val="62"/>
    <w:qFormat/>
    <w:uiPriority w:val="0"/>
    <w:pPr>
      <w:spacing w:after="120"/>
      <w:ind w:left="420" w:leftChars="200"/>
    </w:pPr>
    <w:rPr>
      <w:kern w:val="0"/>
      <w:sz w:val="24"/>
      <w:szCs w:val="20"/>
    </w:rPr>
  </w:style>
  <w:style w:type="paragraph" w:customStyle="1" w:styleId="12">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styleId="13">
    <w:name w:val="List"/>
    <w:basedOn w:val="1"/>
    <w:qFormat/>
    <w:uiPriority w:val="0"/>
    <w:pPr>
      <w:spacing w:line="360" w:lineRule="exact"/>
      <w:jc w:val="center"/>
    </w:pPr>
    <w:rPr>
      <w:rFonts w:ascii="仿宋_GB2312" w:eastAsia="仿宋_GB2312"/>
      <w:sz w:val="28"/>
    </w:rPr>
  </w:style>
  <w:style w:type="paragraph" w:styleId="14">
    <w:name w:val="Normal Indent"/>
    <w:basedOn w:val="1"/>
    <w:next w:val="1"/>
    <w:qFormat/>
    <w:uiPriority w:val="0"/>
    <w:pPr>
      <w:ind w:firstLine="420" w:firstLineChars="200"/>
    </w:pPr>
    <w:rPr>
      <w:rFonts w:ascii="宋体" w:hAnsi="宋体"/>
      <w:sz w:val="24"/>
    </w:rPr>
  </w:style>
  <w:style w:type="paragraph" w:styleId="15">
    <w:name w:val="annotation text"/>
    <w:basedOn w:val="1"/>
    <w:link w:val="60"/>
    <w:qFormat/>
    <w:uiPriority w:val="0"/>
    <w:pPr>
      <w:jc w:val="left"/>
    </w:pPr>
    <w:rPr>
      <w:kern w:val="0"/>
      <w:sz w:val="24"/>
      <w:szCs w:val="20"/>
    </w:rPr>
  </w:style>
  <w:style w:type="paragraph" w:styleId="16">
    <w:name w:val="Block Text"/>
    <w:basedOn w:val="1"/>
    <w:link w:val="63"/>
    <w:qFormat/>
    <w:uiPriority w:val="0"/>
    <w:pPr>
      <w:spacing w:after="120"/>
      <w:ind w:left="1440" w:right="1440"/>
    </w:pPr>
    <w:rPr>
      <w:rFonts w:ascii="宋体" w:hAnsi="宋体"/>
      <w:sz w:val="24"/>
    </w:rPr>
  </w:style>
  <w:style w:type="paragraph" w:styleId="17">
    <w:name w:val="List Bullet 2"/>
    <w:basedOn w:val="1"/>
    <w:next w:val="18"/>
    <w:qFormat/>
    <w:uiPriority w:val="0"/>
    <w:pPr>
      <w:numPr>
        <w:ilvl w:val="0"/>
        <w:numId w:val="3"/>
      </w:numPr>
    </w:pPr>
  </w:style>
  <w:style w:type="paragraph" w:customStyle="1" w:styleId="18">
    <w:name w:val="xl70"/>
    <w:basedOn w:val="1"/>
    <w:next w:val="19"/>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 w:val="20"/>
    </w:rPr>
  </w:style>
  <w:style w:type="paragraph" w:customStyle="1" w:styleId="19">
    <w:name w:val="正文缩进1"/>
    <w:basedOn w:val="1"/>
    <w:next w:val="20"/>
    <w:qFormat/>
    <w:uiPriority w:val="0"/>
    <w:pPr>
      <w:numPr>
        <w:ilvl w:val="1"/>
        <w:numId w:val="4"/>
      </w:numPr>
      <w:tabs>
        <w:tab w:val="clear" w:pos="576"/>
      </w:tabs>
      <w:spacing w:line="480" w:lineRule="exact"/>
      <w:ind w:left="0" w:firstLine="560" w:firstLineChars="200"/>
    </w:pPr>
    <w:rPr>
      <w:rFonts w:ascii="仿宋_GB2312" w:hAnsi="宋体" w:eastAsia="仿宋_GB2312"/>
      <w:sz w:val="28"/>
    </w:rPr>
  </w:style>
  <w:style w:type="paragraph" w:customStyle="1" w:styleId="20">
    <w:name w:val="td1"/>
    <w:basedOn w:val="1"/>
    <w:next w:val="1"/>
    <w:qFormat/>
    <w:uiPriority w:val="0"/>
    <w:pPr>
      <w:widowControl/>
      <w:spacing w:before="280" w:after="280" w:line="300" w:lineRule="atLeast"/>
      <w:ind w:firstLine="200"/>
    </w:pPr>
    <w:rPr>
      <w:color w:val="000000"/>
      <w:sz w:val="18"/>
    </w:rPr>
  </w:style>
  <w:style w:type="paragraph" w:styleId="21">
    <w:name w:val="Plain Text"/>
    <w:basedOn w:val="1"/>
    <w:qFormat/>
    <w:uiPriority w:val="0"/>
    <w:rPr>
      <w:rFonts w:ascii="宋体" w:hAnsi="Courier New"/>
      <w:szCs w:val="22"/>
    </w:rPr>
  </w:style>
  <w:style w:type="paragraph" w:styleId="22">
    <w:name w:val="Date"/>
    <w:basedOn w:val="1"/>
    <w:next w:val="1"/>
    <w:link w:val="64"/>
    <w:qFormat/>
    <w:uiPriority w:val="0"/>
    <w:pPr>
      <w:ind w:left="100" w:leftChars="2500"/>
    </w:pPr>
    <w:rPr>
      <w:kern w:val="0"/>
      <w:sz w:val="24"/>
      <w:szCs w:val="20"/>
    </w:rPr>
  </w:style>
  <w:style w:type="paragraph" w:styleId="23">
    <w:name w:val="Body Text Indent 2"/>
    <w:basedOn w:val="1"/>
    <w:next w:val="24"/>
    <w:qFormat/>
    <w:uiPriority w:val="0"/>
    <w:pPr>
      <w:spacing w:after="120" w:line="480" w:lineRule="auto"/>
      <w:ind w:left="420" w:leftChars="200"/>
    </w:pPr>
  </w:style>
  <w:style w:type="paragraph" w:customStyle="1" w:styleId="24">
    <w:name w:val="简单回函地址"/>
    <w:basedOn w:val="1"/>
    <w:next w:val="25"/>
    <w:qFormat/>
    <w:uiPriority w:val="0"/>
  </w:style>
  <w:style w:type="paragraph" w:customStyle="1" w:styleId="25">
    <w:name w:val="正文2"/>
    <w:basedOn w:val="1"/>
    <w:next w:val="14"/>
    <w:qFormat/>
    <w:uiPriority w:val="0"/>
    <w:pPr>
      <w:spacing w:line="360" w:lineRule="auto"/>
      <w:ind w:firstLine="200" w:firstLineChars="200"/>
    </w:pPr>
    <w:rPr>
      <w:sz w:val="24"/>
    </w:rPr>
  </w:style>
  <w:style w:type="paragraph" w:styleId="26">
    <w:name w:val="endnote text"/>
    <w:basedOn w:val="1"/>
    <w:unhideWhenUsed/>
    <w:qFormat/>
    <w:uiPriority w:val="0"/>
    <w:pPr>
      <w:snapToGrid w:val="0"/>
      <w:jc w:val="left"/>
    </w:pPr>
    <w:rPr>
      <w:rFonts w:ascii="Calibri" w:hAnsi="Calibri"/>
      <w:sz w:val="24"/>
      <w:szCs w:val="22"/>
    </w:rPr>
  </w:style>
  <w:style w:type="paragraph" w:styleId="27">
    <w:name w:val="Balloon Text"/>
    <w:basedOn w:val="1"/>
    <w:link w:val="65"/>
    <w:qFormat/>
    <w:uiPriority w:val="0"/>
    <w:rPr>
      <w:kern w:val="0"/>
      <w:sz w:val="18"/>
      <w:szCs w:val="20"/>
    </w:rPr>
  </w:style>
  <w:style w:type="paragraph" w:styleId="28">
    <w:name w:val="footer"/>
    <w:basedOn w:val="1"/>
    <w:link w:val="66"/>
    <w:qFormat/>
    <w:uiPriority w:val="0"/>
    <w:pPr>
      <w:tabs>
        <w:tab w:val="center" w:pos="4153"/>
        <w:tab w:val="right" w:pos="8306"/>
      </w:tabs>
      <w:snapToGrid w:val="0"/>
      <w:jc w:val="left"/>
    </w:pPr>
    <w:rPr>
      <w:kern w:val="0"/>
      <w:sz w:val="18"/>
      <w:szCs w:val="20"/>
    </w:rPr>
  </w:style>
  <w:style w:type="paragraph" w:styleId="29">
    <w:name w:val="header"/>
    <w:basedOn w:val="1"/>
    <w:next w:val="1"/>
    <w:link w:val="67"/>
    <w:qFormat/>
    <w:uiPriority w:val="0"/>
    <w:pPr>
      <w:pBdr>
        <w:bottom w:val="single" w:color="auto" w:sz="6" w:space="1"/>
      </w:pBdr>
      <w:tabs>
        <w:tab w:val="center" w:pos="4153"/>
        <w:tab w:val="right" w:pos="8306"/>
      </w:tabs>
      <w:snapToGrid w:val="0"/>
      <w:jc w:val="center"/>
    </w:pPr>
    <w:rPr>
      <w:kern w:val="0"/>
      <w:sz w:val="18"/>
      <w:szCs w:val="20"/>
    </w:rPr>
  </w:style>
  <w:style w:type="paragraph" w:styleId="30">
    <w:name w:val="Body Text Indent 3"/>
    <w:basedOn w:val="1"/>
    <w:qFormat/>
    <w:uiPriority w:val="0"/>
    <w:pPr>
      <w:spacing w:line="360" w:lineRule="auto"/>
      <w:ind w:firstLine="555"/>
    </w:pPr>
    <w:rPr>
      <w:rFonts w:ascii="宋体"/>
      <w:kern w:val="44"/>
      <w:sz w:val="24"/>
    </w:rPr>
  </w:style>
  <w:style w:type="paragraph" w:styleId="31">
    <w:name w:val="table of figures"/>
    <w:basedOn w:val="1"/>
    <w:next w:val="1"/>
    <w:unhideWhenUsed/>
    <w:qFormat/>
    <w:uiPriority w:val="0"/>
    <w:pPr>
      <w:ind w:left="200" w:leftChars="200" w:hanging="200" w:hangingChars="200"/>
    </w:pPr>
    <w:rPr>
      <w:rFonts w:hint="eastAsia"/>
      <w:szCs w:val="20"/>
    </w:rPr>
  </w:style>
  <w:style w:type="paragraph" w:styleId="32">
    <w:name w:val="toc 2"/>
    <w:basedOn w:val="1"/>
    <w:next w:val="9"/>
    <w:qFormat/>
    <w:uiPriority w:val="39"/>
    <w:pPr>
      <w:ind w:left="420" w:leftChars="200"/>
    </w:pPr>
  </w:style>
  <w:style w:type="paragraph" w:styleId="33">
    <w:name w:val="List 4"/>
    <w:basedOn w:val="1"/>
    <w:qFormat/>
    <w:uiPriority w:val="0"/>
    <w:pPr>
      <w:numPr>
        <w:ilvl w:val="4"/>
        <w:numId w:val="5"/>
      </w:numPr>
      <w:ind w:left="1680" w:hanging="420"/>
      <w:jc w:val="center"/>
    </w:pPr>
    <w:rPr>
      <w:rFonts w:ascii="Calibri" w:hAnsi="Calibri" w:eastAsia="Times New Roman"/>
      <w:b/>
      <w:szCs w:val="20"/>
    </w:rPr>
  </w:style>
  <w:style w:type="paragraph" w:styleId="34">
    <w:name w:val="Normal (Web)"/>
    <w:basedOn w:val="1"/>
    <w:link w:val="68"/>
    <w:qFormat/>
    <w:uiPriority w:val="0"/>
    <w:pPr>
      <w:widowControl/>
      <w:spacing w:before="100" w:beforeAutospacing="1" w:after="100" w:afterAutospacing="1"/>
      <w:jc w:val="left"/>
    </w:pPr>
    <w:rPr>
      <w:rFonts w:ascii="宋体" w:hAnsi="宋体"/>
      <w:kern w:val="0"/>
      <w:sz w:val="24"/>
      <w:szCs w:val="20"/>
    </w:rPr>
  </w:style>
  <w:style w:type="paragraph" w:styleId="35">
    <w:name w:val="annotation subject"/>
    <w:basedOn w:val="15"/>
    <w:next w:val="15"/>
    <w:link w:val="69"/>
    <w:qFormat/>
    <w:uiPriority w:val="0"/>
    <w:rPr>
      <w:b/>
    </w:rPr>
  </w:style>
  <w:style w:type="paragraph" w:styleId="36">
    <w:name w:val="Body Text First Indent"/>
    <w:basedOn w:val="2"/>
    <w:next w:val="1"/>
    <w:qFormat/>
    <w:uiPriority w:val="0"/>
    <w:pPr>
      <w:spacing w:after="120"/>
      <w:ind w:firstLine="420" w:firstLineChars="100"/>
    </w:pPr>
  </w:style>
  <w:style w:type="paragraph" w:styleId="37">
    <w:name w:val="Body Text First Indent 2"/>
    <w:basedOn w:val="11"/>
    <w:next w:val="11"/>
    <w:qFormat/>
    <w:uiPriority w:val="0"/>
    <w:pPr>
      <w:ind w:firstLine="420" w:firstLineChars="200"/>
    </w:pPr>
    <w:rPr>
      <w:sz w:val="21"/>
    </w:rPr>
  </w:style>
  <w:style w:type="table" w:styleId="39">
    <w:name w:val="Table Grid"/>
    <w:basedOn w:val="3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basedOn w:val="40"/>
    <w:qFormat/>
    <w:uiPriority w:val="0"/>
    <w:rPr>
      <w:b/>
    </w:rPr>
  </w:style>
  <w:style w:type="character" w:styleId="42">
    <w:name w:val="page number"/>
    <w:basedOn w:val="40"/>
    <w:qFormat/>
    <w:uiPriority w:val="0"/>
    <w:rPr>
      <w:rFonts w:ascii="Times New Roman" w:hAnsi="Times New Roman" w:eastAsia="宋体" w:cs="Times New Roman"/>
    </w:rPr>
  </w:style>
  <w:style w:type="character" w:styleId="43">
    <w:name w:val="FollowedHyperlink"/>
    <w:basedOn w:val="40"/>
    <w:qFormat/>
    <w:uiPriority w:val="0"/>
    <w:rPr>
      <w:color w:val="800080"/>
      <w:u w:val="none"/>
    </w:rPr>
  </w:style>
  <w:style w:type="character" w:styleId="44">
    <w:name w:val="Emphasis"/>
    <w:basedOn w:val="40"/>
    <w:qFormat/>
    <w:uiPriority w:val="0"/>
    <w:rPr>
      <w:vanish/>
    </w:rPr>
  </w:style>
  <w:style w:type="character" w:styleId="45">
    <w:name w:val="Hyperlink"/>
    <w:qFormat/>
    <w:uiPriority w:val="0"/>
    <w:rPr>
      <w:color w:val="0000FF"/>
      <w:u w:val="single"/>
    </w:rPr>
  </w:style>
  <w:style w:type="character" w:styleId="46">
    <w:name w:val="annotation reference"/>
    <w:basedOn w:val="40"/>
    <w:qFormat/>
    <w:uiPriority w:val="0"/>
    <w:rPr>
      <w:rFonts w:ascii="Times New Roman" w:hAnsi="Times New Roman" w:eastAsia="宋体" w:cs="Times New Roman"/>
      <w:sz w:val="21"/>
    </w:rPr>
  </w:style>
  <w:style w:type="paragraph" w:customStyle="1" w:styleId="47">
    <w:name w:val="Default"/>
    <w:basedOn w:val="48"/>
    <w:next w:val="1"/>
    <w:qFormat/>
    <w:uiPriority w:val="0"/>
    <w:pPr>
      <w:widowControl w:val="0"/>
      <w:autoSpaceDE w:val="0"/>
      <w:autoSpaceDN w:val="0"/>
      <w:adjustRightInd w:val="0"/>
    </w:pPr>
    <w:rPr>
      <w:rFonts w:ascii="宋体" w:cs="宋体"/>
      <w:color w:val="000000"/>
      <w:sz w:val="24"/>
    </w:rPr>
  </w:style>
  <w:style w:type="paragraph" w:customStyle="1" w:styleId="48">
    <w:name w:val="标题 段落4级"/>
    <w:qFormat/>
    <w:uiPriority w:val="0"/>
    <w:pPr>
      <w:spacing w:line="500" w:lineRule="exact"/>
      <w:outlineLvl w:val="3"/>
    </w:pPr>
    <w:rPr>
      <w:rFonts w:ascii="Calibri" w:hAnsi="Calibri" w:eastAsia="仿宋_GB2312" w:cs="Calibri"/>
      <w:b/>
      <w:kern w:val="2"/>
      <w:sz w:val="28"/>
      <w:szCs w:val="24"/>
      <w:lang w:val="en-US" w:eastAsia="zh-CN" w:bidi="ar-SA"/>
    </w:rPr>
  </w:style>
  <w:style w:type="paragraph" w:customStyle="1" w:styleId="49">
    <w:name w:val="Heading3"/>
    <w:basedOn w:val="1"/>
    <w:next w:val="1"/>
    <w:qFormat/>
    <w:uiPriority w:val="0"/>
    <w:pPr>
      <w:keepNext/>
      <w:keepLines/>
      <w:jc w:val="left"/>
      <w:textAlignment w:val="baseline"/>
    </w:pPr>
    <w:rPr>
      <w:rFonts w:ascii="Calibri" w:hAnsi="Calibri"/>
      <w:b/>
      <w:bCs/>
      <w:sz w:val="28"/>
      <w:szCs w:val="32"/>
    </w:rPr>
  </w:style>
  <w:style w:type="paragraph" w:customStyle="1" w:styleId="50">
    <w:name w:val="(文字) (文字)"/>
    <w:basedOn w:val="1"/>
    <w:qFormat/>
    <w:uiPriority w:val="99"/>
  </w:style>
  <w:style w:type="paragraph" w:customStyle="1" w:styleId="51">
    <w:name w:val="样式5"/>
    <w:basedOn w:val="52"/>
    <w:next w:val="26"/>
    <w:qFormat/>
    <w:uiPriority w:val="0"/>
    <w:pPr>
      <w:tabs>
        <w:tab w:val="left" w:pos="1020"/>
        <w:tab w:val="left" w:pos="4305"/>
      </w:tabs>
      <w:spacing w:line="360" w:lineRule="auto"/>
      <w:ind w:firstLine="510"/>
      <w:jc w:val="both"/>
    </w:pPr>
    <w:rPr>
      <w:rFonts w:ascii="Times New Roman" w:hAnsi="Times New Roman"/>
    </w:rPr>
  </w:style>
  <w:style w:type="paragraph" w:customStyle="1" w:styleId="52">
    <w:name w:val="样式12"/>
    <w:basedOn w:val="53"/>
    <w:qFormat/>
    <w:uiPriority w:val="0"/>
    <w:pPr>
      <w:tabs>
        <w:tab w:val="left" w:pos="1020"/>
        <w:tab w:val="left" w:pos="4305"/>
      </w:tabs>
      <w:ind w:firstLine="0"/>
      <w:jc w:val="center"/>
    </w:pPr>
    <w:rPr>
      <w:rFonts w:cs="Times New Roman"/>
      <w:b/>
      <w:color w:val="auto"/>
      <w:szCs w:val="20"/>
    </w:rPr>
  </w:style>
  <w:style w:type="paragraph" w:customStyle="1" w:styleId="53">
    <w:name w:val="表题31"/>
    <w:basedOn w:val="11"/>
    <w:qFormat/>
    <w:uiPriority w:val="0"/>
    <w:pPr>
      <w:tabs>
        <w:tab w:val="left" w:pos="1020"/>
        <w:tab w:val="left" w:pos="4305"/>
      </w:tabs>
      <w:snapToGrid w:val="0"/>
      <w:spacing w:after="0"/>
      <w:ind w:firstLine="561"/>
    </w:pPr>
    <w:rPr>
      <w:rFonts w:ascii="宋体" w:hAnsi="宋体" w:cs="宋体"/>
      <w:color w:val="000000"/>
      <w:kern w:val="2"/>
      <w:szCs w:val="24"/>
    </w:rPr>
  </w:style>
  <w:style w:type="paragraph" w:customStyle="1" w:styleId="54">
    <w:name w:val="文本"/>
    <w:basedOn w:val="1"/>
    <w:qFormat/>
    <w:uiPriority w:val="0"/>
    <w:pPr>
      <w:adjustRightInd w:val="0"/>
      <w:snapToGrid w:val="0"/>
      <w:spacing w:line="360" w:lineRule="auto"/>
      <w:ind w:firstLine="1446" w:firstLineChars="200"/>
    </w:pPr>
    <w:rPr>
      <w:sz w:val="24"/>
    </w:rPr>
  </w:style>
  <w:style w:type="paragraph" w:customStyle="1" w:styleId="55">
    <w:name w:val="纯文本1"/>
    <w:basedOn w:val="1"/>
    <w:qFormat/>
    <w:uiPriority w:val="0"/>
    <w:pPr>
      <w:adjustRightInd w:val="0"/>
      <w:jc w:val="center"/>
      <w:textAlignment w:val="baseline"/>
    </w:pPr>
    <w:rPr>
      <w:rFonts w:ascii="宋体" w:hAnsi="Courier New"/>
    </w:rPr>
  </w:style>
  <w:style w:type="paragraph" w:customStyle="1" w:styleId="56">
    <w:name w:val="样式35"/>
    <w:basedOn w:val="57"/>
    <w:next w:val="59"/>
    <w:qFormat/>
    <w:uiPriority w:val="0"/>
    <w:pPr>
      <w:tabs>
        <w:tab w:val="left" w:pos="0"/>
        <w:tab w:val="left" w:pos="360"/>
        <w:tab w:val="left" w:pos="420"/>
        <w:tab w:val="left" w:pos="540"/>
        <w:tab w:val="left" w:pos="567"/>
        <w:tab w:val="left" w:pos="1020"/>
        <w:tab w:val="left" w:pos="1260"/>
        <w:tab w:val="left" w:pos="4305"/>
      </w:tabs>
      <w:spacing w:line="312" w:lineRule="auto"/>
      <w:ind w:left="0" w:firstLine="567"/>
      <w:jc w:val="both"/>
    </w:pPr>
    <w:rPr>
      <w:rFonts w:ascii="宋体"/>
      <w:sz w:val="28"/>
    </w:rPr>
  </w:style>
  <w:style w:type="paragraph" w:customStyle="1" w:styleId="57">
    <w:name w:val="样式26"/>
    <w:basedOn w:val="58"/>
    <w:qFormat/>
    <w:uiPriority w:val="0"/>
    <w:pPr>
      <w:tabs>
        <w:tab w:val="left" w:pos="0"/>
        <w:tab w:val="left" w:pos="360"/>
        <w:tab w:val="left" w:pos="420"/>
        <w:tab w:val="left" w:pos="540"/>
        <w:tab w:val="left" w:pos="567"/>
        <w:tab w:val="left" w:pos="1020"/>
        <w:tab w:val="left" w:pos="1260"/>
        <w:tab w:val="left" w:pos="4305"/>
      </w:tabs>
    </w:pPr>
  </w:style>
  <w:style w:type="paragraph" w:customStyle="1" w:styleId="58">
    <w:name w:val="样式21"/>
    <w:basedOn w:val="51"/>
    <w:qFormat/>
    <w:uiPriority w:val="0"/>
    <w:pPr>
      <w:adjustRightInd w:val="0"/>
      <w:jc w:val="center"/>
      <w:textAlignment w:val="baseline"/>
      <w:outlineLvl w:val="0"/>
    </w:pPr>
    <w:rPr>
      <w:sz w:val="21"/>
    </w:rPr>
  </w:style>
  <w:style w:type="paragraph" w:customStyle="1" w:styleId="59">
    <w:name w:val="font6"/>
    <w:basedOn w:val="1"/>
    <w:next w:val="32"/>
    <w:qFormat/>
    <w:uiPriority w:val="0"/>
    <w:pPr>
      <w:widowControl/>
      <w:spacing w:before="100" w:beforeAutospacing="1" w:after="100" w:afterAutospacing="1"/>
      <w:jc w:val="left"/>
    </w:pPr>
    <w:rPr>
      <w:rFonts w:ascii="宋体" w:hAnsi="宋体" w:cs="宋体"/>
      <w:b/>
      <w:bCs/>
      <w:color w:val="000000"/>
      <w:kern w:val="0"/>
      <w:sz w:val="20"/>
    </w:rPr>
  </w:style>
  <w:style w:type="character" w:customStyle="1" w:styleId="60">
    <w:name w:val="批注文字 字符"/>
    <w:link w:val="15"/>
    <w:qFormat/>
    <w:uiPriority w:val="0"/>
    <w:rPr>
      <w:rFonts w:ascii="Times New Roman" w:hAnsi="Times New Roman" w:eastAsia="宋体" w:cs="Times New Roman"/>
      <w:sz w:val="24"/>
    </w:rPr>
  </w:style>
  <w:style w:type="character" w:customStyle="1" w:styleId="61">
    <w:name w:val="正文文本 字符"/>
    <w:link w:val="2"/>
    <w:qFormat/>
    <w:uiPriority w:val="0"/>
    <w:rPr>
      <w:rFonts w:ascii="Times New Roman" w:hAnsi="Times New Roman" w:eastAsia="宋体" w:cs="Times New Roman"/>
      <w:sz w:val="18"/>
    </w:rPr>
  </w:style>
  <w:style w:type="character" w:customStyle="1" w:styleId="62">
    <w:name w:val="正文文本缩进 字符"/>
    <w:link w:val="11"/>
    <w:qFormat/>
    <w:uiPriority w:val="0"/>
    <w:rPr>
      <w:rFonts w:ascii="Times New Roman" w:hAnsi="Times New Roman" w:eastAsia="宋体" w:cs="Times New Roman"/>
      <w:sz w:val="24"/>
    </w:rPr>
  </w:style>
  <w:style w:type="character" w:customStyle="1" w:styleId="63">
    <w:name w:val="文本块 字符"/>
    <w:link w:val="16"/>
    <w:qFormat/>
    <w:uiPriority w:val="0"/>
    <w:rPr>
      <w:rFonts w:ascii="宋体" w:hAnsi="宋体"/>
      <w:sz w:val="24"/>
    </w:rPr>
  </w:style>
  <w:style w:type="character" w:customStyle="1" w:styleId="64">
    <w:name w:val="日期 字符1"/>
    <w:link w:val="22"/>
    <w:qFormat/>
    <w:uiPriority w:val="0"/>
    <w:rPr>
      <w:rFonts w:ascii="Times New Roman" w:hAnsi="Times New Roman" w:eastAsia="宋体" w:cs="Times New Roman"/>
      <w:sz w:val="24"/>
    </w:rPr>
  </w:style>
  <w:style w:type="character" w:customStyle="1" w:styleId="65">
    <w:name w:val="批注框文本 字符"/>
    <w:link w:val="27"/>
    <w:qFormat/>
    <w:uiPriority w:val="0"/>
    <w:rPr>
      <w:rFonts w:ascii="Times New Roman" w:hAnsi="Times New Roman" w:eastAsia="宋体" w:cs="Times New Roman"/>
      <w:sz w:val="18"/>
    </w:rPr>
  </w:style>
  <w:style w:type="character" w:customStyle="1" w:styleId="66">
    <w:name w:val="页脚 字符1"/>
    <w:link w:val="28"/>
    <w:qFormat/>
    <w:uiPriority w:val="0"/>
    <w:rPr>
      <w:rFonts w:ascii="Times New Roman" w:hAnsi="Times New Roman" w:eastAsia="宋体" w:cs="Times New Roman"/>
      <w:sz w:val="18"/>
    </w:rPr>
  </w:style>
  <w:style w:type="character" w:customStyle="1" w:styleId="67">
    <w:name w:val="页眉 字符"/>
    <w:link w:val="29"/>
    <w:qFormat/>
    <w:uiPriority w:val="0"/>
    <w:rPr>
      <w:rFonts w:ascii="Times New Roman" w:hAnsi="Times New Roman" w:eastAsia="宋体" w:cs="Times New Roman"/>
      <w:sz w:val="18"/>
    </w:rPr>
  </w:style>
  <w:style w:type="character" w:customStyle="1" w:styleId="68">
    <w:name w:val="普通(网站) 字符"/>
    <w:link w:val="34"/>
    <w:qFormat/>
    <w:uiPriority w:val="0"/>
    <w:rPr>
      <w:rFonts w:ascii="宋体" w:hAnsi="宋体" w:eastAsia="宋体" w:cs="Times New Roman"/>
      <w:sz w:val="24"/>
    </w:rPr>
  </w:style>
  <w:style w:type="character" w:customStyle="1" w:styleId="69">
    <w:name w:val="批注主题 字符"/>
    <w:link w:val="35"/>
    <w:qFormat/>
    <w:uiPriority w:val="0"/>
    <w:rPr>
      <w:rFonts w:ascii="Times New Roman" w:hAnsi="Times New Roman" w:eastAsia="宋体" w:cs="Times New Roman"/>
      <w:b/>
      <w:kern w:val="2"/>
      <w:sz w:val="24"/>
    </w:rPr>
  </w:style>
  <w:style w:type="paragraph" w:customStyle="1" w:styleId="70">
    <w:name w:val="样式 正文文本 + 首行缩进:  2 字符"/>
    <w:basedOn w:val="1"/>
    <w:qFormat/>
    <w:uiPriority w:val="0"/>
    <w:pPr>
      <w:widowControl/>
      <w:spacing w:before="100" w:beforeAutospacing="1" w:after="200" w:line="480" w:lineRule="exact"/>
      <w:ind w:firstLine="480" w:firstLineChars="200"/>
      <w:jc w:val="left"/>
    </w:pPr>
    <w:rPr>
      <w:rFonts w:eastAsia="微软雅黑"/>
      <w:kern w:val="0"/>
      <w:sz w:val="24"/>
    </w:rPr>
  </w:style>
  <w:style w:type="character" w:customStyle="1" w:styleId="71">
    <w:name w:val="font71"/>
    <w:basedOn w:val="40"/>
    <w:qFormat/>
    <w:uiPriority w:val="0"/>
    <w:rPr>
      <w:rFonts w:hint="default" w:ascii="Times New Roman" w:hAnsi="Times New Roman" w:cs="Times New Roman"/>
      <w:color w:val="0000FF"/>
      <w:sz w:val="21"/>
      <w:szCs w:val="21"/>
      <w:u w:val="none"/>
    </w:rPr>
  </w:style>
  <w:style w:type="character" w:customStyle="1" w:styleId="72">
    <w:name w:val="font01"/>
    <w:basedOn w:val="40"/>
    <w:qFormat/>
    <w:uiPriority w:val="0"/>
    <w:rPr>
      <w:rFonts w:hint="default" w:ascii="Times New Roman" w:hAnsi="Times New Roman" w:cs="Times New Roman"/>
      <w:color w:val="000000"/>
      <w:sz w:val="21"/>
      <w:szCs w:val="21"/>
      <w:u w:val="none"/>
      <w:vertAlign w:val="subscript"/>
    </w:rPr>
  </w:style>
  <w:style w:type="character" w:customStyle="1" w:styleId="73">
    <w:name w:val="01正文 Char"/>
    <w:link w:val="74"/>
    <w:qFormat/>
    <w:uiPriority w:val="0"/>
    <w:rPr>
      <w:sz w:val="24"/>
      <w:szCs w:val="24"/>
      <w:lang w:val="zh-CN"/>
    </w:rPr>
  </w:style>
  <w:style w:type="paragraph" w:customStyle="1" w:styleId="74">
    <w:name w:val="01正文"/>
    <w:basedOn w:val="1"/>
    <w:link w:val="73"/>
    <w:qFormat/>
    <w:uiPriority w:val="0"/>
    <w:pPr>
      <w:autoSpaceDE w:val="0"/>
      <w:autoSpaceDN w:val="0"/>
      <w:adjustRightInd w:val="0"/>
      <w:snapToGrid w:val="0"/>
      <w:spacing w:line="360" w:lineRule="auto"/>
      <w:ind w:firstLine="480" w:firstLineChars="200"/>
    </w:pPr>
    <w:rPr>
      <w:sz w:val="24"/>
      <w:lang w:val="zh-CN"/>
    </w:rPr>
  </w:style>
  <w:style w:type="character" w:customStyle="1" w:styleId="75">
    <w:name w:val="font91"/>
    <w:qFormat/>
    <w:uiPriority w:val="0"/>
    <w:rPr>
      <w:rFonts w:hint="default" w:ascii="Times New Roman" w:hAnsi="Times New Roman" w:cs="Times New Roman"/>
      <w:color w:val="000000"/>
      <w:sz w:val="21"/>
      <w:szCs w:val="21"/>
      <w:u w:val="none"/>
    </w:rPr>
  </w:style>
  <w:style w:type="character" w:customStyle="1" w:styleId="76">
    <w:name w:val="页脚 字符"/>
    <w:qFormat/>
    <w:uiPriority w:val="0"/>
    <w:rPr>
      <w:rFonts w:ascii="Times New Roman" w:hAnsi="Times New Roman" w:eastAsia="宋体" w:cs="Times New Roman"/>
    </w:rPr>
  </w:style>
  <w:style w:type="character" w:customStyle="1" w:styleId="77">
    <w:name w:val="表格 Char"/>
    <w:link w:val="78"/>
    <w:qFormat/>
    <w:uiPriority w:val="0"/>
    <w:rPr>
      <w:rFonts w:ascii="宋体" w:hAnsi="Times New Roman" w:eastAsia="宋体" w:cs="Times New Roman"/>
      <w:sz w:val="21"/>
    </w:rPr>
  </w:style>
  <w:style w:type="paragraph" w:customStyle="1" w:styleId="78">
    <w:name w:val="表格"/>
    <w:basedOn w:val="79"/>
    <w:next w:val="1"/>
    <w:link w:val="77"/>
    <w:qFormat/>
    <w:uiPriority w:val="0"/>
    <w:pPr>
      <w:spacing w:beforeLines="10" w:afterLines="10" w:line="259" w:lineRule="auto"/>
    </w:pPr>
    <w:rPr>
      <w:rFonts w:ascii="宋体" w:eastAsia="宋体"/>
    </w:rPr>
  </w:style>
  <w:style w:type="paragraph" w:customStyle="1" w:styleId="79">
    <w:name w:val="表头"/>
    <w:basedOn w:val="54"/>
    <w:qFormat/>
    <w:uiPriority w:val="0"/>
    <w:pPr>
      <w:spacing w:line="320" w:lineRule="atLeast"/>
      <w:ind w:firstLine="0" w:firstLineChars="0"/>
      <w:jc w:val="center"/>
      <w:textAlignment w:val="baseline"/>
    </w:pPr>
    <w:rPr>
      <w:rFonts w:eastAsia="黑体"/>
      <w:color w:val="000000"/>
      <w:spacing w:val="-10"/>
      <w:kern w:val="0"/>
      <w:sz w:val="21"/>
      <w:szCs w:val="20"/>
    </w:rPr>
  </w:style>
  <w:style w:type="character" w:customStyle="1" w:styleId="80">
    <w:name w:val="正文文本 字符1"/>
    <w:qFormat/>
    <w:uiPriority w:val="0"/>
    <w:rPr>
      <w:rFonts w:ascii="Times New Roman" w:hAnsi="Times New Roman" w:eastAsia="宋体" w:cs="Times New Roman"/>
      <w:sz w:val="24"/>
    </w:rPr>
  </w:style>
  <w:style w:type="character" w:customStyle="1" w:styleId="81">
    <w:name w:val="font11"/>
    <w:basedOn w:val="40"/>
    <w:qFormat/>
    <w:uiPriority w:val="0"/>
    <w:rPr>
      <w:rFonts w:hint="eastAsia" w:ascii="宋体" w:hAnsi="宋体" w:eastAsia="宋体" w:cs="宋体"/>
      <w:color w:val="000000"/>
      <w:sz w:val="24"/>
      <w:szCs w:val="24"/>
      <w:u w:val="none"/>
    </w:rPr>
  </w:style>
  <w:style w:type="character" w:customStyle="1" w:styleId="82">
    <w:name w:val="日期 字符"/>
    <w:qFormat/>
    <w:uiPriority w:val="0"/>
    <w:rPr>
      <w:rFonts w:ascii="Times New Roman" w:hAnsi="Times New Roman" w:eastAsia="宋体" w:cs="Times New Roman"/>
      <w:sz w:val="24"/>
    </w:rPr>
  </w:style>
  <w:style w:type="character" w:customStyle="1" w:styleId="83">
    <w:name w:val="font31"/>
    <w:basedOn w:val="40"/>
    <w:qFormat/>
    <w:uiPriority w:val="0"/>
    <w:rPr>
      <w:rFonts w:hint="default" w:ascii="Times New Roman" w:hAnsi="Times New Roman" w:cs="Times New Roman"/>
      <w:color w:val="000000"/>
      <w:sz w:val="21"/>
      <w:szCs w:val="21"/>
      <w:u w:val="none"/>
    </w:rPr>
  </w:style>
  <w:style w:type="character" w:customStyle="1" w:styleId="84">
    <w:name w:val="批注文字 字符1"/>
    <w:qFormat/>
    <w:uiPriority w:val="0"/>
    <w:rPr>
      <w:rFonts w:ascii="Times New Roman" w:hAnsi="Times New Roman" w:eastAsia="宋体" w:cs="Times New Roman"/>
      <w:sz w:val="24"/>
    </w:rPr>
  </w:style>
  <w:style w:type="character" w:customStyle="1" w:styleId="85">
    <w:name w:val="font81"/>
    <w:qFormat/>
    <w:uiPriority w:val="0"/>
    <w:rPr>
      <w:rFonts w:hint="eastAsia" w:ascii="宋体" w:hAnsi="宋体" w:eastAsia="宋体" w:cs="宋体"/>
      <w:b/>
      <w:color w:val="000000"/>
      <w:sz w:val="21"/>
      <w:szCs w:val="21"/>
      <w:u w:val="none"/>
    </w:rPr>
  </w:style>
  <w:style w:type="character" w:customStyle="1" w:styleId="86">
    <w:name w:val="正文(黑体) Char"/>
    <w:link w:val="87"/>
    <w:qFormat/>
    <w:uiPriority w:val="0"/>
    <w:rPr>
      <w:rFonts w:ascii="黑体"/>
      <w:kern w:val="0"/>
      <w:sz w:val="24"/>
    </w:rPr>
  </w:style>
  <w:style w:type="paragraph" w:customStyle="1" w:styleId="87">
    <w:name w:val="正文(黑体)"/>
    <w:basedOn w:val="1"/>
    <w:link w:val="86"/>
    <w:qFormat/>
    <w:uiPriority w:val="0"/>
    <w:pPr>
      <w:autoSpaceDE w:val="0"/>
      <w:autoSpaceDN w:val="0"/>
      <w:adjustRightInd w:val="0"/>
      <w:spacing w:line="288" w:lineRule="auto"/>
      <w:ind w:firstLine="482"/>
      <w:textAlignment w:val="baseline"/>
    </w:pPr>
    <w:rPr>
      <w:rFonts w:ascii="黑体"/>
      <w:kern w:val="0"/>
      <w:sz w:val="24"/>
    </w:rPr>
  </w:style>
  <w:style w:type="character" w:customStyle="1" w:styleId="88">
    <w:name w:val="font51"/>
    <w:basedOn w:val="40"/>
    <w:qFormat/>
    <w:uiPriority w:val="0"/>
    <w:rPr>
      <w:rFonts w:hint="default" w:ascii="Times New Roman" w:hAnsi="Times New Roman" w:cs="Times New Roman"/>
      <w:color w:val="000000"/>
      <w:sz w:val="21"/>
      <w:szCs w:val="21"/>
      <w:u w:val="none"/>
    </w:rPr>
  </w:style>
  <w:style w:type="character" w:customStyle="1" w:styleId="89">
    <w:name w:val="font61"/>
    <w:basedOn w:val="40"/>
    <w:qFormat/>
    <w:uiPriority w:val="0"/>
    <w:rPr>
      <w:rFonts w:hint="default" w:ascii="Times New Roman" w:hAnsi="Times New Roman" w:cs="Times New Roman"/>
      <w:color w:val="000000"/>
      <w:sz w:val="24"/>
      <w:szCs w:val="24"/>
      <w:u w:val="none"/>
    </w:rPr>
  </w:style>
  <w:style w:type="character" w:customStyle="1" w:styleId="90">
    <w:name w:val="font21"/>
    <w:basedOn w:val="40"/>
    <w:qFormat/>
    <w:uiPriority w:val="0"/>
    <w:rPr>
      <w:rFonts w:hint="eastAsia" w:ascii="宋体" w:hAnsi="宋体" w:eastAsia="宋体" w:cs="宋体"/>
      <w:color w:val="000000"/>
      <w:sz w:val="21"/>
      <w:szCs w:val="21"/>
      <w:u w:val="none"/>
    </w:rPr>
  </w:style>
  <w:style w:type="character" w:customStyle="1" w:styleId="91">
    <w:name w:val="font41"/>
    <w:basedOn w:val="40"/>
    <w:qFormat/>
    <w:uiPriority w:val="0"/>
    <w:rPr>
      <w:rFonts w:hint="default" w:ascii="Times New Roman" w:hAnsi="Times New Roman" w:cs="Times New Roman"/>
      <w:color w:val="000000"/>
      <w:sz w:val="21"/>
      <w:szCs w:val="21"/>
      <w:u w:val="none"/>
    </w:rPr>
  </w:style>
  <w:style w:type="paragraph" w:customStyle="1" w:styleId="92">
    <w:name w:val="样式1"/>
    <w:basedOn w:val="1"/>
    <w:next w:val="16"/>
    <w:qFormat/>
    <w:uiPriority w:val="0"/>
    <w:pPr>
      <w:adjustRightInd w:val="0"/>
      <w:snapToGrid w:val="0"/>
      <w:jc w:val="center"/>
    </w:pPr>
    <w:rPr>
      <w:kern w:val="44"/>
      <w:szCs w:val="21"/>
    </w:rPr>
  </w:style>
  <w:style w:type="paragraph" w:customStyle="1" w:styleId="93">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94">
    <w:name w:val="报告"/>
    <w:basedOn w:val="1"/>
    <w:qFormat/>
    <w:uiPriority w:val="0"/>
    <w:pPr>
      <w:overflowPunct w:val="0"/>
      <w:autoSpaceDE w:val="0"/>
      <w:autoSpaceDN w:val="0"/>
      <w:adjustRightInd w:val="0"/>
      <w:spacing w:line="440" w:lineRule="atLeast"/>
      <w:ind w:right="-100" w:rightChars="-100" w:firstLine="200" w:firstLineChars="200"/>
    </w:pPr>
    <w:rPr>
      <w:kern w:val="0"/>
      <w:sz w:val="24"/>
    </w:rPr>
  </w:style>
  <w:style w:type="paragraph" w:customStyle="1" w:styleId="95">
    <w:name w:val="无间隔1"/>
    <w:qFormat/>
    <w:uiPriority w:val="1"/>
    <w:pPr>
      <w:adjustRightInd w:val="0"/>
      <w:snapToGrid w:val="0"/>
    </w:pPr>
    <w:rPr>
      <w:rFonts w:ascii="Tahoma" w:hAnsi="Tahoma" w:eastAsia="微软雅黑" w:cs="Times New Roman"/>
      <w:sz w:val="22"/>
      <w:szCs w:val="22"/>
      <w:lang w:val="en-US" w:eastAsia="zh-CN" w:bidi="ar-SA"/>
    </w:rPr>
  </w:style>
  <w:style w:type="paragraph" w:customStyle="1" w:styleId="96">
    <w:name w:val="正文 缩进"/>
    <w:basedOn w:val="1"/>
    <w:qFormat/>
    <w:uiPriority w:val="0"/>
    <w:pPr>
      <w:spacing w:line="440" w:lineRule="exact"/>
      <w:ind w:firstLine="480" w:firstLineChars="200"/>
    </w:pPr>
    <w:rPr>
      <w:rFonts w:eastAsia="仿宋_GB2312" w:cs="宋体"/>
      <w:kern w:val="0"/>
      <w:sz w:val="24"/>
    </w:rPr>
  </w:style>
  <w:style w:type="paragraph" w:customStyle="1" w:styleId="97">
    <w:name w:val="报告书 正文"/>
    <w:qFormat/>
    <w:uiPriority w:val="0"/>
    <w:pPr>
      <w:widowControl w:val="0"/>
      <w:spacing w:line="500" w:lineRule="exact"/>
      <w:ind w:firstLine="200" w:firstLineChars="200"/>
      <w:jc w:val="both"/>
    </w:pPr>
    <w:rPr>
      <w:rFonts w:ascii="Times New Roman" w:hAnsi="Times New Roman" w:eastAsia="仿宋_GB2312" w:cs="Times New Roman"/>
      <w:sz w:val="28"/>
      <w:szCs w:val="24"/>
      <w:lang w:val="en-US" w:eastAsia="zh-CN" w:bidi="ar-SA"/>
    </w:rPr>
  </w:style>
  <w:style w:type="paragraph" w:customStyle="1" w:styleId="98">
    <w:name w:val="0正文"/>
    <w:basedOn w:val="34"/>
    <w:qFormat/>
    <w:uiPriority w:val="99"/>
    <w:pPr>
      <w:spacing w:before="0" w:beforeAutospacing="0" w:after="0" w:afterAutospacing="0" w:line="360" w:lineRule="auto"/>
      <w:ind w:firstLine="482"/>
      <w:jc w:val="both"/>
    </w:pPr>
    <w:rPr>
      <w:rFonts w:ascii="Times New Roman" w:hAnsi="Times New Roman"/>
      <w:kern w:val="2"/>
    </w:rPr>
  </w:style>
  <w:style w:type="paragraph" w:customStyle="1" w:styleId="99">
    <w:name w:val="List Paragraph1"/>
    <w:basedOn w:val="1"/>
    <w:qFormat/>
    <w:uiPriority w:val="0"/>
    <w:pPr>
      <w:ind w:firstLine="420" w:firstLineChars="200"/>
    </w:pPr>
  </w:style>
  <w:style w:type="paragraph" w:customStyle="1" w:styleId="100">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1">
    <w:name w:val="标题 4 + 首行缩进:  2 字符 + 首行缩进:  0 字符"/>
    <w:basedOn w:val="1"/>
    <w:qFormat/>
    <w:uiPriority w:val="0"/>
    <w:pPr>
      <w:spacing w:line="520" w:lineRule="exact"/>
      <w:outlineLvl w:val="3"/>
    </w:pPr>
    <w:rPr>
      <w:rFonts w:cs="宋体"/>
      <w:bCs/>
      <w:sz w:val="28"/>
      <w:szCs w:val="28"/>
    </w:rPr>
  </w:style>
  <w:style w:type="paragraph" w:customStyle="1" w:styleId="102">
    <w:name w:val="Default1"/>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03">
    <w:name w:val="BodyText"/>
    <w:basedOn w:val="1"/>
    <w:qFormat/>
    <w:uiPriority w:val="0"/>
    <w:pPr>
      <w:jc w:val="left"/>
    </w:pPr>
    <w:rPr>
      <w:sz w:val="28"/>
    </w:rPr>
  </w:style>
  <w:style w:type="paragraph" w:customStyle="1" w:styleId="104">
    <w:name w:val="Table Paragraph"/>
    <w:basedOn w:val="1"/>
    <w:qFormat/>
    <w:uiPriority w:val="1"/>
    <w:pPr>
      <w:jc w:val="left"/>
    </w:pPr>
    <w:rPr>
      <w:rFonts w:ascii="Calibri" w:hAnsi="Calibri"/>
      <w:kern w:val="0"/>
      <w:sz w:val="22"/>
      <w:szCs w:val="22"/>
      <w:lang w:eastAsia="en-US"/>
    </w:rPr>
  </w:style>
  <w:style w:type="paragraph" w:customStyle="1" w:styleId="105">
    <w:name w:val="List Paragraph2"/>
    <w:basedOn w:val="1"/>
    <w:qFormat/>
    <w:uiPriority w:val="0"/>
    <w:pPr>
      <w:ind w:firstLine="420" w:firstLineChars="200"/>
    </w:pPr>
  </w:style>
  <w:style w:type="paragraph" w:customStyle="1" w:styleId="106">
    <w:name w:val="ZW"/>
    <w:basedOn w:val="1"/>
    <w:qFormat/>
    <w:uiPriority w:val="0"/>
    <w:pPr>
      <w:adjustRightInd w:val="0"/>
      <w:snapToGrid w:val="0"/>
      <w:spacing w:line="500" w:lineRule="exact"/>
      <w:ind w:firstLine="482"/>
      <w:jc w:val="left"/>
    </w:pPr>
    <w:rPr>
      <w:rFonts w:hAnsi="宋体"/>
      <w:kern w:val="0"/>
      <w:sz w:val="24"/>
    </w:rPr>
  </w:style>
  <w:style w:type="paragraph" w:customStyle="1" w:styleId="107">
    <w:name w:val="样式 列表 + 左侧:  0 厘米 悬挂缩进: 2 字符"/>
    <w:basedOn w:val="13"/>
    <w:qFormat/>
    <w:uiPriority w:val="0"/>
    <w:pPr>
      <w:tabs>
        <w:tab w:val="center" w:pos="4153"/>
        <w:tab w:val="right" w:pos="8306"/>
      </w:tabs>
      <w:snapToGrid w:val="0"/>
      <w:spacing w:line="240" w:lineRule="auto"/>
    </w:pPr>
    <w:rPr>
      <w:rFonts w:cs="宋体"/>
      <w:sz w:val="21"/>
      <w:szCs w:val="21"/>
    </w:rPr>
  </w:style>
  <w:style w:type="paragraph" w:customStyle="1" w:styleId="108">
    <w:name w:val="首行缩进"/>
    <w:basedOn w:val="1"/>
    <w:qFormat/>
    <w:uiPriority w:val="0"/>
    <w:pPr>
      <w:spacing w:line="360" w:lineRule="auto"/>
      <w:ind w:firstLine="480" w:firstLineChars="200"/>
    </w:pPr>
  </w:style>
  <w:style w:type="paragraph" w:customStyle="1" w:styleId="109">
    <w:name w:val="LD表格"/>
    <w:basedOn w:val="110"/>
    <w:qFormat/>
    <w:uiPriority w:val="0"/>
    <w:pPr>
      <w:adjustRightInd w:val="0"/>
      <w:snapToGrid w:val="0"/>
      <w:spacing w:before="62" w:beforeLines="20" w:after="62" w:afterLines="20"/>
    </w:pPr>
    <w:rPr>
      <w:rFonts w:ascii="Times New Roman" w:hAnsi="Times New Roman" w:eastAsia="宋体"/>
      <w:color w:val="0000FF"/>
      <w:sz w:val="21"/>
      <w:szCs w:val="21"/>
    </w:rPr>
  </w:style>
  <w:style w:type="paragraph" w:customStyle="1" w:styleId="110">
    <w:name w:val="表格文字"/>
    <w:basedOn w:val="1"/>
    <w:qFormat/>
    <w:uiPriority w:val="0"/>
    <w:pPr>
      <w:jc w:val="center"/>
    </w:pPr>
    <w:rPr>
      <w:rFonts w:ascii="仿宋_GB2312" w:hAnsi="Arial Black" w:eastAsia="仿宋_GB2312"/>
      <w:kern w:val="44"/>
      <w:sz w:val="24"/>
    </w:rPr>
  </w:style>
  <w:style w:type="paragraph" w:customStyle="1" w:styleId="111">
    <w:name w:val="样式 XYF1 + 宋体"/>
    <w:basedOn w:val="1"/>
    <w:qFormat/>
    <w:uiPriority w:val="0"/>
    <w:pPr>
      <w:tabs>
        <w:tab w:val="left" w:pos="1080"/>
      </w:tabs>
      <w:spacing w:line="480" w:lineRule="exact"/>
      <w:ind w:firstLine="200" w:firstLineChars="200"/>
    </w:pPr>
    <w:rPr>
      <w:rFonts w:ascii="宋体" w:hAnsi="宋体" w:cs="宋体"/>
      <w:sz w:val="28"/>
    </w:rPr>
  </w:style>
  <w:style w:type="paragraph" w:customStyle="1" w:styleId="112">
    <w:name w:val="表"/>
    <w:basedOn w:val="1"/>
    <w:next w:val="13"/>
    <w:qFormat/>
    <w:uiPriority w:val="0"/>
    <w:pPr>
      <w:adjustRightInd w:val="0"/>
      <w:snapToGrid w:val="0"/>
      <w:jc w:val="center"/>
    </w:pPr>
    <w:rPr>
      <w:color w:val="FF0000"/>
      <w:sz w:val="18"/>
      <w:szCs w:val="18"/>
    </w:rPr>
  </w:style>
  <w:style w:type="character" w:customStyle="1" w:styleId="113">
    <w:name w:val="font101"/>
    <w:qFormat/>
    <w:uiPriority w:val="0"/>
    <w:rPr>
      <w:rFonts w:hint="default" w:ascii="Times New Roman" w:hAnsi="Times New Roman" w:cs="Times New Roman"/>
      <w:color w:val="000000"/>
      <w:sz w:val="14"/>
      <w:szCs w:val="14"/>
      <w:u w:val="none"/>
    </w:rPr>
  </w:style>
  <w:style w:type="table" w:customStyle="1" w:styleId="114">
    <w:name w:val="Table Normal1"/>
    <w:unhideWhenUsed/>
    <w:qFormat/>
    <w:uiPriority w:val="0"/>
    <w:tblPr>
      <w:tblCellMar>
        <w:top w:w="0" w:type="dxa"/>
        <w:left w:w="0" w:type="dxa"/>
        <w:bottom w:w="0" w:type="dxa"/>
        <w:right w:w="0" w:type="dxa"/>
      </w:tblCellMar>
    </w:tblPr>
  </w:style>
  <w:style w:type="character" w:customStyle="1" w:styleId="115">
    <w:name w:val="font141"/>
    <w:qFormat/>
    <w:uiPriority w:val="0"/>
    <w:rPr>
      <w:rFonts w:hint="eastAsia" w:ascii="宋体" w:hAnsi="宋体" w:eastAsia="宋体" w:cs="宋体"/>
      <w:color w:val="000000"/>
      <w:sz w:val="21"/>
      <w:szCs w:val="21"/>
      <w:u w:val="none"/>
    </w:rPr>
  </w:style>
  <w:style w:type="character" w:customStyle="1" w:styleId="116">
    <w:name w:val="font212"/>
    <w:qFormat/>
    <w:uiPriority w:val="0"/>
    <w:rPr>
      <w:rFonts w:hint="eastAsia" w:ascii="宋体" w:hAnsi="宋体" w:eastAsia="宋体" w:cs="宋体"/>
      <w:color w:val="333333"/>
      <w:sz w:val="20"/>
      <w:szCs w:val="20"/>
      <w:u w:val="none"/>
    </w:rPr>
  </w:style>
  <w:style w:type="character" w:customStyle="1" w:styleId="117">
    <w:name w:val="font191"/>
    <w:qFormat/>
    <w:uiPriority w:val="0"/>
    <w:rPr>
      <w:rFonts w:hint="eastAsia" w:ascii="宋体" w:hAnsi="宋体" w:eastAsia="宋体" w:cs="宋体"/>
      <w:color w:val="000000"/>
      <w:sz w:val="21"/>
      <w:szCs w:val="21"/>
      <w:u w:val="none"/>
    </w:rPr>
  </w:style>
  <w:style w:type="character" w:customStyle="1" w:styleId="118">
    <w:name w:val="font121"/>
    <w:qFormat/>
    <w:uiPriority w:val="0"/>
    <w:rPr>
      <w:rFonts w:hint="eastAsia" w:ascii="宋体" w:hAnsi="宋体" w:eastAsia="宋体" w:cs="宋体"/>
      <w:color w:val="333333"/>
      <w:sz w:val="21"/>
      <w:szCs w:val="21"/>
      <w:u w:val="none"/>
    </w:rPr>
  </w:style>
  <w:style w:type="character" w:customStyle="1" w:styleId="119">
    <w:name w:val="font131"/>
    <w:qFormat/>
    <w:uiPriority w:val="0"/>
    <w:rPr>
      <w:rFonts w:hint="default" w:ascii="Helvetica" w:hAnsi="Helvetica" w:eastAsia="Helvetica" w:cs="Helvetica"/>
      <w:color w:val="333333"/>
      <w:sz w:val="21"/>
      <w:szCs w:val="21"/>
      <w:u w:val="none"/>
    </w:rPr>
  </w:style>
  <w:style w:type="character" w:customStyle="1" w:styleId="120">
    <w:name w:val="font151"/>
    <w:qFormat/>
    <w:uiPriority w:val="0"/>
    <w:rPr>
      <w:rFonts w:hint="default" w:ascii="Arial" w:hAnsi="Arial" w:cs="Arial"/>
      <w:color w:val="F73131"/>
      <w:sz w:val="19"/>
      <w:szCs w:val="19"/>
      <w:u w:val="none"/>
    </w:rPr>
  </w:style>
  <w:style w:type="character" w:customStyle="1" w:styleId="121">
    <w:name w:val="font181"/>
    <w:qFormat/>
    <w:uiPriority w:val="0"/>
    <w:rPr>
      <w:rFonts w:hint="default" w:ascii="Arial" w:hAnsi="Arial" w:cs="Arial"/>
      <w:color w:val="333333"/>
      <w:sz w:val="19"/>
      <w:szCs w:val="19"/>
      <w:u w:val="none"/>
    </w:rPr>
  </w:style>
  <w:style w:type="character" w:customStyle="1" w:styleId="122">
    <w:name w:val="font221"/>
    <w:qFormat/>
    <w:uiPriority w:val="0"/>
    <w:rPr>
      <w:rFonts w:hint="default" w:ascii="Times New Roman" w:hAnsi="Times New Roman" w:cs="Times New Roman"/>
      <w:color w:val="000000"/>
      <w:sz w:val="22"/>
      <w:szCs w:val="22"/>
      <w:u w:val="none"/>
    </w:rPr>
  </w:style>
  <w:style w:type="character" w:customStyle="1" w:styleId="123">
    <w:name w:val="font201"/>
    <w:qFormat/>
    <w:uiPriority w:val="0"/>
    <w:rPr>
      <w:rFonts w:hint="eastAsia" w:ascii="宋体" w:hAnsi="宋体" w:eastAsia="宋体" w:cs="宋体"/>
      <w:color w:val="000000"/>
      <w:sz w:val="19"/>
      <w:szCs w:val="19"/>
      <w:u w:val="none"/>
    </w:rPr>
  </w:style>
  <w:style w:type="paragraph" w:customStyle="1" w:styleId="124">
    <w:name w:val="表格内文字"/>
    <w:basedOn w:val="2"/>
    <w:qFormat/>
    <w:uiPriority w:val="0"/>
    <w:pPr>
      <w:tabs>
        <w:tab w:val="left" w:pos="0"/>
      </w:tabs>
      <w:adjustRightInd w:val="0"/>
      <w:jc w:val="center"/>
    </w:pPr>
  </w:style>
  <w:style w:type="paragraph" w:customStyle="1" w:styleId="125">
    <w:name w:val="第四章表头"/>
    <w:basedOn w:val="1"/>
    <w:next w:val="1"/>
    <w:qFormat/>
    <w:uiPriority w:val="0"/>
    <w:pPr>
      <w:numPr>
        <w:ilvl w:val="0"/>
        <w:numId w:val="6"/>
      </w:numPr>
      <w:autoSpaceDE w:val="0"/>
      <w:autoSpaceDN w:val="0"/>
      <w:adjustRightInd w:val="0"/>
      <w:snapToGrid w:val="0"/>
      <w:jc w:val="center"/>
    </w:pPr>
    <w:rPr>
      <w:rFonts w:hint="eastAsia"/>
      <w:b/>
    </w:rPr>
  </w:style>
  <w:style w:type="paragraph" w:customStyle="1" w:styleId="126">
    <w:name w:val="第一章表头"/>
    <w:basedOn w:val="1"/>
    <w:next w:val="1"/>
    <w:qFormat/>
    <w:uiPriority w:val="0"/>
    <w:pPr>
      <w:keepNext/>
      <w:keepLines/>
      <w:numPr>
        <w:ilvl w:val="0"/>
        <w:numId w:val="7"/>
      </w:numPr>
      <w:adjustRightInd w:val="0"/>
      <w:jc w:val="center"/>
      <w:textAlignment w:val="baseline"/>
      <w:outlineLvl w:val="3"/>
    </w:pPr>
    <w:rPr>
      <w:b/>
      <w:kern w:val="0"/>
    </w:rPr>
  </w:style>
  <w:style w:type="paragraph" w:customStyle="1" w:styleId="127">
    <w:name w:val="第二章表头"/>
    <w:basedOn w:val="1"/>
    <w:next w:val="1"/>
    <w:qFormat/>
    <w:uiPriority w:val="0"/>
    <w:pPr>
      <w:numPr>
        <w:ilvl w:val="0"/>
        <w:numId w:val="8"/>
      </w:numPr>
      <w:autoSpaceDE w:val="0"/>
      <w:autoSpaceDN w:val="0"/>
      <w:adjustRightInd w:val="0"/>
      <w:snapToGrid w:val="0"/>
      <w:jc w:val="center"/>
    </w:pPr>
    <w:rPr>
      <w:rFonts w:hint="eastAsia"/>
      <w:b/>
    </w:rPr>
  </w:style>
  <w:style w:type="paragraph" w:customStyle="1" w:styleId="128">
    <w:name w:val="正文 首行缩进:  2 字符"/>
    <w:basedOn w:val="1"/>
    <w:qFormat/>
    <w:uiPriority w:val="99"/>
    <w:pPr>
      <w:ind w:firstLine="579" w:firstLineChars="200"/>
    </w:pPr>
    <w:rPr>
      <w:rFonts w:eastAsia="等线" w:cs="宋体"/>
      <w:szCs w:val="20"/>
    </w:rPr>
  </w:style>
  <w:style w:type="paragraph" w:customStyle="1" w:styleId="129">
    <w:name w:val="报告表内容"/>
    <w:basedOn w:val="1"/>
    <w:qFormat/>
    <w:uiPriority w:val="0"/>
  </w:style>
  <w:style w:type="paragraph" w:customStyle="1" w:styleId="130">
    <w:name w:val="其他"/>
    <w:basedOn w:val="1"/>
    <w:qFormat/>
    <w:uiPriority w:val="0"/>
    <w:pPr>
      <w:shd w:val="clear" w:color="auto" w:fill="FFFFFF"/>
      <w:spacing w:after="200"/>
    </w:pPr>
    <w:rPr>
      <w:sz w:val="18"/>
      <w:szCs w:val="18"/>
    </w:rPr>
  </w:style>
  <w:style w:type="paragraph" w:customStyle="1" w:styleId="131">
    <w:name w:val="图片题头"/>
    <w:basedOn w:val="1"/>
    <w:qFormat/>
    <w:uiPriority w:val="0"/>
    <w:pPr>
      <w:spacing w:line="360" w:lineRule="auto"/>
      <w:jc w:val="center"/>
    </w:pPr>
    <w:rPr>
      <w:b/>
      <w:sz w:val="24"/>
    </w:rPr>
  </w:style>
  <w:style w:type="paragraph" w:styleId="132">
    <w:name w:val="List Paragraph"/>
    <w:basedOn w:val="1"/>
    <w:qFormat/>
    <w:uiPriority w:val="99"/>
    <w:pPr>
      <w:ind w:firstLine="420" w:firstLineChars="200"/>
    </w:pPr>
  </w:style>
  <w:style w:type="character" w:customStyle="1" w:styleId="133">
    <w:name w:val="t_tag"/>
    <w:qFormat/>
    <w:uiPriority w:val="0"/>
  </w:style>
  <w:style w:type="paragraph" w:customStyle="1" w:styleId="134">
    <w:name w:val="_Style 2"/>
    <w:basedOn w:val="1"/>
    <w:qFormat/>
    <w:uiPriority w:val="34"/>
    <w:pPr>
      <w:ind w:firstLine="420" w:firstLineChars="200"/>
    </w:pPr>
    <w:rPr>
      <w:rFonts w:ascii="Calibri" w:hAnsi="Calibri"/>
      <w:szCs w:val="22"/>
    </w:rPr>
  </w:style>
  <w:style w:type="table" w:customStyle="1" w:styleId="135">
    <w:name w:val="三线表2"/>
    <w:basedOn w:val="38"/>
    <w:qFormat/>
    <w:uiPriority w:val="99"/>
    <w:pPr>
      <w:jc w:val="center"/>
    </w:pPr>
    <w:rPr>
      <w:rFonts w:asciiTheme="minorHAnsi" w:hAnsiTheme="minorHAnsi" w:cstheme="minorBidi"/>
      <w:kern w:val="2"/>
      <w:sz w:val="21"/>
      <w:szCs w:val="22"/>
    </w:rPr>
    <w:tblPr>
      <w:tblBorders>
        <w:top w:val="single" w:color="auto" w:sz="12" w:space="0"/>
        <w:bottom w:val="single" w:color="auto" w:sz="12" w:space="0"/>
        <w:insideH w:val="single" w:color="auto" w:sz="4" w:space="0"/>
        <w:insideV w:val="single" w:color="auto" w:sz="4" w:space="0"/>
      </w:tblBorders>
    </w:tblPr>
    <w:tcPr>
      <w:vAlign w:val="center"/>
    </w:tcPr>
  </w:style>
  <w:style w:type="paragraph" w:customStyle="1" w:styleId="136">
    <w:name w:val="报告表一级标题"/>
    <w:basedOn w:val="3"/>
    <w:qFormat/>
    <w:uiPriority w:val="0"/>
    <w:pPr>
      <w:spacing w:before="0" w:after="0" w:line="480" w:lineRule="auto"/>
      <w:ind w:left="0" w:firstLine="0"/>
    </w:pPr>
    <w:rPr>
      <w:rFonts w:ascii="Calibri" w:hAnsi="Calibri" w:eastAsia="宋体"/>
    </w:rPr>
  </w:style>
  <w:style w:type="paragraph" w:customStyle="1" w:styleId="137">
    <w:name w:val="列出段落1"/>
    <w:basedOn w:val="1"/>
    <w:qFormat/>
    <w:uiPriority w:val="0"/>
    <w:pPr>
      <w:ind w:firstLine="420" w:firstLineChars="200"/>
    </w:pPr>
  </w:style>
  <w:style w:type="table" w:customStyle="1" w:styleId="138">
    <w:name w:val="Table Normal"/>
    <w:semiHidden/>
    <w:unhideWhenUsed/>
    <w:qFormat/>
    <w:uiPriority w:val="0"/>
    <w:tblPr>
      <w:tblCellMar>
        <w:top w:w="0" w:type="dxa"/>
        <w:left w:w="0" w:type="dxa"/>
        <w:bottom w:w="0" w:type="dxa"/>
        <w:right w:w="0" w:type="dxa"/>
      </w:tblCellMar>
    </w:tblPr>
  </w:style>
  <w:style w:type="paragraph" w:customStyle="1" w:styleId="139">
    <w:name w:val="章标题"/>
    <w:basedOn w:val="1"/>
    <w:qFormat/>
    <w:uiPriority w:val="0"/>
    <w:pPr>
      <w:widowControl/>
      <w:jc w:val="left"/>
    </w:pPr>
    <w:rPr>
      <w:b/>
      <w:kern w:val="0"/>
    </w:rPr>
  </w:style>
  <w:style w:type="paragraph" w:customStyle="1" w:styleId="140">
    <w:name w:val="Table Text"/>
    <w:basedOn w:val="1"/>
    <w:semiHidden/>
    <w:qFormat/>
    <w:uiPriority w:val="0"/>
    <w:rPr>
      <w:rFonts w:ascii="仿宋" w:hAnsi="仿宋" w:eastAsia="仿宋" w:cs="仿宋"/>
      <w:sz w:val="28"/>
      <w:szCs w:val="28"/>
      <w:lang w:eastAsia="en-US"/>
    </w:rPr>
  </w:style>
  <w:style w:type="paragraph" w:customStyle="1" w:styleId="141">
    <w:name w:val="表表文字"/>
    <w:qFormat/>
    <w:uiPriority w:val="0"/>
    <w:pPr>
      <w:widowControl w:val="0"/>
      <w:wordWrap w:val="0"/>
      <w:adjustRightInd w:val="0"/>
      <w:snapToGrid w:val="0"/>
      <w:spacing w:line="500" w:lineRule="atLeast"/>
      <w:jc w:val="center"/>
    </w:pPr>
    <w:rPr>
      <w:rFonts w:ascii="Times New Roman" w:hAnsi="Times New Roman" w:eastAsia="宋体" w:cs="Times New Roman"/>
      <w:sz w:val="28"/>
      <w:szCs w:val="21"/>
      <w:lang w:val="en-US" w:eastAsia="zh-CN" w:bidi="ar-SA"/>
    </w:rPr>
  </w:style>
  <w:style w:type="paragraph" w:customStyle="1" w:styleId="142">
    <w:name w:val="2"/>
    <w:basedOn w:val="1"/>
    <w:qFormat/>
    <w:uiPriority w:val="0"/>
    <w:pPr>
      <w:adjustRightInd w:val="0"/>
      <w:snapToGrid w:val="0"/>
      <w:jc w:val="center"/>
    </w:pPr>
    <w:rPr>
      <w:szCs w:val="21"/>
    </w:rPr>
  </w:style>
  <w:style w:type="paragraph" w:customStyle="1" w:styleId="143">
    <w:name w:val="表格内容"/>
    <w:basedOn w:val="13"/>
    <w:qFormat/>
    <w:uiPriority w:val="0"/>
    <w:pPr>
      <w:adjustRightInd w:val="0"/>
      <w:snapToGrid w:val="0"/>
      <w:spacing w:line="240" w:lineRule="auto"/>
    </w:pPr>
    <w:rPr>
      <w:rFonts w:ascii="Times New Roman" w:eastAsia="宋体" w:cstheme="minorBidi"/>
      <w:kern w:val="0"/>
      <w:sz w:val="21"/>
      <w:szCs w:val="20"/>
    </w:rPr>
  </w:style>
  <w:style w:type="table" w:customStyle="1" w:styleId="144">
    <w:name w:val="网格型11"/>
    <w:basedOn w:val="38"/>
    <w:qFormat/>
    <w:uiPriority w:val="0"/>
    <w:rPr>
      <w:rFonts w:cs="仿宋_GB231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5">
    <w:name w:val="表格 普通文字"/>
    <w:qFormat/>
    <w:uiPriority w:val="0"/>
    <w:pPr>
      <w:snapToGrid w:val="0"/>
      <w:jc w:val="center"/>
    </w:pPr>
    <w:rPr>
      <w:rFonts w:ascii="Times New Roman" w:hAnsi="Times New Roman" w:eastAsia="仿宋_GB2312" w:cs="Times New Roman"/>
      <w:szCs w:val="21"/>
      <w:lang w:val="en-US" w:eastAsia="zh-CN" w:bidi="ar-SA"/>
    </w:rPr>
  </w:style>
  <w:style w:type="paragraph" w:customStyle="1" w:styleId="146">
    <w:name w:val="新表"/>
    <w:basedOn w:val="1"/>
    <w:qFormat/>
    <w:uiPriority w:val="0"/>
    <w:pPr>
      <w:spacing w:line="320" w:lineRule="exact"/>
      <w:jc w:val="center"/>
    </w:pPr>
    <w:rPr>
      <w:bCs/>
    </w:rPr>
  </w:style>
  <w:style w:type="character" w:customStyle="1" w:styleId="147">
    <w:name w:val="znspantitle"/>
    <w:basedOn w:val="40"/>
    <w:qFormat/>
    <w:uiPriority w:val="0"/>
    <w:rPr>
      <w:b/>
      <w:bCs/>
      <w:color w:val="333333"/>
    </w:rPr>
  </w:style>
  <w:style w:type="character" w:customStyle="1" w:styleId="148">
    <w:name w:val="disabled"/>
    <w:basedOn w:val="40"/>
    <w:qFormat/>
    <w:uiPriority w:val="0"/>
    <w:rPr>
      <w:vanish/>
    </w:rPr>
  </w:style>
  <w:style w:type="paragraph" w:customStyle="1" w:styleId="149">
    <w:name w:val="表格的内容"/>
    <w:basedOn w:val="1"/>
    <w:qFormat/>
    <w:uiPriority w:val="0"/>
    <w:pPr>
      <w:adjustRightInd w:val="0"/>
      <w:snapToGrid w:val="0"/>
      <w:jc w:val="center"/>
    </w:pPr>
    <w:rPr>
      <w:rFonts w:cstheme="minorBidi"/>
      <w:kern w:val="0"/>
      <w:szCs w:val="21"/>
    </w:rPr>
  </w:style>
  <w:style w:type="paragraph" w:customStyle="1" w:styleId="150">
    <w:name w:val="缩进正文"/>
    <w:basedOn w:val="1"/>
    <w:qFormat/>
    <w:uiPriority w:val="0"/>
    <w:pPr>
      <w:ind w:firstLine="420" w:firstLineChars="200"/>
    </w:pPr>
    <w:rPr>
      <w:szCs w:val="21"/>
    </w:rPr>
  </w:style>
  <w:style w:type="paragraph" w:customStyle="1" w:styleId="151">
    <w:name w:val="报告书表格"/>
    <w:basedOn w:val="1"/>
    <w:qFormat/>
    <w:uiPriority w:val="0"/>
    <w:pPr>
      <w:adjustRightInd w:val="0"/>
      <w:spacing w:line="240" w:lineRule="atLeast"/>
      <w:jc w:val="center"/>
      <w:textAlignment w:val="baseline"/>
    </w:pPr>
    <w:rPr>
      <w:kern w:val="0"/>
      <w:szCs w:val="20"/>
    </w:rPr>
  </w:style>
  <w:style w:type="paragraph" w:customStyle="1" w:styleId="152">
    <w:name w:val="图30"/>
    <w:next w:val="25"/>
    <w:qFormat/>
    <w:uiPriority w:val="0"/>
    <w:pPr>
      <w:widowControl w:val="0"/>
      <w:numPr>
        <w:ilvl w:val="0"/>
        <w:numId w:val="9"/>
      </w:numPr>
      <w:snapToGrid w:val="0"/>
      <w:jc w:val="center"/>
    </w:pPr>
    <w:rPr>
      <w:rFonts w:ascii="Times New Roman" w:hAnsi="Times New Roman" w:eastAsia="宋体" w:cs="Times New Roman"/>
      <w:b/>
      <w:kern w:val="2"/>
      <w:sz w:val="21"/>
      <w:szCs w:val="22"/>
      <w:lang w:val="en-US" w:eastAsia="zh-CN" w:bidi="ar-SA"/>
    </w:rPr>
  </w:style>
  <w:style w:type="paragraph" w:customStyle="1" w:styleId="153">
    <w:name w:val="第二章附图"/>
    <w:qFormat/>
    <w:uiPriority w:val="99"/>
    <w:pPr>
      <w:widowControl w:val="0"/>
      <w:numPr>
        <w:ilvl w:val="0"/>
        <w:numId w:val="10"/>
      </w:numPr>
      <w:autoSpaceDE/>
      <w:autoSpaceDN/>
      <w:adjustRightInd/>
      <w:spacing w:line="460" w:lineRule="exact"/>
      <w:ind w:left="0" w:firstLine="0"/>
      <w:jc w:val="center"/>
    </w:pPr>
    <w:rPr>
      <w:rFonts w:ascii="Times New Roman" w:hAnsi="Times New Roman" w:eastAsia="宋体" w:cs="宋体"/>
      <w:b/>
      <w:color w:val="000000"/>
      <w:sz w:val="24"/>
      <w:szCs w:val="24"/>
      <w:lang w:val="en-US" w:eastAsia="zh-CN" w:bidi="ar-SA"/>
    </w:rPr>
  </w:style>
  <w:style w:type="paragraph" w:customStyle="1" w:styleId="154">
    <w:name w:val="表4"/>
    <w:basedOn w:val="1"/>
    <w:qFormat/>
    <w:uiPriority w:val="0"/>
    <w:pPr>
      <w:numPr>
        <w:ilvl w:val="0"/>
        <w:numId w:val="11"/>
      </w:numPr>
      <w:snapToGrid w:val="0"/>
      <w:spacing w:line="240" w:lineRule="auto"/>
      <w:ind w:firstLine="0" w:firstLineChars="0"/>
      <w:jc w:val="center"/>
    </w:pPr>
    <w:rPr>
      <w:rFonts w:ascii="Times New Roman" w:hAnsi="Times New Roman" w:eastAsia="宋体" w:cs="Times New Roman"/>
      <w:b/>
      <w:szCs w:val="28"/>
    </w:rPr>
  </w:style>
  <w:style w:type="table" w:customStyle="1" w:styleId="155">
    <w:name w:val="样式2"/>
    <w:basedOn w:val="38"/>
    <w:qFormat/>
    <w:uiPriority w:val="99"/>
    <w:pPr>
      <w:jc w:val="center"/>
    </w:pPr>
    <w:tblPr>
      <w:tblBorders>
        <w:top w:val="single" w:color="auto" w:sz="12" w:space="0"/>
        <w:bottom w:val="single" w:color="auto" w:sz="12" w:space="0"/>
        <w:insideH w:val="single" w:color="auto" w:sz="4" w:space="0"/>
        <w:insideV w:val="single" w:color="auto" w:sz="4" w:space="0"/>
      </w:tblBorders>
    </w:tblPr>
    <w:tcPr>
      <w:vAlign w:val="center"/>
    </w:tcPr>
  </w:style>
  <w:style w:type="paragraph" w:customStyle="1" w:styleId="156">
    <w:name w:val="正文_29"/>
    <w:qFormat/>
    <w:uiPriority w:val="0"/>
    <w:pPr>
      <w:widowControl w:val="0"/>
      <w:jc w:val="both"/>
    </w:pPr>
    <w:rPr>
      <w:rFonts w:ascii="Calibri" w:hAnsi="Calibri" w:eastAsia="宋体" w:cs="Times New Roman"/>
      <w:kern w:val="2"/>
      <w:sz w:val="21"/>
      <w:lang w:val="en-US" w:eastAsia="zh-CN" w:bidi="ar-SA"/>
    </w:rPr>
  </w:style>
  <w:style w:type="paragraph" w:customStyle="1" w:styleId="157">
    <w:name w:val="表格题头"/>
    <w:basedOn w:val="1"/>
    <w:autoRedefine/>
    <w:qFormat/>
    <w:uiPriority w:val="0"/>
    <w:pPr>
      <w:tabs>
        <w:tab w:val="left" w:pos="0"/>
      </w:tabs>
      <w:adjustRightInd w:val="0"/>
      <w:snapToGrid w:val="0"/>
      <w:spacing w:line="240" w:lineRule="auto"/>
      <w:ind w:firstLine="0" w:firstLineChars="0"/>
      <w:jc w:val="center"/>
    </w:pPr>
    <w:rPr>
      <w:rFonts w:ascii="Times New Roman" w:hAnsi="Times New Roman" w:cs="Times New Roman"/>
      <w:bCs/>
      <w:sz w:val="21"/>
    </w:rPr>
  </w:style>
  <w:style w:type="paragraph" w:customStyle="1" w:styleId="158">
    <w:name w:val="表格标题"/>
    <w:basedOn w:val="159"/>
    <w:next w:val="79"/>
    <w:autoRedefine/>
    <w:qFormat/>
    <w:uiPriority w:val="0"/>
    <w:pPr>
      <w:adjustRightInd w:val="0"/>
      <w:snapToGrid w:val="0"/>
      <w:spacing w:line="240" w:lineRule="auto"/>
      <w:jc w:val="center"/>
    </w:pPr>
    <w:rPr>
      <w:rFonts w:ascii="宋体" w:hAnsi="宋体" w:eastAsia="宋体"/>
      <w:b/>
      <w:kern w:val="0"/>
      <w:sz w:val="24"/>
      <w:szCs w:val="21"/>
    </w:rPr>
  </w:style>
  <w:style w:type="paragraph" w:customStyle="1" w:styleId="159">
    <w:name w:val="列表1"/>
    <w:basedOn w:val="1"/>
    <w:autoRedefine/>
    <w:qFormat/>
    <w:uiPriority w:val="0"/>
    <w:pPr>
      <w:spacing w:line="400" w:lineRule="exact"/>
      <w:jc w:val="center"/>
    </w:pPr>
    <w:rPr>
      <w:rFonts w:ascii="宋体" w:hAnsi="宋体" w:eastAsia="仿宋_GB2312"/>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2" Type="http://schemas.openxmlformats.org/officeDocument/2006/relationships/fontTable" Target="fontTable.xml"/><Relationship Id="rId51" Type="http://schemas.openxmlformats.org/officeDocument/2006/relationships/customXml" Target="../customXml/item3.xml"/><Relationship Id="rId50" Type="http://schemas.openxmlformats.org/officeDocument/2006/relationships/customXml" Target="../customXml/item2.xml"/><Relationship Id="rId5" Type="http://schemas.openxmlformats.org/officeDocument/2006/relationships/footer" Target="footer3.xml"/><Relationship Id="rId49" Type="http://schemas.openxmlformats.org/officeDocument/2006/relationships/numbering" Target="numbering.xml"/><Relationship Id="rId48" Type="http://schemas.openxmlformats.org/officeDocument/2006/relationships/customXml" Target="../customXml/item1.xml"/><Relationship Id="rId47" Type="http://schemas.openxmlformats.org/officeDocument/2006/relationships/image" Target="media/image30.jpeg"/><Relationship Id="rId46" Type="http://schemas.openxmlformats.org/officeDocument/2006/relationships/image" Target="media/image29.png"/><Relationship Id="rId45" Type="http://schemas.openxmlformats.org/officeDocument/2006/relationships/image" Target="media/image28.png"/><Relationship Id="rId44" Type="http://schemas.openxmlformats.org/officeDocument/2006/relationships/image" Target="media/image27.png"/><Relationship Id="rId43" Type="http://schemas.openxmlformats.org/officeDocument/2006/relationships/image" Target="media/image26.png"/><Relationship Id="rId42" Type="http://schemas.openxmlformats.org/officeDocument/2006/relationships/image" Target="media/image25.png"/><Relationship Id="rId41" Type="http://schemas.openxmlformats.org/officeDocument/2006/relationships/image" Target="media/image24.png"/><Relationship Id="rId40" Type="http://schemas.openxmlformats.org/officeDocument/2006/relationships/image" Target="media/image23.png"/><Relationship Id="rId4" Type="http://schemas.openxmlformats.org/officeDocument/2006/relationships/footer" Target="footer2.xml"/><Relationship Id="rId39" Type="http://schemas.openxmlformats.org/officeDocument/2006/relationships/image" Target="media/image22.png"/><Relationship Id="rId38" Type="http://schemas.openxmlformats.org/officeDocument/2006/relationships/image" Target="media/image21.png"/><Relationship Id="rId37" Type="http://schemas.openxmlformats.org/officeDocument/2006/relationships/image" Target="media/image20.png"/><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wmf"/><Relationship Id="rId33" Type="http://schemas.openxmlformats.org/officeDocument/2006/relationships/oleObject" Target="embeddings/oleObject7.bin"/><Relationship Id="rId32" Type="http://schemas.openxmlformats.org/officeDocument/2006/relationships/image" Target="media/image16.wmf"/><Relationship Id="rId31" Type="http://schemas.openxmlformats.org/officeDocument/2006/relationships/oleObject" Target="embeddings/oleObject6.bin"/><Relationship Id="rId30" Type="http://schemas.openxmlformats.org/officeDocument/2006/relationships/image" Target="media/image15.wmf"/><Relationship Id="rId3" Type="http://schemas.openxmlformats.org/officeDocument/2006/relationships/footer" Target="footer1.xml"/><Relationship Id="rId29" Type="http://schemas.openxmlformats.org/officeDocument/2006/relationships/oleObject" Target="embeddings/oleObject5.bin"/><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emf"/><Relationship Id="rId23" Type="http://schemas.openxmlformats.org/officeDocument/2006/relationships/oleObject" Target="embeddings/oleObject4.bin"/><Relationship Id="rId22" Type="http://schemas.openxmlformats.org/officeDocument/2006/relationships/image" Target="media/image9.png"/><Relationship Id="rId21" Type="http://schemas.openxmlformats.org/officeDocument/2006/relationships/image" Target="media/image8.e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7.emf"/><Relationship Id="rId18" Type="http://schemas.openxmlformats.org/officeDocument/2006/relationships/oleObject" Target="embeddings/oleObject2.bin"/><Relationship Id="rId17" Type="http://schemas.openxmlformats.org/officeDocument/2006/relationships/image" Target="media/image6.emf"/><Relationship Id="rId16" Type="http://schemas.openxmlformats.org/officeDocument/2006/relationships/oleObject" Target="embeddings/oleObject1.bin"/><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Root xmlns="http://www.founder.com/ProofFile">
  <Root proofFileId="d87a22f4-762f-40f7-93d4-5c619f502404" proofVersionId="12"/>
</Root>
</file>

<file path=customXml/item3.xml><?xml version="1.0" encoding="utf-8"?>
<contractReview xmlns="http://schemas.wps.cn/vas-ai-hub/contract-review">
  <reviewItems>
    <reviewItem>
      <errorID>4d98e0ad-a5be-43f0-9f22-9f4eb0f478ea</errorID>
      <errorWord>：/</errorWord>
      <group>L1_Punc</group>
      <groupName>标点问题</groupName>
      <ability>L2_Punc_CN</ability>
      <abilityName>标点符号问题</abilityName>
      <candidateList>
        <item>：</item>
      </candidateList>
      <explain/>
      <paraID>2E17C064</paraID>
      <start>4</start>
      <end>6</end>
      <status>unmodified</status>
      <modifiedWord/>
      <trackRevisions>false</trackRevisions>
    </reviewItem>
    <reviewItem>
      <errorID>c0571955-5f35-413e-a1f7-1bd68e850c4d</errorID>
      <errorWord>勘查</errorWord>
      <group>L1_Word</group>
      <groupName>字词问题</groupName>
      <ability>L2_Typo</ability>
      <abilityName>字词错误</abilityName>
      <candidateList>
        <item>勘察</item>
      </candidateList>
      <explain>〈动〉进行实地调查或查看（多用于采矿或工程施工前）：～现场｜～地形。也作勘查。</explain>
      <paraID>14C5E7BC</paraID>
      <start>49</start>
      <end>51</end>
      <status>unmodified</status>
      <modifiedWord/>
      <trackRevisions>false</trackRevisions>
    </reviewItem>
    <reviewItem>
      <errorID>ded0138e-1e8c-4937-b7d8-0536c8de2ae8</errorID>
      <errorWord>》</errorWord>
      <group>L1_Word</group>
      <groupName>字词问题</groupName>
      <ability>L2_Typo</ability>
      <abilityName>字词错误</abilityName>
      <candidateList>
        <item>》和</item>
      </candidateList>
      <explain/>
      <paraID>1DECEA69</paraID>
      <start>53</start>
      <end>54</end>
      <status>unmodified</status>
      <modifiedWord/>
      <trackRevisions>false</trackRevisions>
    </reviewItem>
    <reviewItem>
      <errorID>b9c5a9f2-8a8f-4f33-83e2-f9a478dd58d1</errorID>
      <errorWord>2023年08月16日</errorWord>
      <group>L1_Knowledge</group>
      <groupName>知识性问题</groupName>
      <ability>L2_Time</ability>
      <abilityName>日期时间</abilityName>
      <candidateList>
        <item>2023年8月16日</item>
      </candidateList>
      <explain>根据日常书写习惯，月份一般会省略前导零。</explain>
      <paraID>4D9F3F21</paraID>
      <start>27</start>
      <end>37</end>
      <status>modified</status>
      <modifiedWord>2023年8月16日</modifiedWord>
      <trackRevisions>false</trackRevisions>
    </reviewItem>
    <reviewItem>
      <errorID>54309cce-4e9b-4068-a674-d51bcd52f9d5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5C47D995</paraID>
      <start>0</start>
      <end>2</end>
      <status>ignored</status>
      <modifiedWord/>
      <trackRevisions>false</trackRevisions>
    </reviewItem>
    <reviewItem>
      <errorID>9f0a56ae-e0e3-424c-b977-d2c4c9c4e689</errorID>
      <errorWord>,</errorWord>
      <group>L1_Format</group>
      <groupName>格式问题</groupName>
      <ability>L2_HalfPunc_CN</ability>
      <abilityName>全半角问题</abilityName>
      <candidateList>
        <item>，</item>
      </candidateList>
      <explain>文本全半角错误。</explain>
      <paraID>3581D2FF</paraID>
      <start>31</start>
      <end>32</end>
      <status>modified</status>
      <modifiedWord>，</modifiedWord>
      <trackRevisions>false</trackRevisions>
    </reviewItem>
    <reviewItem>
      <errorID>2ce36cc4-a581-4f72-9600-d0bfaa6a442b</errorID>
      <errorWord>,</errorWord>
      <group>L1_Format</group>
      <groupName>格式问题</groupName>
      <ability>L2_HalfPunc_CN</ability>
      <abilityName>全半角问题</abilityName>
      <candidateList>
        <item>，</item>
      </candidateList>
      <explain>文本全半角错误。</explain>
      <paraID>3581D2FF</paraID>
      <start>37</start>
      <end>38</end>
      <status>modified</status>
      <modifiedWord>，</modifiedWord>
      <trackRevisions>false</trackRevisions>
    </reviewItem>
    <reviewItem>
      <errorID>810657d7-3ea8-4526-9134-57f12089f2f4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44D8D27</paraID>
      <start>0</start>
      <end>2</end>
      <status>ignored</status>
      <modifiedWord/>
      <trackRevisions>false</trackRevisions>
    </reviewItem>
    <reviewItem>
      <errorID>a4ab5d80-c569-41d5-b61c-e60f590bc2c8</errorID>
      <errorWord>：</errorWord>
      <group>L1_Format</group>
      <groupName>格式问题</groupName>
      <ability>L2_HalfPunc_CN</ability>
      <abilityName>全半角问题</abilityName>
      <candidateList>
        <item>:</item>
      </candidateList>
      <explain>文本全半角错误。</explain>
      <paraID>52D362E3</paraID>
      <start>4</start>
      <end>5</end>
      <status>ignored</status>
      <modifiedWord/>
      <trackRevisions>false</trackRevisions>
    </reviewItem>
    <reviewItem>
      <errorID>786d754c-3a43-4fab-8953-3524aa1f638e</errorID>
      <errorWord>,</errorWord>
      <group>L1_Format</group>
      <groupName>格式问题</groupName>
      <ability>L2_HalfPunc_CN</ability>
      <abilityName>全半角问题</abilityName>
      <candidateList>
        <item>，</item>
      </candidateList>
      <explain>文本全半角错误。</explain>
      <paraID>45F2FFC3</paraID>
      <start>63</start>
      <end>64</end>
      <status>modified</status>
      <modifiedWord>，</modifiedWord>
      <trackRevisions>false</trackRevisions>
    </reviewItem>
    <reviewItem>
      <errorID>52c2e233-ef89-4da0-8f70-2e6520d561a1</errorID>
      <errorWord>(</errorWord>
      <group>L1_Format</group>
      <groupName>格式问题</groupName>
      <ability>L2_HalfPunc_CN</ability>
      <abilityName>全半角问题</abilityName>
      <candidateList>
        <item>（</item>
      </candidateList>
      <explain>文本全半角错误。</explain>
      <paraID>60B0B7D6</paraID>
      <start>98</start>
      <end>99</end>
      <status>modified</status>
      <modifiedWord>（</modifiedWord>
      <trackRevisions>false</trackRevisions>
    </reviewItem>
    <reviewItem>
      <errorID>9725c64b-a102-402f-b04c-9fb3c8349341</errorID>
      <errorWord>)</errorWord>
      <group>L1_Format</group>
      <groupName>格式问题</groupName>
      <ability>L2_HalfPunc_CN</ability>
      <abilityName>全半角问题</abilityName>
      <candidateList>
        <item>）</item>
      </candidateList>
      <explain>文本全半角错误。</explain>
      <paraID>60B0B7D6</paraID>
      <start>102</start>
      <end>103</end>
      <status>modified</status>
      <modifiedWord>）</modifiedWord>
      <trackRevisions>false</trackRevisions>
    </reviewItem>
    <reviewItem>
      <errorID>45c1d184-05b0-42e3-abb9-dac8bbc4a777</errorID>
      <errorWord>~</errorWord>
      <group>L1_Format</group>
      <groupName>格式问题</groupName>
      <ability>L2_HalfPunc_CN</ability>
      <abilityName>全半角问题</abilityName>
      <candidateList>
        <item>～</item>
      </candidateList>
      <explain>文本全半角错误。</explain>
      <paraID> 1D02362</paraID>
      <start>42</start>
      <end>43</end>
      <status>ignored</status>
      <modifiedWord/>
      <trackRevisions>false</trackRevisions>
    </reviewItem>
    <reviewItem>
      <errorID>c84204f8-18bc-438b-afb5-1c723bbcad4f</errorID>
      <errorWord>间</errorWord>
      <group>L1_Word</group>
      <groupName>字词问题</groupName>
      <ability>L2_Typo</ability>
      <abilityName>字词错误</abilityName>
      <candidateList>
        <item>间为</item>
      </candidateList>
      <explain/>
      <paraID>  C81367</paraID>
      <start>44</start>
      <end>45</end>
      <status>ignored</status>
      <modifiedWord/>
      <trackRevisions>false</trackRevisions>
    </reviewItem>
    <reviewItem>
      <errorID>e5c880b2-db00-4e59-9996-cf5f4221e13d</errorID>
      <errorWord>挤出注塑</errorWord>
      <group>L1_Knowledge</group>
      <groupName>知识性问题</groupName>
      <ability>L2_Term</ability>
      <abilityName>专业术语</abilityName>
      <candidateList>
        <item>挤出吹塑</item>
      </candidateList>
      <explain/>
      <paraID>408EAAFD</paraID>
      <start>62</start>
      <end>66</end>
      <status>ignored</status>
      <modifiedWord/>
      <trackRevisions>false</trackRevisions>
    </reviewItem>
    <reviewItem>
      <errorID>ac3655bc-45c3-4cde-8e31-56e696e8e45f</errorID>
      <errorWord>&lt;</errorWord>
      <group>L1_Format</group>
      <groupName>格式问题</groupName>
      <ability>L2_HalfPunc_CN</ability>
      <abilityName>全半角问题</abilityName>
      <candidateList>
        <item>〈</item>
      </candidateList>
      <explain>文本全半角错误。</explain>
      <paraID>52DB0CC3</paraID>
      <start>28</start>
      <end>29</end>
      <status>ignored</status>
      <modifiedWord/>
      <trackRevisions>false</trackRevisions>
    </reviewItem>
    <reviewItem>
      <errorID>6eebe9d9-6d2c-434f-8e18-66eb1f53b437</errorID>
      <errorWord>&gt;</errorWord>
      <group>L1_Format</group>
      <groupName>格式问题</groupName>
      <ability>L2_HalfPunc_CN</ability>
      <abilityName>全半角问题</abilityName>
      <candidateList>
        <item>〉</item>
      </candidateList>
      <explain>文本全半角错误。</explain>
      <paraID>52DB0CC3</paraID>
      <start>40</start>
      <end>41</end>
      <status>ignored</status>
      <modifiedWord/>
      <trackRevisions>false</trackRevisions>
    </reviewItem>
    <reviewItem>
      <errorID>b07c33db-4598-47dc-bfe7-54f3e5356441</errorID>
      <errorWord>&lt;</errorWord>
      <group>L1_Format</group>
      <groupName>格式问题</groupName>
      <ability>L2_HalfPunc_CN</ability>
      <abilityName>全半角问题</abilityName>
      <candidateList>
        <item>〈</item>
      </candidateList>
      <explain>文本全半角错误。</explain>
      <paraID>7C6E8079</paraID>
      <start>1</start>
      <end>2</end>
      <status>ignored</status>
      <modifiedWord/>
      <trackRevisions>false</trackRevisions>
    </reviewItem>
    <reviewItem>
      <errorID>43c174c4-fbbb-4356-83d4-2661c316001c</errorID>
      <errorWord>&gt;</errorWord>
      <group>L1_Format</group>
      <groupName>格式问题</groupName>
      <ability>L2_HalfPunc_CN</ability>
      <abilityName>全半角问题</abilityName>
      <candidateList>
        <item>〉</item>
      </candidateList>
      <explain>文本全半角错误。</explain>
      <paraID>7C6E8079</paraID>
      <start>13</start>
      <end>14</end>
      <status>ignored</status>
      <modifiedWord/>
      <trackRevisions>false</trackRevisions>
    </reviewItem>
    <reviewItem>
      <errorID>fb753559-fe25-4f96-9b65-522514c1ef1e</errorID>
      <errorWord>用</errorWord>
      <group>L1_Word</group>
      <groupName>字词问题</groupName>
      <ability>L2_Typo</ability>
      <abilityName>字词错误</abilityName>
      <candidateList>
        <item>用于</item>
      </candidateList>
      <explain/>
      <paraID>3BAFE2EB</paraID>
      <start>1</start>
      <end>3</end>
      <status>modified</status>
      <modifiedWord>用于</modifiedWord>
      <trackRevisions>false</trackRevisions>
    </reviewItem>
    <reviewItem>
      <errorID>a4d38a3e-28a5-458e-ba02-1fdbfa362a1b</errorID>
      <errorWord>：</errorWord>
      <group>L1_Format</group>
      <groupName>格式问题</groupName>
      <ability>L2_HalfPunc_CN</ability>
      <abilityName>全半角问题</abilityName>
      <candidateList>
        <item>:</item>
      </candidateList>
      <explain>文本全半角错误。</explain>
      <paraID>11EF95EB</paraID>
      <start>5</start>
      <end>6</end>
      <status>ignored</status>
      <modifiedWord/>
      <trackRevisions>false</trackRevisions>
    </reviewItem>
    <reviewItem>
      <errorID>b12916d0-7983-41cb-a21f-647075b0fe53</errorID>
      <errorWord>程</errorWord>
      <group>L1_Word</group>
      <groupName>字词问题</groupName>
      <ability>L2_Typo</ability>
      <abilityName>字词错误</abilityName>
      <candidateList>
        <item>程中</item>
      </candidateList>
      <explain/>
      <paraID>4C9052B7</paraID>
      <start>66</start>
      <end>68</end>
      <status>modified</status>
      <modifiedWord>程中</modifiedWord>
      <trackRevisions>false</trackRevisions>
    </reviewItem>
    <reviewItem>
      <errorID>5786c00a-0851-4904-94fb-b96928f6895f</errorID>
      <errorWord>*</errorWord>
      <group>L1_Punc</group>
      <groupName>标点问题</groupName>
      <ability>L2_Punc_CN</ability>
      <abilityName>标点符号问题</abilityName>
      <candidateList/>
      <explain/>
      <paraID>13174BC5</paraID>
      <start>0</start>
      <end>1</end>
      <status>ignored</status>
      <modifiedWord/>
      <trackRevisions>false</trackRevisions>
    </reviewItem>
    <reviewItem>
      <errorID>ca8e7f84-e2d1-4f7d-97a1-7f8d45b027e5</errorID>
      <errorWord>水力</errorWord>
      <group>L1_Word</group>
      <groupName>字词问题</groupName>
      <ability>L2_Typo</ability>
      <abilityName>字词错误</abilityName>
      <candidateList>
        <item>水里</item>
      </candidateList>
      <explain/>
      <paraID>627ECE1B</paraID>
      <start>74</start>
      <end>76</end>
      <status>ignored</status>
      <modifiedWord/>
      <trackRevisions>false</trackRevisions>
    </reviewItem>
    <reviewItem>
      <errorID>a4278f55-26b0-4e64-9ae0-0ac7415a1867</errorID>
      <errorWord>均需</errorWord>
      <group>L1_Word</group>
      <groupName>字词问题</groupName>
      <ability>L2_Typo</ability>
      <abilityName>字词错误</abilityName>
      <candidateList>
        <item>均须</item>
      </candidateList>
      <explain/>
      <paraID>3DE30C9A</paraID>
      <start>26</start>
      <end>28</end>
      <status>ignored</status>
      <modifiedWord/>
      <trackRevisions>false</trackRevisions>
    </reviewItem>
    <reviewItem>
      <errorID>a9daeb32-62c5-41c5-bb43-80fcaba659da</errorID>
      <errorWord>（</errorWord>
      <group>L1_Format</group>
      <groupName>格式问题</groupName>
      <ability>L2_HalfPunc_CN</ability>
      <abilityName>全半角问题</abilityName>
      <candidateList>
        <item>(</item>
      </candidateList>
      <explain>文本全半角错误。</explain>
      <paraID>47DA2CC1</paraID>
      <start>12</start>
      <end>13</end>
      <status>ignored</status>
      <modifiedWord/>
      <trackRevisions>false</trackRevisions>
    </reviewItem>
    <reviewItem>
      <errorID>064c283f-cb3c-4f80-8698-721158a34393</errorID>
      <errorWord>（</errorWord>
      <group>L1_Format</group>
      <groupName>格式问题</groupName>
      <ability>L2_HalfPunc_CN</ability>
      <abilityName>全半角问题</abilityName>
      <candidateList>
        <item>(</item>
      </candidateList>
      <explain>文本全半角错误。</explain>
      <paraID>233A5859</paraID>
      <start>6</start>
      <end>7</end>
      <status>ignored</status>
      <modifiedWord/>
      <trackRevisions>false</trackRevisions>
    </reviewItem>
    <reviewItem>
      <errorID>f5d3441d-0fad-455f-af5c-5e3ccc3ab610</errorID>
      <errorWord>接受点</errorWord>
      <group>L1_Word</group>
      <groupName>字词问题</groupName>
      <ability>L2_Typo</ability>
      <abilityName>字词错误</abilityName>
      <candidateList>
        <item>接收点</item>
      </candidateList>
      <explain>存在发音相同字词的误用。</explain>
      <paraID>2DFCE43A</paraID>
      <start>3</start>
      <end>6</end>
      <status>ignored</status>
      <modifiedWord/>
      <trackRevisions>false</trackRevisions>
    </reviewItem>
    <reviewItem>
      <errorID>577affed-9b36-4794-ad0d-646a04aa020d</errorID>
      <errorWord>接受点</errorWord>
      <group>L1_Word</group>
      <groupName>字词问题</groupName>
      <ability>L2_Typo</ability>
      <abilityName>字词错误</abilityName>
      <candidateList>
        <item>接收点</item>
      </candidateList>
      <explain>存在发音相同字词的误用。</explain>
      <paraID> 59058FA</paraID>
      <start>3</start>
      <end>6</end>
      <status>ignored</status>
      <modifiedWord/>
      <trackRevisions>false</trackRevisions>
    </reviewItem>
    <reviewItem>
      <errorID>eaec6e09-1bfd-4d40-8ff9-36682d21974a</errorID>
      <errorWord>接受点</errorWord>
      <group>L1_Word</group>
      <groupName>字词问题</groupName>
      <ability>L2_Typo</ability>
      <abilityName>字词错误</abilityName>
      <candidateList>
        <item>接收点</item>
      </candidateList>
      <explain>存在发音相同字词的误用。</explain>
      <paraID> 8F6267F</paraID>
      <start>3</start>
      <end>6</end>
      <status>ignored</status>
      <modifiedWord/>
      <trackRevisions>false</trackRevisions>
    </reviewItem>
    <reviewItem>
      <errorID>1ed8dc9e-9f44-4eca-8a74-05a1d4391193</errorID>
      <errorWord>接受点</errorWord>
      <group>L1_Word</group>
      <groupName>字词问题</groupName>
      <ability>L2_Typo</ability>
      <abilityName>字词错误</abilityName>
      <candidateList>
        <item>接收点</item>
      </candidateList>
      <explain>存在发音相同字词的误用。</explain>
      <paraID>78E16347</paraID>
      <start>3</start>
      <end>6</end>
      <status>ignored</status>
      <modifiedWord/>
      <trackRevisions>false</trackRevisions>
    </reviewItem>
    <reviewItem>
      <errorID>d2f528ed-e1d9-467c-b51b-7024e709896b</errorID>
      <errorWord>月1日实施</errorWord>
      <group>L1_Word</group>
      <groupName>字词问题</groupName>
      <ability>L2_Typo</ability>
      <abilityName>字词错误</abilityName>
      <candidateList>
        <item>月1日起实施</item>
      </candidateList>
      <explain/>
      <paraID> DDA8845</paraID>
      <start>32</start>
      <end>37</end>
      <status>ignored</status>
      <modifiedWord/>
      <trackRevisions>false</trackRevisions>
    </reviewItem>
    <reviewItem>
      <errorID>cc336f2e-810d-4406-80e9-1121d41c2052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310F7334</paraID>
      <start>30</start>
      <end>31</end>
      <status>ignored</status>
      <modifiedWord/>
      <trackRevisions>false</trackRevisions>
    </reviewItem>
    <reviewItem>
      <errorID>6809b89d-0845-4384-8d43-685c277f7262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310F7334</paraID>
      <start>72</start>
      <end>73</end>
      <status>ignored</status>
      <modifiedWord/>
      <trackRevisions>false</trackRevisions>
    </reviewItem>
    <reviewItem>
      <errorID>33545ca9-b80b-42ff-a26b-9bc1bfc0b2b0</errorID>
      <errorWord>II级</errorWord>
      <group>L1_Knowledge</group>
      <groupName>知识性问题</groupName>
      <ability>L2_Knowledge</ability>
      <abilityName>其他知识</abilityName>
      <candidateList>
        <item>Ⅱ级</item>
      </candidateList>
      <explain>中文环境下罗马数字格式错误。</explain>
      <paraID>7CE81780</paraID>
      <start>33</start>
      <end>36</end>
      <status>ignored</status>
      <modifiedWord/>
      <trackRevisions>false</trackRevisions>
    </reviewItem>
    <reviewItem>
      <errorID>6ded4d62-f0ae-48bc-a419-87089cdfd281</errorID>
      <errorWord>III级</errorWord>
      <group>L1_Knowledge</group>
      <groupName>知识性问题</groupName>
      <ability>L2_Knowledge</ability>
      <abilityName>其他知识</abilityName>
      <candidateList>
        <item>Ⅲ级</item>
      </candidateList>
      <explain>中文环境下罗马数字格式错误。</explain>
      <paraID>7CE81780</paraID>
      <start>37</start>
      <end>41</end>
      <status>ignored</status>
      <modifiedWord/>
      <trackRevisions>false</trackRevisions>
    </reviewItem>
    <reviewItem>
      <errorID>d66d1347-a6e9-4975-b5ae-c1001314fa47</errorID>
      <errorWord>接受</errorWord>
      <group>L1_Word</group>
      <groupName>字词问题</groupName>
      <ability>L2_Typo</ability>
      <abilityName>字词错误</abilityName>
      <candidateList>
        <item>接收</item>
      </candidateList>
      <explain>存在发音相同字词的误用。</explain>
      <paraID>7F73627C</paraID>
      <start>38</start>
      <end>40</end>
      <status>ignored</status>
      <modifiedWord/>
      <trackRevisions>false</trackRevisions>
    </reviewItem>
    <reviewItem>
      <errorID>54b11b65-363f-44df-b78d-8e3231a3a019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45DB1525</paraID>
      <start>77</start>
      <end>78</end>
      <status>ignored</status>
      <modifiedWord/>
      <trackRevisions>false</trackRevisions>
    </reviewItem>
    <reviewItem>
      <errorID>e0a3f28e-43b8-481c-8186-7a9e5c815644</errorID>
      <errorWord>，…，</errorWord>
      <group>L1_Punc</group>
      <groupName>标点问题</groupName>
      <ability>L2_Punc_CN</ability>
      <abilityName>标点符号问题</abilityName>
      <candidateList>
        <item>，</item>
      </candidateList>
      <explain/>
      <paraID>3C8944D2</paraID>
      <start>5</start>
      <end>8</end>
      <status>ignored</status>
      <modifiedWord/>
      <trackRevisions>false</trackRevisions>
    </reviewItem>
    <reviewItem>
      <errorID>c3d8c02b-1588-4a2d-8144-b56941e91739</errorID>
      <errorWord>，…，</errorWord>
      <group>L1_Punc</group>
      <groupName>标点问题</groupName>
      <ability>L2_Punc_CN</ability>
      <abilityName>标点符号问题</abilityName>
      <candidateList>
        <item>，</item>
      </candidateList>
      <explain/>
      <paraID>2857E526</paraID>
      <start>5</start>
      <end>8</end>
      <status>ignored</status>
      <modifiedWord/>
      <trackRevisions>false</trackRevisions>
    </reviewItem>
    <reviewItem>
      <errorID>a0a8f748-ad4a-4ef9-aa0a-7bbe72b61ad4</errorID>
      <errorWord>转输</errorWord>
      <group>L1_Word</group>
      <groupName>字词问题</groupName>
      <ability>L2_Typo</ability>
      <abilityName>字词错误</abilityName>
      <candidateList>
        <item>传输</item>
      </candidateList>
      <explain>存在发音相同字词的误用。</explain>
      <paraID>4E06A70C</paraID>
      <start>11</start>
      <end>13</end>
      <status>ignored</status>
      <modifiedWord/>
      <trackRevisions>false</trackRevisions>
    </reviewItem>
    <reviewItem>
      <errorID>1db76aec-ca84-4f1e-8bad-60f6567c36bc</errorID>
      <errorWord>年平</errorWord>
      <group>L1_Word</group>
      <groupName>字词问题</groupName>
      <ability>L2_Typo</ability>
      <abilityName>字词错误</abilityName>
      <candidateList>
        <item>平均</item>
      </candidateList>
      <explain/>
      <paraID>36333D20</paraID>
      <start>3</start>
      <end>5</end>
      <status>ignored</status>
      <modifiedWord/>
      <trackRevisions>false</trackRevisions>
    </reviewItem>
    <reviewItem>
      <errorID>17b9a1cb-266d-4df3-9ee8-358ce6f9da90</errorID>
      <errorWord>年平均</errorWord>
      <group>L1_Word</group>
      <groupName>字词问题</groupName>
      <ability>L2_Typo</ability>
      <abilityName>字词错误</abilityName>
      <candidateList>
        <item>平均年</item>
      </candidateList>
      <explain/>
      <paraID>36333D20</paraID>
      <start>14</start>
      <end>17</end>
      <status>ignored</status>
      <modifiedWord/>
      <trackRevisions>false</trackRevisions>
    </reviewItem>
    <reviewItem>
      <errorID>4273ff4f-99e7-4d82-a0b3-a213e3aef240</errorID>
      <errorWord>；</errorWord>
      <group>L1_Format</group>
      <groupName>格式问题</groupName>
      <ability>L2_HalfPunc_CN</ability>
      <abilityName>全半角问题</abilityName>
      <candidateList>
        <item>;</item>
      </candidateList>
      <explain>文本全半角错误。</explain>
      <paraID>187106D3</paraID>
      <start>20</start>
      <end>21</end>
      <status>ignored</status>
      <modifiedWord/>
      <trackRevisions>false</trackRevisions>
    </reviewItem>
    <reviewItem>
      <errorID>3f9da260-6269-4208-a840-af34aa2c3ef9</errorID>
      <errorWord>业</errorWord>
      <group>L1_Word</group>
      <groupName>字词问题</groupName>
      <ability>L2_Typo</ability>
      <abilityName>字词错误</abilityName>
      <candidateList>
        <item>业作</item>
      </candidateList>
      <explain/>
      <paraID>2010E040</paraID>
      <start>121</start>
      <end>122</end>
      <status>ignored</status>
      <modifiedWord/>
      <trackRevisions>false</trackRevisions>
    </reviewItem>
    <reviewItem>
      <errorID>0b8a3ae2-de2a-46b7-ae5d-90c3ca37bf99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79E2E6F7</paraID>
      <start>27</start>
      <end>28</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505a06-8704-4207-bceb-df20e8df1eba}">
  <ds:schemaRefs/>
</ds:datastoreItem>
</file>

<file path=customXml/itemProps3.xml><?xml version="1.0" encoding="utf-8"?>
<ds:datastoreItem xmlns:ds="http://schemas.openxmlformats.org/officeDocument/2006/customXml" ds:itemID="{41f5a05a-09e1-4c57-965d-f6674abaa6d8}">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91</Pages>
  <Words>54556</Words>
  <Characters>62720</Characters>
  <Lines>781</Lines>
  <Paragraphs>220</Paragraphs>
  <TotalTime>172</TotalTime>
  <ScaleCrop>false</ScaleCrop>
  <LinksUpToDate>false</LinksUpToDate>
  <CharactersWithSpaces>62976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2022-02-21T02:26:00Z</dcterms:created>
  <dc:creator>lhj</dc:creator>
  <cp:lastModifiedBy>流水幸运</cp:lastModifiedBy>
  <cp:lastPrinted>2024-10-31T07:21:00Z</cp:lastPrinted>
  <dcterms:modified xsi:type="dcterms:W3CDTF">2026-08-21T02:08:05Z</dcterms:modified>
  <dc:title>附件2</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763AD380639F4D60B3CC9FEE0B0FAB1C_13</vt:lpwstr>
  </property>
  <property fmtid="{D5CDD505-2E9C-101B-9397-08002B2CF9AE}" pid="4" name="KSOTemplateDocerSaveRecord">
    <vt:lpwstr>eyJoZGlkIjoiYmQzMTk5YmE1YWIzMTc1OGI4ZDI5NjlhZmE1MjBkZTEiLCJ1c2VySWQiOiI2NTkxNTg2OTYifQ==</vt:lpwstr>
  </property>
</Properties>
</file>